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22BA7C5E" w:rsidR="003E22BB" w:rsidRPr="00DE36E3" w:rsidRDefault="003E22BB" w:rsidP="003E22BB">
      <w:pPr>
        <w:pStyle w:val="Heading1"/>
        <w:rPr>
          <w:rFonts w:asciiTheme="minorHAnsi" w:hAnsiTheme="minorHAnsi" w:cstheme="minorHAnsi"/>
          <w:sz w:val="24"/>
          <w:szCs w:val="24"/>
        </w:rPr>
      </w:pPr>
      <w:r w:rsidRPr="00DE36E3">
        <w:rPr>
          <w:rFonts w:asciiTheme="minorHAnsi" w:hAnsiTheme="minorHAnsi" w:cstheme="minorHAnsi"/>
          <w:sz w:val="24"/>
          <w:szCs w:val="24"/>
        </w:rPr>
        <w:t>Title:</w:t>
      </w:r>
      <w:r w:rsidRPr="00DE36E3">
        <w:rPr>
          <w:rFonts w:asciiTheme="minorHAnsi" w:hAnsiTheme="minorHAnsi" w:cstheme="minorHAnsi"/>
          <w:sz w:val="24"/>
          <w:szCs w:val="24"/>
        </w:rPr>
        <w:tab/>
      </w:r>
      <w:r w:rsidR="00612D8B" w:rsidRPr="00DE36E3">
        <w:rPr>
          <w:rFonts w:asciiTheme="minorHAnsi" w:hAnsiTheme="minorHAnsi" w:cstheme="minorHAnsi"/>
          <w:sz w:val="24"/>
          <w:szCs w:val="24"/>
        </w:rPr>
        <w:t>Scientific Advisory Committee Terms of Reference review</w:t>
      </w:r>
    </w:p>
    <w:p w14:paraId="51C7F278" w14:textId="7199E800" w:rsidR="003E22BB" w:rsidRPr="00DE36E3" w:rsidRDefault="003E22BB" w:rsidP="003A0BAA">
      <w:pPr>
        <w:spacing w:after="0" w:line="240" w:lineRule="auto"/>
        <w:rPr>
          <w:rFonts w:cstheme="minorHAnsi"/>
          <w:b/>
          <w:color w:val="000000" w:themeColor="text1"/>
          <w:szCs w:val="24"/>
        </w:rPr>
      </w:pPr>
      <w:r w:rsidRPr="00DE36E3">
        <w:rPr>
          <w:rFonts w:cstheme="minorHAnsi"/>
          <w:b/>
          <w:color w:val="000000" w:themeColor="text1"/>
          <w:szCs w:val="24"/>
        </w:rPr>
        <w:t>Date:</w:t>
      </w:r>
      <w:r w:rsidRPr="00DE36E3">
        <w:rPr>
          <w:rFonts w:cstheme="minorHAnsi"/>
          <w:b/>
          <w:color w:val="000000" w:themeColor="text1"/>
          <w:szCs w:val="24"/>
        </w:rPr>
        <w:tab/>
      </w:r>
      <w:r w:rsidR="00DE36E3" w:rsidRPr="00DE36E3">
        <w:rPr>
          <w:rFonts w:cstheme="minorHAnsi"/>
          <w:b/>
          <w:color w:val="000000" w:themeColor="text1"/>
          <w:szCs w:val="24"/>
        </w:rPr>
        <w:t>0</w:t>
      </w:r>
      <w:r w:rsidR="00612D8B" w:rsidRPr="00DE36E3">
        <w:rPr>
          <w:rFonts w:cstheme="minorHAnsi"/>
          <w:b/>
          <w:color w:val="000000" w:themeColor="text1"/>
          <w:szCs w:val="24"/>
        </w:rPr>
        <w:t>2 July 2026</w:t>
      </w:r>
    </w:p>
    <w:p w14:paraId="4974125B" w14:textId="77777777" w:rsidR="003A0BAA" w:rsidRPr="00DE36E3" w:rsidRDefault="003A0BAA" w:rsidP="003A0BAA">
      <w:pPr>
        <w:spacing w:after="0" w:line="240" w:lineRule="auto"/>
        <w:rPr>
          <w:rFonts w:cstheme="minorHAnsi"/>
          <w:b/>
          <w:color w:val="000000" w:themeColor="text1"/>
          <w:szCs w:val="24"/>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DE36E3" w14:paraId="20BAAF19" w14:textId="77777777" w:rsidTr="007D5F0B">
        <w:trPr>
          <w:tblHeader/>
        </w:trPr>
        <w:tc>
          <w:tcPr>
            <w:tcW w:w="2547" w:type="dxa"/>
          </w:tcPr>
          <w:p w14:paraId="36567900" w14:textId="4E40470D" w:rsidR="005D0E4E" w:rsidRPr="00DE36E3" w:rsidRDefault="005D0E4E" w:rsidP="00A64751">
            <w:pPr>
              <w:rPr>
                <w:rFonts w:cstheme="minorHAnsi"/>
                <w:szCs w:val="24"/>
              </w:rPr>
            </w:pPr>
            <w:r w:rsidRPr="00DE36E3">
              <w:rPr>
                <w:rStyle w:val="Heading3Char"/>
                <w:rFonts w:asciiTheme="minorHAnsi" w:hAnsiTheme="minorHAnsi" w:cstheme="minorHAnsi"/>
                <w:b/>
                <w:color w:val="auto"/>
              </w:rPr>
              <w:t>Purpose:</w:t>
            </w:r>
          </w:p>
        </w:tc>
        <w:tc>
          <w:tcPr>
            <w:tcW w:w="6469" w:type="dxa"/>
          </w:tcPr>
          <w:p w14:paraId="2E6CD882" w14:textId="62D0337A" w:rsidR="005D0E4E" w:rsidRPr="00DE36E3" w:rsidRDefault="00612D8B" w:rsidP="0032429D">
            <w:pPr>
              <w:contextualSpacing/>
              <w:rPr>
                <w:rFonts w:eastAsia="Arial" w:cstheme="minorHAnsi"/>
                <w:szCs w:val="24"/>
              </w:rPr>
            </w:pPr>
            <w:r w:rsidRPr="00DE36E3">
              <w:rPr>
                <w:rFonts w:eastAsia="Arial" w:cstheme="minorHAnsi"/>
                <w:szCs w:val="24"/>
              </w:rPr>
              <w:t>For</w:t>
            </w:r>
            <w:r w:rsidR="0032429D" w:rsidRPr="00DE36E3">
              <w:rPr>
                <w:rFonts w:eastAsia="Arial" w:cstheme="minorHAnsi"/>
                <w:szCs w:val="24"/>
              </w:rPr>
              <w:t xml:space="preserve"> </w:t>
            </w:r>
            <w:r w:rsidRPr="00DE36E3">
              <w:rPr>
                <w:rFonts w:eastAsia="Arial" w:cstheme="minorHAnsi"/>
                <w:szCs w:val="24"/>
              </w:rPr>
              <w:t>d</w:t>
            </w:r>
            <w:r w:rsidR="0032429D" w:rsidRPr="00DE36E3">
              <w:rPr>
                <w:rFonts w:eastAsia="Arial" w:cstheme="minorHAnsi"/>
                <w:szCs w:val="24"/>
              </w:rPr>
              <w:t>ecision</w:t>
            </w:r>
          </w:p>
        </w:tc>
      </w:tr>
      <w:tr w:rsidR="00016C54" w:rsidRPr="00DE36E3" w14:paraId="0D60BCEF" w14:textId="77777777" w:rsidTr="005D0E4E">
        <w:tc>
          <w:tcPr>
            <w:tcW w:w="2547" w:type="dxa"/>
          </w:tcPr>
          <w:p w14:paraId="4EECBDB0" w14:textId="2DF15E32" w:rsidR="00016C54" w:rsidRPr="00DE36E3" w:rsidRDefault="00A64C43" w:rsidP="00A64751">
            <w:pPr>
              <w:rPr>
                <w:rFonts w:eastAsia="Arial" w:cstheme="minorHAnsi"/>
                <w:b/>
                <w:szCs w:val="24"/>
              </w:rPr>
            </w:pPr>
            <w:r w:rsidRPr="00DE36E3">
              <w:rPr>
                <w:rFonts w:eastAsia="Arial" w:cstheme="minorHAnsi"/>
                <w:b/>
                <w:szCs w:val="24"/>
              </w:rPr>
              <w:t>Which of the 5 Corporate Plan priority outcomes does the contents of this paper support, and how?</w:t>
            </w:r>
          </w:p>
        </w:tc>
        <w:tc>
          <w:tcPr>
            <w:tcW w:w="6469" w:type="dxa"/>
          </w:tcPr>
          <w:p w14:paraId="6B35E360" w14:textId="6A1E4182" w:rsidR="00016C54" w:rsidRPr="00DE36E3" w:rsidRDefault="00A02F9F" w:rsidP="005D0E4E">
            <w:pPr>
              <w:contextualSpacing/>
              <w:rPr>
                <w:rFonts w:eastAsia="Arial" w:cstheme="minorHAnsi"/>
                <w:szCs w:val="24"/>
              </w:rPr>
            </w:pPr>
            <w:r w:rsidRPr="00DE36E3">
              <w:rPr>
                <w:rFonts w:eastAsia="Arial" w:cstheme="minorHAnsi"/>
                <w:szCs w:val="24"/>
              </w:rPr>
              <w:t>Our Corporate Plan requires a foundation of sound science to underpin NatureScot advice. The SAC provides peer review of complex areas of science and acts as a ‘critical friend’, drawing on expertise in the natural and social sciences, and synergistically works with staff to provide robust advice and evidence.</w:t>
            </w:r>
          </w:p>
        </w:tc>
      </w:tr>
      <w:tr w:rsidR="005D0E4E" w:rsidRPr="00DE36E3" w14:paraId="5F6879B4" w14:textId="77777777" w:rsidTr="005D0E4E">
        <w:tc>
          <w:tcPr>
            <w:tcW w:w="2547" w:type="dxa"/>
          </w:tcPr>
          <w:p w14:paraId="278D0DA3" w14:textId="3D465FF9" w:rsidR="005D0E4E" w:rsidRPr="00DE36E3" w:rsidRDefault="005D0E4E" w:rsidP="00A64751">
            <w:pPr>
              <w:rPr>
                <w:rFonts w:eastAsia="Arial" w:cstheme="minorHAnsi"/>
                <w:szCs w:val="24"/>
              </w:rPr>
            </w:pPr>
            <w:r w:rsidRPr="00DE36E3">
              <w:rPr>
                <w:rFonts w:eastAsia="Arial" w:cstheme="minorHAnsi"/>
                <w:b/>
                <w:szCs w:val="24"/>
              </w:rPr>
              <w:t>Summary:</w:t>
            </w:r>
          </w:p>
        </w:tc>
        <w:tc>
          <w:tcPr>
            <w:tcW w:w="6469" w:type="dxa"/>
          </w:tcPr>
          <w:p w14:paraId="6950E4DA" w14:textId="48183067" w:rsidR="00D45712" w:rsidRPr="00DE36E3" w:rsidRDefault="00612D8B" w:rsidP="00B045D1">
            <w:pPr>
              <w:contextualSpacing/>
              <w:rPr>
                <w:rFonts w:eastAsia="Arial" w:cstheme="minorHAnsi"/>
                <w:szCs w:val="24"/>
              </w:rPr>
            </w:pPr>
            <w:r w:rsidRPr="00DE36E3">
              <w:rPr>
                <w:rFonts w:eastAsia="Arial" w:cstheme="minorHAnsi"/>
                <w:szCs w:val="24"/>
              </w:rPr>
              <w:t>There is a periodic requirement for Committee Terms of Reference to be reviewed every 2 years.</w:t>
            </w:r>
          </w:p>
        </w:tc>
      </w:tr>
      <w:tr w:rsidR="005D0E4E" w:rsidRPr="00DE36E3" w14:paraId="187A143B" w14:textId="77777777" w:rsidTr="005D0E4E">
        <w:tc>
          <w:tcPr>
            <w:tcW w:w="2547" w:type="dxa"/>
          </w:tcPr>
          <w:p w14:paraId="1E0B416A" w14:textId="5808D500" w:rsidR="005D0E4E" w:rsidRPr="00DE36E3" w:rsidRDefault="005D0E4E" w:rsidP="005D0E4E">
            <w:pPr>
              <w:contextualSpacing/>
              <w:rPr>
                <w:rFonts w:eastAsia="Arial" w:cstheme="minorHAnsi"/>
                <w:szCs w:val="24"/>
              </w:rPr>
            </w:pPr>
            <w:r w:rsidRPr="00DE36E3">
              <w:rPr>
                <w:rFonts w:eastAsia="Arial" w:cstheme="minorHAnsi"/>
                <w:b/>
                <w:szCs w:val="24"/>
              </w:rPr>
              <w:t>Recommendations:</w:t>
            </w:r>
            <w:r w:rsidRPr="00DE36E3">
              <w:rPr>
                <w:rFonts w:eastAsia="Arial" w:cstheme="minorHAnsi"/>
                <w:szCs w:val="24"/>
              </w:rPr>
              <w:t xml:space="preserve"> </w:t>
            </w:r>
          </w:p>
        </w:tc>
        <w:tc>
          <w:tcPr>
            <w:tcW w:w="6469" w:type="dxa"/>
          </w:tcPr>
          <w:p w14:paraId="30D9395B" w14:textId="43F5A7B7" w:rsidR="005D0E4E" w:rsidRPr="00DE36E3" w:rsidRDefault="00AA004A" w:rsidP="00A64751">
            <w:pPr>
              <w:rPr>
                <w:rFonts w:eastAsia="Arial" w:cstheme="minorHAnsi"/>
                <w:szCs w:val="24"/>
              </w:rPr>
            </w:pPr>
            <w:r w:rsidRPr="00DE36E3">
              <w:rPr>
                <w:rFonts w:eastAsia="Arial" w:cstheme="minorHAnsi"/>
                <w:szCs w:val="24"/>
              </w:rPr>
              <w:t>The Board is asked to consider and approve the revised Terms of Reference for the Scientific Advisory Committee.</w:t>
            </w:r>
          </w:p>
        </w:tc>
      </w:tr>
      <w:tr w:rsidR="005D0E4E" w:rsidRPr="00DE36E3" w14:paraId="1611D4CD" w14:textId="77777777" w:rsidTr="005D0E4E">
        <w:tc>
          <w:tcPr>
            <w:tcW w:w="2547" w:type="dxa"/>
          </w:tcPr>
          <w:p w14:paraId="1E66C971" w14:textId="77777777" w:rsidR="005D0E4E" w:rsidRPr="00DE36E3" w:rsidRDefault="005D0E4E" w:rsidP="005D0E4E">
            <w:pPr>
              <w:contextualSpacing/>
              <w:rPr>
                <w:rFonts w:eastAsia="Arial" w:cstheme="minorHAnsi"/>
                <w:b/>
                <w:szCs w:val="24"/>
              </w:rPr>
            </w:pPr>
            <w:r w:rsidRPr="00DE36E3">
              <w:rPr>
                <w:rFonts w:eastAsia="Arial" w:cstheme="minorHAnsi"/>
                <w:b/>
                <w:szCs w:val="24"/>
              </w:rPr>
              <w:t>Report Author(s):</w:t>
            </w:r>
          </w:p>
        </w:tc>
        <w:tc>
          <w:tcPr>
            <w:tcW w:w="6469" w:type="dxa"/>
          </w:tcPr>
          <w:p w14:paraId="684ABBC1" w14:textId="5C18AC31" w:rsidR="005D0E4E" w:rsidRPr="00DE36E3" w:rsidRDefault="00612D8B" w:rsidP="00A64751">
            <w:pPr>
              <w:rPr>
                <w:rFonts w:eastAsia="Arial" w:cstheme="minorHAnsi"/>
                <w:szCs w:val="24"/>
              </w:rPr>
            </w:pPr>
            <w:r w:rsidRPr="00DE36E3">
              <w:rPr>
                <w:rFonts w:eastAsia="Arial" w:cstheme="minorHAnsi"/>
                <w:szCs w:val="24"/>
              </w:rPr>
              <w:t>Erin Garner</w:t>
            </w:r>
          </w:p>
        </w:tc>
      </w:tr>
      <w:tr w:rsidR="005D0E4E" w:rsidRPr="00DE36E3" w14:paraId="28B18A8B" w14:textId="77777777" w:rsidTr="005D0E4E">
        <w:tc>
          <w:tcPr>
            <w:tcW w:w="2547" w:type="dxa"/>
          </w:tcPr>
          <w:p w14:paraId="451D6F59" w14:textId="77777777" w:rsidR="005D0E4E" w:rsidRPr="00DE36E3" w:rsidRDefault="005D0E4E" w:rsidP="005D0E4E">
            <w:pPr>
              <w:contextualSpacing/>
              <w:rPr>
                <w:rFonts w:eastAsia="Arial" w:cstheme="minorHAnsi"/>
                <w:b/>
                <w:szCs w:val="24"/>
              </w:rPr>
            </w:pPr>
            <w:r w:rsidRPr="00DE36E3">
              <w:rPr>
                <w:rFonts w:eastAsia="Arial" w:cstheme="minorHAnsi"/>
                <w:b/>
                <w:szCs w:val="24"/>
              </w:rPr>
              <w:t>Sponsor:</w:t>
            </w:r>
            <w:r w:rsidRPr="00DE36E3">
              <w:rPr>
                <w:rFonts w:eastAsia="Arial" w:cstheme="minorHAnsi"/>
                <w:b/>
                <w:szCs w:val="24"/>
              </w:rPr>
              <w:tab/>
            </w:r>
          </w:p>
        </w:tc>
        <w:tc>
          <w:tcPr>
            <w:tcW w:w="6469" w:type="dxa"/>
          </w:tcPr>
          <w:p w14:paraId="15458FFD" w14:textId="0E06D75A" w:rsidR="005D0E4E" w:rsidRPr="00DE36E3" w:rsidRDefault="00612D8B" w:rsidP="00A64751">
            <w:pPr>
              <w:rPr>
                <w:rFonts w:eastAsia="Arial" w:cstheme="minorHAnsi"/>
                <w:szCs w:val="24"/>
              </w:rPr>
            </w:pPr>
            <w:r w:rsidRPr="00DE36E3">
              <w:rPr>
                <w:rFonts w:eastAsia="Arial" w:cstheme="minorHAnsi"/>
                <w:szCs w:val="24"/>
              </w:rPr>
              <w:t>Pete Higgins</w:t>
            </w:r>
          </w:p>
        </w:tc>
      </w:tr>
      <w:tr w:rsidR="005D0E4E" w:rsidRPr="00DE36E3" w14:paraId="7ECAF5B7" w14:textId="77777777" w:rsidTr="005D0E4E">
        <w:tc>
          <w:tcPr>
            <w:tcW w:w="2547" w:type="dxa"/>
          </w:tcPr>
          <w:p w14:paraId="3E1CC1B9" w14:textId="77282198" w:rsidR="005D0E4E" w:rsidRPr="00DE36E3" w:rsidRDefault="005D0E4E" w:rsidP="005D0E4E">
            <w:pPr>
              <w:contextualSpacing/>
              <w:rPr>
                <w:rFonts w:eastAsia="Arial" w:cstheme="minorHAnsi"/>
                <w:szCs w:val="24"/>
              </w:rPr>
            </w:pPr>
            <w:r w:rsidRPr="00DE36E3">
              <w:rPr>
                <w:rFonts w:eastAsia="Arial" w:cstheme="minorHAnsi"/>
                <w:b/>
                <w:szCs w:val="24"/>
              </w:rPr>
              <w:t>Appendices</w:t>
            </w:r>
            <w:r w:rsidRPr="00DE36E3">
              <w:rPr>
                <w:rFonts w:eastAsia="Arial" w:cstheme="minorHAnsi"/>
                <w:szCs w:val="24"/>
              </w:rPr>
              <w:t>:</w:t>
            </w:r>
          </w:p>
        </w:tc>
        <w:tc>
          <w:tcPr>
            <w:tcW w:w="6469" w:type="dxa"/>
          </w:tcPr>
          <w:p w14:paraId="7040BE21" w14:textId="1E723831" w:rsidR="005D0E4E" w:rsidRPr="00DE36E3" w:rsidRDefault="00612D8B" w:rsidP="005D0E4E">
            <w:pPr>
              <w:contextualSpacing/>
              <w:rPr>
                <w:rFonts w:eastAsia="Arial" w:cstheme="minorHAnsi"/>
                <w:szCs w:val="24"/>
              </w:rPr>
            </w:pPr>
            <w:r w:rsidRPr="00DE36E3">
              <w:rPr>
                <w:rFonts w:eastAsia="Arial" w:cstheme="minorHAnsi"/>
                <w:szCs w:val="24"/>
              </w:rPr>
              <w:t>Appendix 1 – SAC Terms of Reference</w:t>
            </w:r>
          </w:p>
        </w:tc>
      </w:tr>
    </w:tbl>
    <w:p w14:paraId="7C66D4DB" w14:textId="1120E314" w:rsidR="003B170D" w:rsidRPr="00DE36E3" w:rsidRDefault="003B170D" w:rsidP="003B170D">
      <w:pPr>
        <w:rPr>
          <w:rFonts w:cstheme="minorHAnsi"/>
          <w:szCs w:val="24"/>
        </w:rPr>
      </w:pPr>
    </w:p>
    <w:p w14:paraId="3EB187B1" w14:textId="3BAF73C2" w:rsidR="00612D8B" w:rsidRPr="00DE36E3" w:rsidRDefault="00612D8B">
      <w:pPr>
        <w:rPr>
          <w:rFonts w:cstheme="minorHAnsi"/>
          <w:szCs w:val="24"/>
        </w:rPr>
      </w:pPr>
      <w:r w:rsidRPr="00DE36E3">
        <w:rPr>
          <w:rFonts w:cstheme="minorHAnsi"/>
          <w:szCs w:val="24"/>
        </w:rPr>
        <w:br w:type="page"/>
      </w:r>
    </w:p>
    <w:p w14:paraId="2C165829" w14:textId="14BA2DB6" w:rsidR="00611CD6" w:rsidRPr="00DE36E3" w:rsidRDefault="00611CD6" w:rsidP="00361A92">
      <w:pPr>
        <w:pStyle w:val="Heading2"/>
        <w:rPr>
          <w:szCs w:val="24"/>
        </w:rPr>
      </w:pPr>
      <w:r w:rsidRPr="00DE36E3">
        <w:rPr>
          <w:szCs w:val="24"/>
        </w:rPr>
        <w:lastRenderedPageBreak/>
        <w:t>Purpose</w:t>
      </w:r>
    </w:p>
    <w:p w14:paraId="1D3F0E8F" w14:textId="5ED4CD87" w:rsidR="00DA3964" w:rsidRPr="00DE36E3" w:rsidRDefault="00DA3964" w:rsidP="00DA3964">
      <w:pPr>
        <w:pStyle w:val="ListParagraph"/>
        <w:numPr>
          <w:ilvl w:val="0"/>
          <w:numId w:val="19"/>
        </w:numPr>
        <w:spacing w:after="240"/>
        <w:ind w:left="357" w:hanging="357"/>
        <w:contextualSpacing w:val="0"/>
        <w:rPr>
          <w:rFonts w:cstheme="minorHAnsi"/>
          <w:szCs w:val="24"/>
        </w:rPr>
      </w:pPr>
      <w:r w:rsidRPr="00DE36E3">
        <w:rPr>
          <w:rFonts w:cstheme="minorHAnsi"/>
          <w:szCs w:val="24"/>
        </w:rPr>
        <w:t>This paper presents the recently reviewed Terms of Reference for the Scientific Advisory Committee for the Board’s approval.</w:t>
      </w:r>
    </w:p>
    <w:p w14:paraId="7B1E210F" w14:textId="54CE8E67" w:rsidR="00DA3964" w:rsidRPr="00DE36E3" w:rsidRDefault="00DA3964" w:rsidP="00DA3964">
      <w:pPr>
        <w:pStyle w:val="Heading2"/>
        <w:rPr>
          <w:szCs w:val="24"/>
        </w:rPr>
      </w:pPr>
      <w:r w:rsidRPr="00DE36E3">
        <w:rPr>
          <w:szCs w:val="24"/>
        </w:rPr>
        <w:t>Changes to SAC Terms of Reference</w:t>
      </w:r>
    </w:p>
    <w:p w14:paraId="4DE725CD" w14:textId="327ED374" w:rsidR="00DA3964" w:rsidRPr="00DE36E3" w:rsidRDefault="00DA3964" w:rsidP="00DA3964">
      <w:pPr>
        <w:pStyle w:val="ListParagraph"/>
        <w:numPr>
          <w:ilvl w:val="0"/>
          <w:numId w:val="19"/>
        </w:numPr>
        <w:spacing w:after="240"/>
        <w:ind w:left="357" w:hanging="357"/>
        <w:contextualSpacing w:val="0"/>
        <w:rPr>
          <w:rFonts w:cstheme="minorHAnsi"/>
          <w:szCs w:val="24"/>
        </w:rPr>
      </w:pPr>
      <w:r w:rsidRPr="00DE36E3">
        <w:rPr>
          <w:rFonts w:cstheme="minorHAnsi"/>
          <w:szCs w:val="24"/>
        </w:rPr>
        <w:t>The following changes have been made in consultation with the Chair of the SAC</w:t>
      </w:r>
      <w:r w:rsidR="00AA004A" w:rsidRPr="00DE36E3">
        <w:rPr>
          <w:rFonts w:cstheme="minorHAnsi"/>
          <w:szCs w:val="24"/>
        </w:rPr>
        <w:t xml:space="preserve"> and Director of Nature and Climate Change</w:t>
      </w:r>
      <w:r w:rsidRPr="00DE36E3">
        <w:rPr>
          <w:rFonts w:cstheme="minorHAnsi"/>
          <w:szCs w:val="24"/>
        </w:rPr>
        <w:t>:</w:t>
      </w:r>
    </w:p>
    <w:p w14:paraId="37A202DD" w14:textId="738FFB45" w:rsidR="00DA3964" w:rsidRPr="00DE36E3" w:rsidRDefault="00DA3964" w:rsidP="00DA3964">
      <w:pPr>
        <w:pStyle w:val="ListParagraph"/>
        <w:numPr>
          <w:ilvl w:val="0"/>
          <w:numId w:val="21"/>
        </w:numPr>
        <w:spacing w:after="240"/>
        <w:ind w:left="714" w:hanging="357"/>
        <w:contextualSpacing w:val="0"/>
        <w:rPr>
          <w:rFonts w:cstheme="minorHAnsi"/>
          <w:szCs w:val="24"/>
        </w:rPr>
      </w:pPr>
      <w:r w:rsidRPr="00DE36E3">
        <w:rPr>
          <w:rFonts w:cstheme="minorHAnsi"/>
          <w:szCs w:val="24"/>
        </w:rPr>
        <w:t xml:space="preserve">Clarification added on </w:t>
      </w:r>
      <w:r w:rsidR="009F3A9A" w:rsidRPr="00DE36E3">
        <w:rPr>
          <w:rFonts w:cstheme="minorHAnsi"/>
          <w:szCs w:val="24"/>
        </w:rPr>
        <w:t>the management and sponsorship</w:t>
      </w:r>
      <w:r w:rsidRPr="00DE36E3">
        <w:rPr>
          <w:rFonts w:cstheme="minorHAnsi"/>
          <w:szCs w:val="24"/>
        </w:rPr>
        <w:t xml:space="preserve"> of sub-groups.</w:t>
      </w:r>
    </w:p>
    <w:p w14:paraId="1A10B139" w14:textId="38292336" w:rsidR="009F3A9A" w:rsidRPr="00DE36E3" w:rsidRDefault="009F3A9A" w:rsidP="00DA3964">
      <w:pPr>
        <w:pStyle w:val="ListParagraph"/>
        <w:numPr>
          <w:ilvl w:val="0"/>
          <w:numId w:val="21"/>
        </w:numPr>
        <w:spacing w:after="240"/>
        <w:ind w:left="714" w:hanging="357"/>
        <w:contextualSpacing w:val="0"/>
        <w:rPr>
          <w:rFonts w:cstheme="minorHAnsi"/>
          <w:szCs w:val="24"/>
        </w:rPr>
      </w:pPr>
      <w:r w:rsidRPr="00DE36E3">
        <w:rPr>
          <w:rFonts w:cstheme="minorHAnsi"/>
          <w:szCs w:val="24"/>
        </w:rPr>
        <w:t>New section on the governance of commissioned SAC work and outputs, including work by sub-groups.</w:t>
      </w:r>
    </w:p>
    <w:p w14:paraId="0B151EFD" w14:textId="1950C4C1" w:rsidR="009F3A9A" w:rsidRPr="00DE36E3" w:rsidRDefault="009F3A9A" w:rsidP="00DA3964">
      <w:pPr>
        <w:pStyle w:val="ListParagraph"/>
        <w:numPr>
          <w:ilvl w:val="0"/>
          <w:numId w:val="21"/>
        </w:numPr>
        <w:spacing w:after="240"/>
        <w:ind w:left="714" w:hanging="357"/>
        <w:contextualSpacing w:val="0"/>
        <w:rPr>
          <w:rFonts w:cstheme="minorHAnsi"/>
          <w:szCs w:val="24"/>
        </w:rPr>
      </w:pPr>
      <w:r w:rsidRPr="00DE36E3">
        <w:rPr>
          <w:rFonts w:cstheme="minorHAnsi"/>
          <w:szCs w:val="24"/>
        </w:rPr>
        <w:t>Additional information on the SAC’s relationship with the Board (e.g. observers, sharing closure reports).</w:t>
      </w:r>
    </w:p>
    <w:p w14:paraId="6475B3F7" w14:textId="09FE2A4D" w:rsidR="009F3A9A" w:rsidRPr="00DE36E3" w:rsidRDefault="009F3A9A" w:rsidP="00DA3964">
      <w:pPr>
        <w:pStyle w:val="ListParagraph"/>
        <w:numPr>
          <w:ilvl w:val="0"/>
          <w:numId w:val="21"/>
        </w:numPr>
        <w:spacing w:after="240"/>
        <w:ind w:left="714" w:hanging="357"/>
        <w:contextualSpacing w:val="0"/>
        <w:rPr>
          <w:rFonts w:cstheme="minorHAnsi"/>
          <w:szCs w:val="24"/>
        </w:rPr>
      </w:pPr>
      <w:r w:rsidRPr="00DE36E3">
        <w:rPr>
          <w:rFonts w:cstheme="minorHAnsi"/>
          <w:szCs w:val="24"/>
        </w:rPr>
        <w:t>Minor update</w:t>
      </w:r>
      <w:r w:rsidR="002E3A2F" w:rsidRPr="00DE36E3">
        <w:rPr>
          <w:rFonts w:cstheme="minorHAnsi"/>
          <w:szCs w:val="24"/>
        </w:rPr>
        <w:t>s</w:t>
      </w:r>
      <w:r w:rsidRPr="00DE36E3">
        <w:rPr>
          <w:rFonts w:cstheme="minorHAnsi"/>
          <w:szCs w:val="24"/>
        </w:rPr>
        <w:t xml:space="preserve"> to NatureScot job titles and </w:t>
      </w:r>
      <w:r w:rsidR="002E3A2F" w:rsidRPr="00DE36E3">
        <w:rPr>
          <w:rFonts w:cstheme="minorHAnsi"/>
          <w:szCs w:val="24"/>
        </w:rPr>
        <w:t xml:space="preserve">staff </w:t>
      </w:r>
      <w:r w:rsidRPr="00DE36E3">
        <w:rPr>
          <w:rFonts w:cstheme="minorHAnsi"/>
          <w:szCs w:val="24"/>
        </w:rPr>
        <w:t>responsibilities to reflect changes since the last review in 2024.</w:t>
      </w:r>
    </w:p>
    <w:p w14:paraId="686B7C09" w14:textId="48EE0C7B" w:rsidR="005D0E4E" w:rsidRPr="00DE36E3" w:rsidRDefault="005D0E4E" w:rsidP="00DA3964">
      <w:pPr>
        <w:pStyle w:val="Heading2"/>
        <w:rPr>
          <w:szCs w:val="24"/>
        </w:rPr>
      </w:pPr>
      <w:r w:rsidRPr="00DE36E3">
        <w:rPr>
          <w:szCs w:val="24"/>
        </w:rPr>
        <w:t>Recommendation</w:t>
      </w:r>
    </w:p>
    <w:p w14:paraId="00B5F867" w14:textId="2B2E59DA" w:rsidR="00DA3964" w:rsidRPr="00DE36E3" w:rsidRDefault="00DA3964" w:rsidP="00DA3964">
      <w:pPr>
        <w:pStyle w:val="ListParagraph"/>
        <w:numPr>
          <w:ilvl w:val="0"/>
          <w:numId w:val="19"/>
        </w:numPr>
        <w:spacing w:after="240"/>
        <w:ind w:left="357" w:hanging="357"/>
        <w:contextualSpacing w:val="0"/>
        <w:rPr>
          <w:rFonts w:cstheme="minorHAnsi"/>
          <w:szCs w:val="24"/>
        </w:rPr>
      </w:pPr>
      <w:r w:rsidRPr="00DE36E3">
        <w:rPr>
          <w:rFonts w:cstheme="minorHAnsi"/>
          <w:szCs w:val="24"/>
        </w:rPr>
        <w:t>The Board is asked to consider and approve the revised Terms of Reference for the Scientific Advisory Committee.</w:t>
      </w:r>
    </w:p>
    <w:p w14:paraId="29A60252" w14:textId="60B3D1B6" w:rsidR="00DA3964" w:rsidRPr="00DE36E3" w:rsidRDefault="00DA3964">
      <w:pPr>
        <w:rPr>
          <w:rFonts w:cstheme="minorHAnsi"/>
          <w:szCs w:val="24"/>
        </w:rPr>
      </w:pPr>
      <w:r w:rsidRPr="00DE36E3">
        <w:rPr>
          <w:rFonts w:cstheme="minorHAnsi"/>
          <w:szCs w:val="24"/>
        </w:rPr>
        <w:br w:type="page"/>
      </w:r>
    </w:p>
    <w:p w14:paraId="57E8F4DB" w14:textId="4067782E" w:rsidR="00FA0E12" w:rsidRPr="00DE36E3" w:rsidRDefault="00FA0E12" w:rsidP="00DA3964">
      <w:pPr>
        <w:autoSpaceDE w:val="0"/>
        <w:autoSpaceDN w:val="0"/>
        <w:adjustRightInd w:val="0"/>
        <w:spacing w:after="0" w:line="240" w:lineRule="auto"/>
        <w:rPr>
          <w:rFonts w:cstheme="minorHAnsi"/>
          <w:szCs w:val="24"/>
        </w:rPr>
      </w:pPr>
    </w:p>
    <w:p w14:paraId="59B94865" w14:textId="30ECA514" w:rsidR="00AA004A" w:rsidRPr="00DE36E3" w:rsidRDefault="00AA004A" w:rsidP="005E6E67">
      <w:pPr>
        <w:pStyle w:val="Heading2"/>
        <w:rPr>
          <w:rFonts w:eastAsia="Times New Roman"/>
          <w:szCs w:val="24"/>
        </w:rPr>
      </w:pPr>
      <w:bookmarkStart w:id="0" w:name="_Toc378846091"/>
      <w:r w:rsidRPr="00DE36E3">
        <w:rPr>
          <w:rFonts w:eastAsia="Times New Roman"/>
          <w:szCs w:val="24"/>
        </w:rPr>
        <w:t>Appendix – SCIENTIFIC ADVISORY COMMITTEE (SAC)</w:t>
      </w:r>
      <w:bookmarkEnd w:id="0"/>
      <w:r w:rsidRPr="00DE36E3">
        <w:rPr>
          <w:rFonts w:eastAsia="Times New Roman"/>
          <w:szCs w:val="24"/>
        </w:rPr>
        <w:t xml:space="preserve"> TERMS OF REFERENCE</w:t>
      </w:r>
    </w:p>
    <w:p w14:paraId="341B3D8F"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Roles and Responsibilities of the NatureScot Scientific Advisory Committee</w:t>
      </w:r>
    </w:p>
    <w:p w14:paraId="14155BE3"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NatureScot Board has established a Scientific Advisory Committee (SAC).</w:t>
      </w:r>
    </w:p>
    <w:p w14:paraId="1272CB24"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Appropriate research and sound evidence provide the basis for informed scientific advice on which many of the operational and strategic decisions or judgements of NatureScot depend. The SAC is an expert committee that has the role of providing or scrutinising scientific advice on which the NatureScot Board and staff base decisions. This reinforces NatureScot's scientific credibility and authority with partners and stakeholders.</w:t>
      </w:r>
    </w:p>
    <w:p w14:paraId="58E7D5FB"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Remit</w:t>
      </w:r>
    </w:p>
    <w:p w14:paraId="5108D6F9"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remit of the SAC is as follows:</w:t>
      </w:r>
    </w:p>
    <w:p w14:paraId="5B2BF1A9" w14:textId="77777777" w:rsidR="00AA004A" w:rsidRPr="00DE36E3" w:rsidRDefault="00AA004A" w:rsidP="00AA004A">
      <w:pPr>
        <w:numPr>
          <w:ilvl w:val="0"/>
          <w:numId w:val="23"/>
        </w:numPr>
        <w:spacing w:after="240" w:line="240" w:lineRule="auto"/>
        <w:ind w:left="714" w:hanging="357"/>
        <w:rPr>
          <w:rFonts w:eastAsia="Times New Roman" w:cstheme="minorHAnsi"/>
          <w:szCs w:val="24"/>
        </w:rPr>
      </w:pPr>
      <w:r w:rsidRPr="00DE36E3">
        <w:rPr>
          <w:rFonts w:eastAsia="Times New Roman" w:cstheme="minorHAnsi"/>
          <w:b/>
          <w:bCs/>
          <w:szCs w:val="24"/>
        </w:rPr>
        <w:t>Advice</w:t>
      </w:r>
      <w:r w:rsidRPr="00DE36E3">
        <w:rPr>
          <w:rFonts w:eastAsia="Times New Roman" w:cstheme="minorHAnsi"/>
          <w:szCs w:val="24"/>
        </w:rPr>
        <w:t>: As requested by NatureScot Board and staff, provide advice on scientific matters; contribute to the development of NatureScot's research and strategic evidence portfolio within the context of the Corporate Plan; advise on novel and contentious proposals and projects; and respond to requests from the Board in relation to wider scientific issues raised by the public and/or scientific community.</w:t>
      </w:r>
    </w:p>
    <w:p w14:paraId="3FE2CD1E" w14:textId="77777777" w:rsidR="00AA004A" w:rsidRPr="00DE36E3" w:rsidRDefault="00AA004A" w:rsidP="00AA004A">
      <w:pPr>
        <w:numPr>
          <w:ilvl w:val="0"/>
          <w:numId w:val="23"/>
        </w:numPr>
        <w:spacing w:after="240" w:line="240" w:lineRule="auto"/>
        <w:ind w:left="714" w:hanging="357"/>
        <w:rPr>
          <w:rFonts w:eastAsia="Times New Roman" w:cstheme="minorHAnsi"/>
          <w:szCs w:val="24"/>
        </w:rPr>
      </w:pPr>
      <w:r w:rsidRPr="00DE36E3">
        <w:rPr>
          <w:rFonts w:eastAsia="Times New Roman" w:cstheme="minorHAnsi"/>
          <w:b/>
          <w:bCs/>
          <w:szCs w:val="24"/>
        </w:rPr>
        <w:t>Peer review</w:t>
      </w:r>
      <w:r w:rsidRPr="00DE36E3">
        <w:rPr>
          <w:rFonts w:eastAsia="Times New Roman" w:cstheme="minorHAnsi"/>
          <w:szCs w:val="24"/>
        </w:rPr>
        <w:t>: In consultation with the Director/Deputy Director of Nature and Climate Change, review the quality, timeliness and relevance of NatureScot internal and commissioned research, and report its findings to the Board and/or to senior staff as appropriate.</w:t>
      </w:r>
    </w:p>
    <w:p w14:paraId="7AE3C0E0" w14:textId="77777777" w:rsidR="00AA004A" w:rsidRPr="00DE36E3" w:rsidRDefault="00AA004A" w:rsidP="00AA004A">
      <w:pPr>
        <w:numPr>
          <w:ilvl w:val="0"/>
          <w:numId w:val="23"/>
        </w:numPr>
        <w:spacing w:after="240" w:line="240" w:lineRule="auto"/>
        <w:ind w:left="714" w:hanging="357"/>
        <w:rPr>
          <w:rFonts w:eastAsia="Times New Roman" w:cstheme="minorHAnsi"/>
          <w:szCs w:val="24"/>
        </w:rPr>
      </w:pPr>
      <w:r w:rsidRPr="00DE36E3">
        <w:rPr>
          <w:rFonts w:eastAsia="Times New Roman" w:cstheme="minorHAnsi"/>
          <w:b/>
          <w:bCs/>
          <w:szCs w:val="24"/>
        </w:rPr>
        <w:t>Review</w:t>
      </w:r>
      <w:r w:rsidRPr="00DE36E3">
        <w:rPr>
          <w:rFonts w:eastAsia="Times New Roman" w:cstheme="minorHAnsi"/>
          <w:szCs w:val="24"/>
        </w:rPr>
        <w:t>: Review the scientific basis for the notification of an SSSI, and any consents, when requested to do so by the Protected Areas Committee, including all cases in which NatureScot is obliged to consider representations made by interested parties, and to advise the NatureScot Board as appropriate.</w:t>
      </w:r>
    </w:p>
    <w:p w14:paraId="0E6B4E6F" w14:textId="77777777" w:rsidR="00AA004A" w:rsidRPr="00DE36E3" w:rsidRDefault="00AA004A" w:rsidP="00AA004A">
      <w:pPr>
        <w:numPr>
          <w:ilvl w:val="0"/>
          <w:numId w:val="23"/>
        </w:numPr>
        <w:spacing w:after="240" w:line="240" w:lineRule="auto"/>
        <w:ind w:left="714" w:hanging="357"/>
        <w:rPr>
          <w:rFonts w:eastAsia="Times New Roman" w:cstheme="minorHAnsi"/>
          <w:szCs w:val="24"/>
        </w:rPr>
      </w:pPr>
      <w:r w:rsidRPr="00DE36E3">
        <w:rPr>
          <w:rFonts w:eastAsia="Times New Roman" w:cstheme="minorHAnsi"/>
          <w:b/>
          <w:bCs/>
          <w:szCs w:val="24"/>
        </w:rPr>
        <w:t>Other contributions</w:t>
      </w:r>
      <w:r w:rsidRPr="00DE36E3">
        <w:rPr>
          <w:rFonts w:eastAsia="Times New Roman" w:cstheme="minorHAnsi"/>
          <w:szCs w:val="24"/>
        </w:rPr>
        <w:t xml:space="preserve">: Contribute, </w:t>
      </w:r>
      <w:proofErr w:type="gramStart"/>
      <w:r w:rsidRPr="00DE36E3">
        <w:rPr>
          <w:rFonts w:eastAsia="Times New Roman" w:cstheme="minorHAnsi"/>
          <w:szCs w:val="24"/>
        </w:rPr>
        <w:t>in light of</w:t>
      </w:r>
      <w:proofErr w:type="gramEnd"/>
      <w:r w:rsidRPr="00DE36E3">
        <w:rPr>
          <w:rFonts w:eastAsia="Times New Roman" w:cstheme="minorHAnsi"/>
          <w:szCs w:val="24"/>
        </w:rPr>
        <w:t xml:space="preserve"> an individual member's specialist knowledge, to in-depth investigations of </w:t>
      </w:r>
      <w:proofErr w:type="gramStart"/>
      <w:r w:rsidRPr="00DE36E3">
        <w:rPr>
          <w:rFonts w:eastAsia="Times New Roman" w:cstheme="minorHAnsi"/>
          <w:szCs w:val="24"/>
        </w:rPr>
        <w:t>particular topics</w:t>
      </w:r>
      <w:proofErr w:type="gramEnd"/>
      <w:r w:rsidRPr="00DE36E3">
        <w:rPr>
          <w:rFonts w:eastAsia="Times New Roman" w:cstheme="minorHAnsi"/>
          <w:szCs w:val="24"/>
        </w:rPr>
        <w:t xml:space="preserve"> as required by the NatureScot Board or when requested by the Director/Deputy Director of Nature and Climate Change.</w:t>
      </w:r>
    </w:p>
    <w:p w14:paraId="45ACB1F2"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Membership</w:t>
      </w:r>
    </w:p>
    <w:p w14:paraId="0D335E8B" w14:textId="77777777" w:rsidR="00AA004A"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membership of the SAC is approved by the NatureScot Board. The Committee comprises up to seven members: the Chair will be drawn from the NatureScot Board. The other members (up to six in number) are appointed through open recruitment outwith NatureScot. The Committee should have a balance of experience and knowledge that covers the breadth of NatureScot science (in the widest sense) requirements. Appointments are normally for three years, with the possibility of re-appointment subject to performance and need, up to a maximum of eight years.</w:t>
      </w:r>
    </w:p>
    <w:p w14:paraId="10F0594E" w14:textId="77777777" w:rsidR="00DE36E3" w:rsidRPr="00DE36E3" w:rsidRDefault="00DE36E3" w:rsidP="00DE36E3">
      <w:pPr>
        <w:spacing w:after="240" w:line="240" w:lineRule="auto"/>
        <w:ind w:left="357"/>
        <w:rPr>
          <w:rFonts w:eastAsia="Times New Roman" w:cstheme="minorHAnsi"/>
          <w:szCs w:val="24"/>
        </w:rPr>
      </w:pPr>
    </w:p>
    <w:p w14:paraId="06BEB4DE"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lastRenderedPageBreak/>
        <w:t>Meetings</w:t>
      </w:r>
    </w:p>
    <w:p w14:paraId="5D2D6F3B"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SAC holds plenary meetings twice a year, and on such other occasions as required by its Chair and the NatureScot Board, depending on the agreed work programme.</w:t>
      </w:r>
    </w:p>
    <w:p w14:paraId="33110852"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 xml:space="preserve">If specialist advice is required on </w:t>
      </w:r>
      <w:proofErr w:type="gramStart"/>
      <w:r w:rsidRPr="00DE36E3">
        <w:rPr>
          <w:rFonts w:eastAsia="Times New Roman" w:cstheme="minorHAnsi"/>
          <w:szCs w:val="24"/>
        </w:rPr>
        <w:t>particular topics</w:t>
      </w:r>
      <w:proofErr w:type="gramEnd"/>
      <w:r w:rsidRPr="00DE36E3">
        <w:rPr>
          <w:rFonts w:eastAsia="Times New Roman" w:cstheme="minorHAnsi"/>
          <w:szCs w:val="24"/>
        </w:rPr>
        <w:t xml:space="preserve">, rather than wider issues (such as marine topics, species/land-management interactions, protected areas proposals), </w:t>
      </w:r>
      <w:r w:rsidRPr="00DE36E3">
        <w:rPr>
          <w:rFonts w:eastAsia="Times New Roman" w:cstheme="minorHAnsi"/>
          <w:vanish/>
          <w:szCs w:val="24"/>
        </w:rPr>
        <w:t xml:space="preserve">wind farm developments, or an individual SSSI, </w:t>
      </w:r>
      <w:r w:rsidRPr="00DE36E3">
        <w:rPr>
          <w:rFonts w:eastAsia="Times New Roman" w:cstheme="minorHAnsi"/>
          <w:szCs w:val="24"/>
        </w:rPr>
        <w:t>it is not expected that the full Committee needs to meet. In such cases a sub-group may be established to advise the full Committee and Board.</w:t>
      </w:r>
    </w:p>
    <w:p w14:paraId="2F78FC1F"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quorum of the SAC is a majority of currently appointed members of the Committee (that is, more than half), including the person chairing the meeting.</w:t>
      </w:r>
    </w:p>
    <w:p w14:paraId="4F6CEBEE"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All members of the NatureScot Board are invited to observe SAC meetings as standard.</w:t>
      </w:r>
    </w:p>
    <w:p w14:paraId="20A3EBEB"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‘Standing Orders for meetings of the NatureScot Board’ set out in the Ways of Working Guidance apply as appropriate to the meetings of the SAC.</w:t>
      </w:r>
    </w:p>
    <w:p w14:paraId="4B9E63C6"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In the interests of limiting its environmental impact, where possible NatureScot will utilise video/telephone conferencing equipment to reduce the need for attendees to travel to meetings. Meetings may be held in person where it is valuable to do so.</w:t>
      </w:r>
    </w:p>
    <w:p w14:paraId="16666EC3"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Where necessary, the SAC may hold additional online meetings (two to three a year). These will be informal sessions including workshops for more in-depth exploration of complex issues.</w:t>
      </w:r>
    </w:p>
    <w:p w14:paraId="72B3DB6B"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Expert Panel and external contributors</w:t>
      </w:r>
    </w:p>
    <w:p w14:paraId="78F59AFE"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 xml:space="preserve">The SAC may request the SAC Chair and Director/Deputy Director of Nature and Climate Change to maintain a panel or list of experts on whose expertise and knowledge they may draw, subject to “registerable interests” as set out in NatureScot’s Standing Orders and Ways of Working Guidance. People invited to be on this SAC Expert Panel will only receive remuneration </w:t>
      </w:r>
      <w:proofErr w:type="gramStart"/>
      <w:r w:rsidRPr="00DE36E3">
        <w:rPr>
          <w:rFonts w:eastAsia="Times New Roman" w:cstheme="minorHAnsi"/>
          <w:szCs w:val="24"/>
        </w:rPr>
        <w:t>if and when</w:t>
      </w:r>
      <w:proofErr w:type="gramEnd"/>
      <w:r w:rsidRPr="00DE36E3">
        <w:rPr>
          <w:rFonts w:eastAsia="Times New Roman" w:cstheme="minorHAnsi"/>
          <w:szCs w:val="24"/>
        </w:rPr>
        <w:t xml:space="preserve"> they are asked to provide a service to the SAC or to NatureScot staff.</w:t>
      </w:r>
    </w:p>
    <w:p w14:paraId="0147FDAF"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SAC may, if required, engage an external specialist advisor to assist in the assessment of representations made to a SSSI notification and broader areas of work.</w:t>
      </w:r>
    </w:p>
    <w:p w14:paraId="41DBDC58"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Sub-groups</w:t>
      </w:r>
    </w:p>
    <w:p w14:paraId="2AA0F789"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 xml:space="preserve">The SAC may wish to delegate specific activities, including provision of advice, to a sub-group. Such sub-groups would be expected to have no fewer than two members of the SAC, with one member chairing the group. Sub-group members can also be drawn from the SAC Expert </w:t>
      </w:r>
      <w:proofErr w:type="gramStart"/>
      <w:r w:rsidRPr="00DE36E3">
        <w:rPr>
          <w:rFonts w:eastAsia="Times New Roman" w:cstheme="minorHAnsi"/>
          <w:szCs w:val="24"/>
        </w:rPr>
        <w:t>Panel</w:t>
      </w:r>
      <w:proofErr w:type="gramEnd"/>
      <w:r w:rsidRPr="00DE36E3">
        <w:rPr>
          <w:rFonts w:eastAsia="Times New Roman" w:cstheme="minorHAnsi"/>
          <w:szCs w:val="24"/>
        </w:rPr>
        <w:t xml:space="preserve"> and invitations can be made to other individuals, where necessary, to supplement the expertise of the SAC and Expert Panel.</w:t>
      </w:r>
    </w:p>
    <w:p w14:paraId="7C45005B"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Once established, relevant subject experts from NatureScot are expected to lead on management of the work of an SAC sub-group, under the supervision of the sub-group sponsor (Head of Terrestrial or Marine Science). This includes agreeing the ownership of the sub-group’s outputs.</w:t>
      </w:r>
    </w:p>
    <w:p w14:paraId="7E2BAF19"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lastRenderedPageBreak/>
        <w:t>Progress with the work by each established sub-group will be reported to the SAC at its bi-annual plenary meetings.</w:t>
      </w:r>
    </w:p>
    <w:p w14:paraId="6CE93EA7"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Governance</w:t>
      </w:r>
    </w:p>
    <w:p w14:paraId="4B156E26"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SAC is a Committee of the NatureScot Board and reports directly to it. An annual report will be made to the Board on the work of the Committee.</w:t>
      </w:r>
    </w:p>
    <w:p w14:paraId="102F8DC9" w14:textId="77777777" w:rsidR="00AA004A" w:rsidRPr="00DE36E3" w:rsidRDefault="00AA004A" w:rsidP="00AA004A">
      <w:pPr>
        <w:numPr>
          <w:ilvl w:val="0"/>
          <w:numId w:val="22"/>
        </w:numPr>
        <w:spacing w:after="240" w:line="240" w:lineRule="auto"/>
        <w:rPr>
          <w:rFonts w:eastAsia="Times New Roman" w:cstheme="minorHAnsi"/>
          <w:szCs w:val="24"/>
        </w:rPr>
      </w:pPr>
      <w:r w:rsidRPr="00DE36E3">
        <w:rPr>
          <w:rFonts w:eastAsia="Times New Roman" w:cstheme="minorHAnsi"/>
          <w:szCs w:val="24"/>
        </w:rPr>
        <w:t>The commissioning process for any SAC output is dependent upon the final audience for the output. Novel or contentious cases may require additional input from the NatureScot Board, regardless of the final audience:</w:t>
      </w:r>
    </w:p>
    <w:p w14:paraId="0B5F13AA" w14:textId="77777777" w:rsidR="00AA004A" w:rsidRPr="00DE36E3" w:rsidRDefault="00AA004A" w:rsidP="00AA004A">
      <w:pPr>
        <w:numPr>
          <w:ilvl w:val="0"/>
          <w:numId w:val="24"/>
        </w:numPr>
        <w:spacing w:after="240" w:line="240" w:lineRule="auto"/>
        <w:rPr>
          <w:rFonts w:eastAsia="Times New Roman" w:cstheme="minorHAnsi"/>
          <w:szCs w:val="24"/>
        </w:rPr>
      </w:pPr>
      <w:r w:rsidRPr="00DE36E3">
        <w:rPr>
          <w:rFonts w:eastAsia="Times New Roman" w:cstheme="minorHAnsi"/>
          <w:szCs w:val="24"/>
        </w:rPr>
        <w:t>Where the work is commissioned by NatureScot staff, approval of the commission, and acceptance of the report rests with the sponsor (Head of Terrestrial or Marine Science).</w:t>
      </w:r>
    </w:p>
    <w:p w14:paraId="59822AB6" w14:textId="77777777" w:rsidR="00AA004A" w:rsidRPr="00DE36E3" w:rsidRDefault="00AA004A" w:rsidP="00AA004A">
      <w:pPr>
        <w:numPr>
          <w:ilvl w:val="0"/>
          <w:numId w:val="24"/>
        </w:numPr>
        <w:spacing w:after="240" w:line="240" w:lineRule="auto"/>
        <w:rPr>
          <w:rFonts w:eastAsia="Times New Roman" w:cstheme="minorHAnsi"/>
          <w:szCs w:val="24"/>
        </w:rPr>
      </w:pPr>
      <w:r w:rsidRPr="00DE36E3">
        <w:rPr>
          <w:rFonts w:eastAsia="Times New Roman" w:cstheme="minorHAnsi"/>
          <w:szCs w:val="24"/>
        </w:rPr>
        <w:t>Where commissioning of the output is at the request of the NatureScot Board, the SAC Chair approves the commission and recommends approval of the final report to support NatureScot Board decision making.</w:t>
      </w:r>
    </w:p>
    <w:p w14:paraId="71AD6CAB" w14:textId="77777777" w:rsidR="00AA004A" w:rsidRPr="00DE36E3" w:rsidRDefault="00AA004A" w:rsidP="00AA004A">
      <w:pPr>
        <w:numPr>
          <w:ilvl w:val="0"/>
          <w:numId w:val="24"/>
        </w:numPr>
        <w:spacing w:after="240" w:line="240" w:lineRule="auto"/>
        <w:rPr>
          <w:rFonts w:eastAsia="Times New Roman" w:cstheme="minorHAnsi"/>
          <w:szCs w:val="24"/>
        </w:rPr>
      </w:pPr>
      <w:r w:rsidRPr="00DE36E3">
        <w:rPr>
          <w:rFonts w:eastAsia="Times New Roman" w:cstheme="minorHAnsi"/>
          <w:szCs w:val="24"/>
        </w:rPr>
        <w:t>In the event of a Ministerial commission for SAC advice, the SAC Chair agrees the scope of the Commission with the NatureScot Board Chair and recommends approval of the final advice to the NatureScot Board prior to onward submission.</w:t>
      </w:r>
    </w:p>
    <w:p w14:paraId="252ED32F"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Once a sub-group’s work is complete, a final closure report will be prepared for the SAC to note at its next plenary meeting. Following SAC consideration, all closure reports will be shared with the NatureScot Board for information via correspondence.</w:t>
      </w:r>
    </w:p>
    <w:p w14:paraId="10687DAE" w14:textId="77777777" w:rsidR="00AA004A" w:rsidRPr="00DE36E3" w:rsidRDefault="00AA004A" w:rsidP="00AA004A">
      <w:pPr>
        <w:spacing w:after="240" w:line="240" w:lineRule="auto"/>
        <w:outlineLvl w:val="1"/>
        <w:rPr>
          <w:rFonts w:eastAsia="Times New Roman" w:cstheme="minorHAnsi"/>
          <w:b/>
          <w:bCs/>
          <w:szCs w:val="24"/>
          <w:lang w:eastAsia="en-GB"/>
        </w:rPr>
      </w:pPr>
      <w:r w:rsidRPr="00DE36E3">
        <w:rPr>
          <w:rFonts w:eastAsia="Times New Roman" w:cstheme="minorHAnsi"/>
          <w:b/>
          <w:bCs/>
          <w:szCs w:val="24"/>
          <w:bdr w:val="none" w:sz="0" w:space="0" w:color="auto" w:frame="1"/>
          <w:lang w:eastAsia="en-GB"/>
        </w:rPr>
        <w:t>Openness and transparency</w:t>
      </w:r>
    </w:p>
    <w:p w14:paraId="13AA3A41" w14:textId="77777777" w:rsidR="00AA004A" w:rsidRPr="00DE36E3" w:rsidRDefault="00AA004A" w:rsidP="00AA004A">
      <w:pPr>
        <w:numPr>
          <w:ilvl w:val="0"/>
          <w:numId w:val="22"/>
        </w:numPr>
        <w:spacing w:after="240" w:line="240" w:lineRule="auto"/>
        <w:ind w:left="357" w:hanging="357"/>
        <w:rPr>
          <w:rFonts w:eastAsia="Times New Roman" w:cstheme="minorHAnsi"/>
          <w:szCs w:val="24"/>
          <w:lang w:eastAsia="en-GB"/>
        </w:rPr>
      </w:pPr>
      <w:r w:rsidRPr="00DE36E3">
        <w:rPr>
          <w:rFonts w:eastAsia="Times New Roman" w:cstheme="minorHAnsi"/>
          <w:szCs w:val="24"/>
          <w:bdr w:val="none" w:sz="0" w:space="0" w:color="auto" w:frame="1"/>
          <w:lang w:eastAsia="en-GB"/>
        </w:rPr>
        <w:t>The SAC meetings generally include both closed (to address ‘official sensitive’ matters) and open sessions. Access to the open session meeting agenda will be available to the public five days prior to each meeting via www.nature.scot. Open session meeting papers will be available to download from the website five days prior to the meeting. Open session minutes will be made available on the website once confirmed as true and accurate records by the Chair and Committee members.</w:t>
      </w:r>
    </w:p>
    <w:p w14:paraId="04899261" w14:textId="77777777" w:rsidR="00AA004A" w:rsidRPr="00DE36E3" w:rsidRDefault="00AA004A" w:rsidP="00AA004A">
      <w:pPr>
        <w:numPr>
          <w:ilvl w:val="0"/>
          <w:numId w:val="22"/>
        </w:numPr>
        <w:spacing w:after="240" w:line="240" w:lineRule="auto"/>
        <w:ind w:left="357" w:hanging="357"/>
        <w:rPr>
          <w:rFonts w:eastAsia="Times New Roman" w:cstheme="minorHAnsi"/>
          <w:szCs w:val="24"/>
          <w:lang w:eastAsia="en-GB"/>
        </w:rPr>
      </w:pPr>
      <w:r w:rsidRPr="00DE36E3">
        <w:rPr>
          <w:rFonts w:eastAsia="Times New Roman" w:cstheme="minorHAnsi"/>
          <w:szCs w:val="24"/>
          <w:bdr w:val="none" w:sz="0" w:space="0" w:color="auto" w:frame="1"/>
          <w:lang w:eastAsia="en-GB"/>
        </w:rPr>
        <w:t>Notice of planned attendance by the public to open session items must be provided at least 24 hours prior to any SAC meeting by contacting the Nature and Climate Change Directorate Support team.</w:t>
      </w:r>
      <w:r w:rsidRPr="00DE36E3">
        <w:rPr>
          <w:rFonts w:eastAsia="Times New Roman" w:cstheme="minorHAnsi"/>
          <w:color w:val="1F497D"/>
          <w:szCs w:val="24"/>
          <w:bdr w:val="none" w:sz="0" w:space="0" w:color="auto" w:frame="1"/>
          <w:lang w:eastAsia="en-GB"/>
        </w:rPr>
        <w:t xml:space="preserve"> </w:t>
      </w:r>
      <w:r w:rsidRPr="00DE36E3">
        <w:rPr>
          <w:rFonts w:eastAsia="Times New Roman" w:cstheme="minorHAnsi"/>
          <w:szCs w:val="24"/>
          <w:bdr w:val="none" w:sz="0" w:space="0" w:color="auto" w:frame="1"/>
          <w:lang w:eastAsia="en-GB"/>
        </w:rPr>
        <w:t>Members of the public cannot participate in discussions or decisions of the SAC during the meeting.</w:t>
      </w:r>
    </w:p>
    <w:p w14:paraId="2CC140A5"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Remuneration for additional time allocated to an SAC member</w:t>
      </w:r>
    </w:p>
    <w:p w14:paraId="0CD9D6A2" w14:textId="77777777" w:rsidR="00AA004A"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In some circumstances, an SAC member may be asked to work more than ten days per annum. Where this is the case, the Director/Deputy Director of Nature and Climate Change and the Director Support Manager will liaise with Executive Office. This is subject to Guidance in the chapter ‘Remuneration for Board and Committee Members’.</w:t>
      </w:r>
    </w:p>
    <w:p w14:paraId="791D5492" w14:textId="77777777" w:rsidR="00DE36E3" w:rsidRPr="00DE36E3" w:rsidRDefault="00DE36E3" w:rsidP="00DE36E3">
      <w:pPr>
        <w:spacing w:after="240" w:line="240" w:lineRule="auto"/>
        <w:ind w:left="357"/>
        <w:rPr>
          <w:rFonts w:eastAsia="Times New Roman" w:cstheme="minorHAnsi"/>
          <w:szCs w:val="24"/>
        </w:rPr>
      </w:pPr>
    </w:p>
    <w:p w14:paraId="1C0BAC6B" w14:textId="77777777" w:rsidR="00AA004A" w:rsidRPr="00DE36E3" w:rsidRDefault="00AA004A" w:rsidP="00AA004A">
      <w:pPr>
        <w:widowControl w:val="0"/>
        <w:spacing w:after="240" w:line="240" w:lineRule="auto"/>
        <w:outlineLvl w:val="1"/>
        <w:rPr>
          <w:rFonts w:eastAsia="Times New Roman" w:cstheme="minorHAnsi"/>
          <w:b/>
          <w:bCs/>
          <w:szCs w:val="24"/>
        </w:rPr>
      </w:pPr>
      <w:r w:rsidRPr="00DE36E3">
        <w:rPr>
          <w:rFonts w:eastAsia="Times New Roman" w:cstheme="minorHAnsi"/>
          <w:b/>
          <w:bCs/>
          <w:szCs w:val="24"/>
        </w:rPr>
        <w:lastRenderedPageBreak/>
        <w:t>Dignity at work</w:t>
      </w:r>
    </w:p>
    <w:p w14:paraId="06E234C1" w14:textId="77777777" w:rsidR="00AA004A" w:rsidRPr="00DE36E3" w:rsidRDefault="00AA004A" w:rsidP="00AA004A">
      <w:pPr>
        <w:widowControl w:val="0"/>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NatureScot is an equal opportunities employer and is committed to treating every member of staff with dignity and respect. The individual and corporate responsibilities outlined in our Dignity at Work Policy extend to Committee members and incorporate duties under the Equality Act 2010.</w:t>
      </w:r>
    </w:p>
    <w:p w14:paraId="2F0E8636"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Time recording</w:t>
      </w:r>
    </w:p>
    <w:p w14:paraId="5B3FA500" w14:textId="77777777" w:rsidR="00AA004A" w:rsidRPr="00DE36E3" w:rsidRDefault="00AA004A" w:rsidP="00AA004A">
      <w:pPr>
        <w:numPr>
          <w:ilvl w:val="0"/>
          <w:numId w:val="22"/>
        </w:numPr>
        <w:spacing w:after="240" w:line="240" w:lineRule="auto"/>
        <w:ind w:left="357" w:hanging="357"/>
        <w:rPr>
          <w:rFonts w:eastAsia="Times New Roman" w:cstheme="minorHAnsi"/>
          <w:szCs w:val="24"/>
          <w:lang w:eastAsia="en-GB"/>
        </w:rPr>
      </w:pPr>
      <w:r w:rsidRPr="00DE36E3">
        <w:rPr>
          <w:rFonts w:eastAsia="Times New Roman" w:cstheme="minorHAnsi"/>
          <w:szCs w:val="24"/>
          <w:lang w:eastAsia="en-GB"/>
        </w:rPr>
        <w:t>If any Member feels there is a need to work additional time, or that circumstances are such that they are unable to fulfil the full number of contracted days, then they should discuss this with the SAC Chair and Director/Deputy Director of Nature and Climate Change. The SAC Chair and Director/Deputy Director of Nature and Climate Change will subsequently advise Executive Office. NatureScot will only ask for Work Recording forms to be completed by Members to support a claim for time over and above their normal contracted days.</w:t>
      </w:r>
    </w:p>
    <w:p w14:paraId="33A9D39B"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Performance appraisal</w:t>
      </w:r>
    </w:p>
    <w:p w14:paraId="1527BCA6"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Chair will carry out an informal performance appraisal with each SAC member each year. Any relevant developmental needs will be identified, and action taken to meet these. Written appraisal reports will be produced at the start of the third year of a member’s term of office and discussed with the SAC member.</w:t>
      </w:r>
    </w:p>
    <w:p w14:paraId="307CEFE4"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Support services</w:t>
      </w:r>
    </w:p>
    <w:p w14:paraId="440BD186" w14:textId="77777777" w:rsidR="00AA004A" w:rsidRPr="00DE36E3" w:rsidRDefault="00AA004A" w:rsidP="00AA004A">
      <w:pPr>
        <w:numPr>
          <w:ilvl w:val="0"/>
          <w:numId w:val="22"/>
        </w:numPr>
        <w:spacing w:after="240" w:line="240" w:lineRule="auto"/>
        <w:ind w:left="357" w:hanging="357"/>
        <w:rPr>
          <w:rFonts w:eastAsia="Times New Roman" w:cstheme="minorHAnsi"/>
          <w:b/>
          <w:bCs/>
          <w:szCs w:val="24"/>
        </w:rPr>
      </w:pPr>
      <w:r w:rsidRPr="00DE36E3">
        <w:rPr>
          <w:rFonts w:eastAsia="Times New Roman" w:cstheme="minorHAnsi"/>
          <w:szCs w:val="24"/>
        </w:rPr>
        <w:t>The administrative and scientific servicing of the SAC are undertaken by the Nature and Climate Change Directorate</w:t>
      </w:r>
      <w:r w:rsidRPr="00DE36E3">
        <w:rPr>
          <w:rFonts w:eastAsia="Times New Roman" w:cstheme="minorHAnsi"/>
          <w:vanish/>
          <w:szCs w:val="24"/>
        </w:rPr>
        <w:t>, with staff (led by the Heads of Terrestrial and Marine Science) providing the appropriate scientific material and advice to the SAC members.</w:t>
      </w:r>
      <w:r w:rsidRPr="00DE36E3">
        <w:rPr>
          <w:rFonts w:eastAsia="Times New Roman" w:cstheme="minorHAnsi"/>
          <w:szCs w:val="24"/>
        </w:rPr>
        <w:t xml:space="preserve"> In addition, it may be appropriate for a member of the Director Support Team to act as the scientific secretary to the SAC and its sub-groups. More information about these services can be provided on request.</w:t>
      </w:r>
    </w:p>
    <w:p w14:paraId="1471D767" w14:textId="77777777" w:rsidR="00AA004A" w:rsidRPr="00DE36E3" w:rsidRDefault="00AA004A" w:rsidP="00AA004A">
      <w:pPr>
        <w:spacing w:after="240" w:line="240" w:lineRule="auto"/>
        <w:outlineLvl w:val="1"/>
        <w:rPr>
          <w:rFonts w:eastAsia="Times New Roman" w:cstheme="minorHAnsi"/>
          <w:b/>
          <w:bCs/>
          <w:szCs w:val="24"/>
        </w:rPr>
      </w:pPr>
      <w:r w:rsidRPr="00DE36E3">
        <w:rPr>
          <w:rFonts w:eastAsia="Times New Roman" w:cstheme="minorHAnsi"/>
          <w:b/>
          <w:bCs/>
          <w:szCs w:val="24"/>
        </w:rPr>
        <w:t>Review</w:t>
      </w:r>
    </w:p>
    <w:p w14:paraId="6E613619" w14:textId="77777777" w:rsidR="00AA004A" w:rsidRPr="00DE36E3" w:rsidRDefault="00AA004A" w:rsidP="00AA004A">
      <w:pPr>
        <w:numPr>
          <w:ilvl w:val="0"/>
          <w:numId w:val="22"/>
        </w:numPr>
        <w:spacing w:after="240" w:line="240" w:lineRule="auto"/>
        <w:ind w:left="357" w:hanging="357"/>
        <w:rPr>
          <w:rFonts w:eastAsia="Times New Roman" w:cstheme="minorHAnsi"/>
          <w:szCs w:val="24"/>
        </w:rPr>
      </w:pPr>
      <w:r w:rsidRPr="00DE36E3">
        <w:rPr>
          <w:rFonts w:eastAsia="Times New Roman" w:cstheme="minorHAnsi"/>
          <w:szCs w:val="24"/>
        </w:rPr>
        <w:t>The Terms of Reference of the Scientific Advisory Committee are reviewed every two years. The last review was in June 2026, and the changes were endorsed by Board in July 2026.</w:t>
      </w:r>
    </w:p>
    <w:sectPr w:rsidR="00AA004A" w:rsidRPr="00DE36E3" w:rsidSect="00604DB9">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67DC" w14:textId="77777777" w:rsidR="00A36FF8" w:rsidRDefault="00A36FF8" w:rsidP="00204D20">
      <w:pPr>
        <w:spacing w:after="0" w:line="240" w:lineRule="auto"/>
      </w:pPr>
      <w:r>
        <w:separator/>
      </w:r>
    </w:p>
  </w:endnote>
  <w:endnote w:type="continuationSeparator" w:id="0">
    <w:p w14:paraId="54F516C5" w14:textId="77777777" w:rsidR="00A36FF8" w:rsidRDefault="00A36FF8"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795D" w14:textId="77777777" w:rsidR="00A36FF8" w:rsidRDefault="00A36FF8" w:rsidP="00204D20">
      <w:pPr>
        <w:spacing w:after="0" w:line="240" w:lineRule="auto"/>
      </w:pPr>
      <w:r>
        <w:separator/>
      </w:r>
    </w:p>
  </w:footnote>
  <w:footnote w:type="continuationSeparator" w:id="0">
    <w:p w14:paraId="595C5CC6" w14:textId="77777777" w:rsidR="00A36FF8" w:rsidRDefault="00A36FF8"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8146" w14:textId="4F1F186E" w:rsidR="00DE36E3" w:rsidRPr="00DE36E3" w:rsidRDefault="00DE36E3" w:rsidP="00DE36E3">
    <w:pPr>
      <w:pStyle w:val="Header"/>
      <w:jc w:val="right"/>
      <w:rPr>
        <w:b/>
        <w:bCs/>
      </w:rPr>
    </w:pPr>
    <w:r w:rsidRPr="00DE36E3">
      <w:rPr>
        <w:b/>
        <w:bCs/>
      </w:rPr>
      <w:t>BOARD/227/1</w:t>
    </w:r>
    <w:r w:rsidR="002737F7">
      <w:rPr>
        <w:b/>
        <w:bC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42DF5"/>
    <w:multiLevelType w:val="hybridMultilevel"/>
    <w:tmpl w:val="BB08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73B74"/>
    <w:multiLevelType w:val="hybridMultilevel"/>
    <w:tmpl w:val="8E76E8AA"/>
    <w:lvl w:ilvl="0" w:tplc="3DAE8C8A">
      <w:start w:val="1"/>
      <w:numFmt w:val="decimal"/>
      <w:lvlText w:val="%1."/>
      <w:lvlJc w:val="left"/>
      <w:pPr>
        <w:tabs>
          <w:tab w:val="num" w:pos="360"/>
        </w:tabs>
        <w:ind w:left="360" w:hanging="360"/>
      </w:pPr>
      <w:rPr>
        <w:rFonts w:ascii="Arial" w:hAnsi="Arial" w:cs="Arial" w:hint="default"/>
        <w:b w:val="0"/>
        <w:sz w:val="22"/>
        <w:szCs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6766FAF"/>
    <w:multiLevelType w:val="hybridMultilevel"/>
    <w:tmpl w:val="4A30A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03C38"/>
    <w:multiLevelType w:val="hybridMultilevel"/>
    <w:tmpl w:val="F9D62C5E"/>
    <w:lvl w:ilvl="0" w:tplc="BBB8F502">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F2451D"/>
    <w:multiLevelType w:val="hybridMultilevel"/>
    <w:tmpl w:val="6618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2851C5"/>
    <w:multiLevelType w:val="hybridMultilevel"/>
    <w:tmpl w:val="0FB2654E"/>
    <w:lvl w:ilvl="0" w:tplc="08090017">
      <w:start w:val="1"/>
      <w:numFmt w:val="lowerLetter"/>
      <w:lvlText w:val="%1)"/>
      <w:lvlJc w:val="left"/>
      <w:pPr>
        <w:tabs>
          <w:tab w:val="num" w:pos="720"/>
        </w:tabs>
        <w:ind w:left="720" w:hanging="360"/>
      </w:pPr>
      <w:rPr>
        <w:rFonts w:hint="default"/>
        <w:b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76940">
    <w:abstractNumId w:val="20"/>
  </w:num>
  <w:num w:numId="2" w16cid:durableId="391120054">
    <w:abstractNumId w:val="10"/>
  </w:num>
  <w:num w:numId="3" w16cid:durableId="1428233009">
    <w:abstractNumId w:val="19"/>
  </w:num>
  <w:num w:numId="4" w16cid:durableId="1693650776">
    <w:abstractNumId w:val="7"/>
  </w:num>
  <w:num w:numId="5" w16cid:durableId="676687727">
    <w:abstractNumId w:val="4"/>
  </w:num>
  <w:num w:numId="6" w16cid:durableId="1353217163">
    <w:abstractNumId w:val="3"/>
  </w:num>
  <w:num w:numId="7" w16cid:durableId="583953373">
    <w:abstractNumId w:val="11"/>
  </w:num>
  <w:num w:numId="8" w16cid:durableId="278416281">
    <w:abstractNumId w:val="9"/>
  </w:num>
  <w:num w:numId="9" w16cid:durableId="1102381683">
    <w:abstractNumId w:val="2"/>
  </w:num>
  <w:num w:numId="10" w16cid:durableId="138883948">
    <w:abstractNumId w:val="14"/>
  </w:num>
  <w:num w:numId="11" w16cid:durableId="1745443903">
    <w:abstractNumId w:val="0"/>
  </w:num>
  <w:num w:numId="12" w16cid:durableId="83036238">
    <w:abstractNumId w:val="16"/>
  </w:num>
  <w:num w:numId="13" w16cid:durableId="1596745700">
    <w:abstractNumId w:val="17"/>
  </w:num>
  <w:num w:numId="14" w16cid:durableId="2068797000">
    <w:abstractNumId w:val="22"/>
  </w:num>
  <w:num w:numId="15" w16cid:durableId="1150364867">
    <w:abstractNumId w:val="8"/>
  </w:num>
  <w:num w:numId="16" w16cid:durableId="1188718780">
    <w:abstractNumId w:val="1"/>
  </w:num>
  <w:num w:numId="17" w16cid:durableId="1192691624">
    <w:abstractNumId w:val="6"/>
  </w:num>
  <w:num w:numId="18" w16cid:durableId="1144734103">
    <w:abstractNumId w:val="6"/>
  </w:num>
  <w:num w:numId="19" w16cid:durableId="678048640">
    <w:abstractNumId w:val="13"/>
  </w:num>
  <w:num w:numId="20" w16cid:durableId="569734624">
    <w:abstractNumId w:val="18"/>
  </w:num>
  <w:num w:numId="21" w16cid:durableId="363597740">
    <w:abstractNumId w:val="15"/>
  </w:num>
  <w:num w:numId="22" w16cid:durableId="1540437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99160">
    <w:abstractNumId w:val="5"/>
  </w:num>
  <w:num w:numId="24" w16cid:durableId="759643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2196"/>
    <w:rsid w:val="000043B7"/>
    <w:rsid w:val="000048EA"/>
    <w:rsid w:val="00016C54"/>
    <w:rsid w:val="000936B1"/>
    <w:rsid w:val="000B62DF"/>
    <w:rsid w:val="000E2B44"/>
    <w:rsid w:val="001033FB"/>
    <w:rsid w:val="00111B84"/>
    <w:rsid w:val="001160F9"/>
    <w:rsid w:val="00116D66"/>
    <w:rsid w:val="00120B7F"/>
    <w:rsid w:val="00146276"/>
    <w:rsid w:val="00162DE7"/>
    <w:rsid w:val="00170706"/>
    <w:rsid w:val="001753AB"/>
    <w:rsid w:val="00183C38"/>
    <w:rsid w:val="001B0832"/>
    <w:rsid w:val="001B6867"/>
    <w:rsid w:val="001E63F0"/>
    <w:rsid w:val="001F7397"/>
    <w:rsid w:val="00204D20"/>
    <w:rsid w:val="0020596F"/>
    <w:rsid w:val="00217896"/>
    <w:rsid w:val="00236700"/>
    <w:rsid w:val="00257A02"/>
    <w:rsid w:val="00264512"/>
    <w:rsid w:val="00265931"/>
    <w:rsid w:val="002737F7"/>
    <w:rsid w:val="002A7A0F"/>
    <w:rsid w:val="002E28CC"/>
    <w:rsid w:val="002E3A2F"/>
    <w:rsid w:val="002E577B"/>
    <w:rsid w:val="00304855"/>
    <w:rsid w:val="00322D98"/>
    <w:rsid w:val="0032429D"/>
    <w:rsid w:val="0033297B"/>
    <w:rsid w:val="003344F1"/>
    <w:rsid w:val="00361A92"/>
    <w:rsid w:val="00366E4B"/>
    <w:rsid w:val="00387703"/>
    <w:rsid w:val="003A0BAA"/>
    <w:rsid w:val="003A1445"/>
    <w:rsid w:val="003B170D"/>
    <w:rsid w:val="003C0B5D"/>
    <w:rsid w:val="003C3F48"/>
    <w:rsid w:val="003E22BB"/>
    <w:rsid w:val="003E509E"/>
    <w:rsid w:val="004256C5"/>
    <w:rsid w:val="004267F2"/>
    <w:rsid w:val="00460391"/>
    <w:rsid w:val="0047036E"/>
    <w:rsid w:val="00474D07"/>
    <w:rsid w:val="004A1B7D"/>
    <w:rsid w:val="004B4101"/>
    <w:rsid w:val="004D7F46"/>
    <w:rsid w:val="004F1BBD"/>
    <w:rsid w:val="004F3D8D"/>
    <w:rsid w:val="00501026"/>
    <w:rsid w:val="00505836"/>
    <w:rsid w:val="00506E5C"/>
    <w:rsid w:val="00517412"/>
    <w:rsid w:val="005261AF"/>
    <w:rsid w:val="00530421"/>
    <w:rsid w:val="00545A1C"/>
    <w:rsid w:val="00546D2A"/>
    <w:rsid w:val="00567227"/>
    <w:rsid w:val="005926A8"/>
    <w:rsid w:val="005C2858"/>
    <w:rsid w:val="005C6F3F"/>
    <w:rsid w:val="005D0E4E"/>
    <w:rsid w:val="005E009A"/>
    <w:rsid w:val="005E6E67"/>
    <w:rsid w:val="005F2537"/>
    <w:rsid w:val="005F53C1"/>
    <w:rsid w:val="00600E8F"/>
    <w:rsid w:val="00604DB9"/>
    <w:rsid w:val="00611CD6"/>
    <w:rsid w:val="0061200E"/>
    <w:rsid w:val="00612D8B"/>
    <w:rsid w:val="00617BA8"/>
    <w:rsid w:val="00633F28"/>
    <w:rsid w:val="00683DAA"/>
    <w:rsid w:val="00690252"/>
    <w:rsid w:val="006B521F"/>
    <w:rsid w:val="006D3FA5"/>
    <w:rsid w:val="006E075C"/>
    <w:rsid w:val="006E336B"/>
    <w:rsid w:val="006E7703"/>
    <w:rsid w:val="00701143"/>
    <w:rsid w:val="00716410"/>
    <w:rsid w:val="00717EC9"/>
    <w:rsid w:val="00751947"/>
    <w:rsid w:val="00772028"/>
    <w:rsid w:val="007C5167"/>
    <w:rsid w:val="007D33E1"/>
    <w:rsid w:val="007D4236"/>
    <w:rsid w:val="007D5F0B"/>
    <w:rsid w:val="007F7278"/>
    <w:rsid w:val="00834565"/>
    <w:rsid w:val="008558A8"/>
    <w:rsid w:val="00866908"/>
    <w:rsid w:val="00871EC6"/>
    <w:rsid w:val="00897B62"/>
    <w:rsid w:val="008D2399"/>
    <w:rsid w:val="008F3AA0"/>
    <w:rsid w:val="0093190C"/>
    <w:rsid w:val="00946309"/>
    <w:rsid w:val="0097102E"/>
    <w:rsid w:val="00976B38"/>
    <w:rsid w:val="00985ED0"/>
    <w:rsid w:val="009A0129"/>
    <w:rsid w:val="009A549A"/>
    <w:rsid w:val="009B467A"/>
    <w:rsid w:val="009B6B14"/>
    <w:rsid w:val="009B6D46"/>
    <w:rsid w:val="009E599C"/>
    <w:rsid w:val="009E619F"/>
    <w:rsid w:val="009F3A9A"/>
    <w:rsid w:val="00A02F9F"/>
    <w:rsid w:val="00A30604"/>
    <w:rsid w:val="00A33EEE"/>
    <w:rsid w:val="00A36FF8"/>
    <w:rsid w:val="00A502DD"/>
    <w:rsid w:val="00A60584"/>
    <w:rsid w:val="00A64C43"/>
    <w:rsid w:val="00A7484C"/>
    <w:rsid w:val="00A80762"/>
    <w:rsid w:val="00A81585"/>
    <w:rsid w:val="00A907C9"/>
    <w:rsid w:val="00A932B9"/>
    <w:rsid w:val="00AA004A"/>
    <w:rsid w:val="00AA7359"/>
    <w:rsid w:val="00AC4A70"/>
    <w:rsid w:val="00AE1100"/>
    <w:rsid w:val="00AF0F13"/>
    <w:rsid w:val="00B045D1"/>
    <w:rsid w:val="00B175FD"/>
    <w:rsid w:val="00B17F58"/>
    <w:rsid w:val="00B20D69"/>
    <w:rsid w:val="00B24CA5"/>
    <w:rsid w:val="00B42D20"/>
    <w:rsid w:val="00B45716"/>
    <w:rsid w:val="00B7631C"/>
    <w:rsid w:val="00B81E6C"/>
    <w:rsid w:val="00BA33F2"/>
    <w:rsid w:val="00BD5E53"/>
    <w:rsid w:val="00BE0D91"/>
    <w:rsid w:val="00C04412"/>
    <w:rsid w:val="00C0781B"/>
    <w:rsid w:val="00C23A43"/>
    <w:rsid w:val="00C3696B"/>
    <w:rsid w:val="00C54AF8"/>
    <w:rsid w:val="00C70AC5"/>
    <w:rsid w:val="00C73FBA"/>
    <w:rsid w:val="00CA6CA5"/>
    <w:rsid w:val="00CB23B7"/>
    <w:rsid w:val="00CC23E9"/>
    <w:rsid w:val="00CC4495"/>
    <w:rsid w:val="00CE5BE1"/>
    <w:rsid w:val="00CF5775"/>
    <w:rsid w:val="00D44333"/>
    <w:rsid w:val="00D45712"/>
    <w:rsid w:val="00D85A63"/>
    <w:rsid w:val="00D9473C"/>
    <w:rsid w:val="00DA3964"/>
    <w:rsid w:val="00DA6B4D"/>
    <w:rsid w:val="00DC1933"/>
    <w:rsid w:val="00DC3685"/>
    <w:rsid w:val="00DD16CC"/>
    <w:rsid w:val="00DE36E3"/>
    <w:rsid w:val="00E04F18"/>
    <w:rsid w:val="00E1294D"/>
    <w:rsid w:val="00E22A05"/>
    <w:rsid w:val="00E31FF8"/>
    <w:rsid w:val="00E37F70"/>
    <w:rsid w:val="00E403E3"/>
    <w:rsid w:val="00E66D39"/>
    <w:rsid w:val="00E77799"/>
    <w:rsid w:val="00E83BDD"/>
    <w:rsid w:val="00EA1751"/>
    <w:rsid w:val="00EC1C3C"/>
    <w:rsid w:val="00ED7021"/>
    <w:rsid w:val="00EE480A"/>
    <w:rsid w:val="00EE4A2E"/>
    <w:rsid w:val="00F15554"/>
    <w:rsid w:val="00F24063"/>
    <w:rsid w:val="00F332A6"/>
    <w:rsid w:val="00F37072"/>
    <w:rsid w:val="00F660FF"/>
    <w:rsid w:val="00F66BD0"/>
    <w:rsid w:val="00F818CB"/>
    <w:rsid w:val="00FA0E12"/>
    <w:rsid w:val="00FA1AA0"/>
    <w:rsid w:val="00FA77ED"/>
    <w:rsid w:val="00FA7CF2"/>
    <w:rsid w:val="00FB279C"/>
    <w:rsid w:val="00FC32ED"/>
    <w:rsid w:val="00FC461B"/>
    <w:rsid w:val="00FD1525"/>
    <w:rsid w:val="00FD3E1B"/>
    <w:rsid w:val="00FE6EF2"/>
    <w:rsid w:val="00FF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A5943631</value>
    </field>
    <field name="Objective-Title">
      <value order="0">H.10 Board of NatureScot Meeting - 02 July 2026 - Scientific Advisory Committee - SAC Terms of Reference Review</value>
    </field>
    <field name="Objective-Description">
      <value order="0"/>
    </field>
    <field name="Objective-CreationStamp">
      <value order="0">2026-06-25T15:05:29Z</value>
    </field>
    <field name="Objective-IsApproved">
      <value order="0">false</value>
    </field>
    <field name="Objective-IsPublished">
      <value order="0">true</value>
    </field>
    <field name="Objective-DatePublished">
      <value order="0">2026-06-25T15:58:19Z</value>
    </field>
    <field name="Objective-ModificationStamp">
      <value order="0">2026-06-25T15:58:19Z</value>
    </field>
    <field name="Objective-Owner">
      <value order="0">Mary-Anne Thomson</value>
    </field>
    <field name="Objective-Path">
      <value order="0">Objective Global Folder:NatureScot Fileplan:MAN - Management:EO - Executive Office:BD - Board:SNH Board - Meetings:Board of NatureScot Meetings - 2026:227 - Board of NatureScot - 02 July 2026</value>
    </field>
    <field name="Objective-Parent">
      <value order="0">227 - Board of NatureScot - 02 July 2026</value>
    </field>
    <field name="Objective-State">
      <value order="0">Published</value>
    </field>
    <field name="Objective-VersionId">
      <value order="0">vA10363415</value>
    </field>
    <field name="Objective-Version">
      <value order="0">4.0</value>
    </field>
    <field name="Objective-VersionNumber">
      <value order="0">4</value>
    </field>
    <field name="Objective-VersionComment">
      <value order="0"/>
    </field>
    <field name="Objective-FileNumber">
      <value order="0">qA190065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2026-06-25T22:21:00Z</dcterms:created>
  <dcterms:modified xsi:type="dcterms:W3CDTF">2026-06-25T22:21:00Z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2024-09-11T10:02:53Z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c1f09325-916b-4250-8caf-edbf5b39a902</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A5943631</vt:lpwstr>
  </property>
  <property fmtid="{D5CDD505-2E9C-101B-9397-08002B2CF9AE}" pid="25" name="Objective-Title">
    <vt:lpwstr>H.10 Board of NatureScot Meeting - 02 July 2026 - Scientific Advisory Committee - SAC Terms of Reference Review</vt:lpwstr>
  </property>
  <property fmtid="{D5CDD505-2E9C-101B-9397-08002B2CF9AE}" pid="26" name="Objective-Description">
    <vt:lpwstr/>
  </property>
  <property fmtid="{D5CDD505-2E9C-101B-9397-08002B2CF9AE}" pid="27" name="Objective-CreationStamp">
    <vt:filetime>2026-06-25T15:05:29Z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2026-06-25T15:58:19Z</vt:filetime>
  </property>
  <property fmtid="{D5CDD505-2E9C-101B-9397-08002B2CF9AE}" pid="31" name="Objective-ModificationStamp">
    <vt:filetime>2026-06-25T15:58:19Z</vt:filetime>
  </property>
  <property fmtid="{D5CDD505-2E9C-101B-9397-08002B2CF9AE}" pid="32" name="Objective-Owner">
    <vt:lpwstr>Mary-Anne Thomson</vt:lpwstr>
  </property>
  <property fmtid="{D5CDD505-2E9C-101B-9397-08002B2CF9AE}" pid="33" name="Objective-Path">
    <vt:lpwstr>Objective Global Folder:NatureScot Fileplan:MAN - Management:EO - Executive Office:BD - Board:SNH Board - Meetings:Board of NatureScot Meetings - 2026:227 - Board of NatureScot - 02 July 2026</vt:lpwstr>
  </property>
  <property fmtid="{D5CDD505-2E9C-101B-9397-08002B2CF9AE}" pid="34" name="Objective-Parent">
    <vt:lpwstr>227 - Board of NatureScot - 02 July 2026</vt:lpwstr>
  </property>
  <property fmtid="{D5CDD505-2E9C-101B-9397-08002B2CF9AE}" pid="35" name="Objective-State">
    <vt:lpwstr>Published</vt:lpwstr>
  </property>
  <property fmtid="{D5CDD505-2E9C-101B-9397-08002B2CF9AE}" pid="36" name="Objective-VersionId">
    <vt:lpwstr>vA10363415</vt:lpwstr>
  </property>
  <property fmtid="{D5CDD505-2E9C-101B-9397-08002B2CF9AE}" pid="37" name="Objective-Version">
    <vt:lpwstr>4.0</vt:lpwstr>
  </property>
  <property fmtid="{D5CDD505-2E9C-101B-9397-08002B2CF9AE}" pid="38" name="Objective-VersionNumber">
    <vt:r8>4</vt:r8>
  </property>
  <property fmtid="{D5CDD505-2E9C-101B-9397-08002B2CF9AE}" pid="39" name="Objective-VersionComment">
    <vt:lpwstr/>
  </property>
  <property fmtid="{D5CDD505-2E9C-101B-9397-08002B2CF9AE}" pid="40" name="Objective-FileNumber">
    <vt:lpwstr>qA190065</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