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FC18" w14:textId="176A955E" w:rsidR="00506E5C" w:rsidRPr="000C51B3" w:rsidRDefault="00BF00DC" w:rsidP="008D20BE">
      <w:pPr>
        <w:rPr>
          <w:rFonts w:ascii="Calibri" w:hAnsi="Calibri" w:cs="Calibri"/>
          <w:color w:val="FF0000"/>
          <w:sz w:val="22"/>
        </w:rPr>
      </w:pPr>
      <w:r w:rsidRPr="000C51B3">
        <w:rPr>
          <w:rFonts w:ascii="Calibri" w:hAnsi="Calibri" w:cs="Calibri"/>
          <w:color w:val="FF0000"/>
          <w:szCs w:val="24"/>
        </w:rPr>
        <w:t xml:space="preserve"> </w:t>
      </w:r>
      <w:r w:rsidR="003A0BAA" w:rsidRPr="000C51B3">
        <w:rPr>
          <w:rFonts w:ascii="Calibri" w:hAnsi="Calibri" w:cs="Calibri"/>
          <w:noProof/>
          <w:color w:val="FF0000"/>
          <w:sz w:val="22"/>
          <w:lang w:eastAsia="en-GB"/>
        </w:rPr>
        <w:drawing>
          <wp:inline distT="0" distB="0" distL="0" distR="0" wp14:anchorId="48C815CC" wp14:editId="49193C9C">
            <wp:extent cx="1024748" cy="860612"/>
            <wp:effectExtent l="0" t="0" r="444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028282" cy="863580"/>
                    </a:xfrm>
                    <a:prstGeom prst="rect">
                      <a:avLst/>
                    </a:prstGeom>
                  </pic:spPr>
                </pic:pic>
              </a:graphicData>
            </a:graphic>
          </wp:inline>
        </w:drawing>
      </w:r>
      <w:r w:rsidR="005D0E4E" w:rsidRPr="000C51B3">
        <w:rPr>
          <w:rFonts w:ascii="Calibri" w:hAnsi="Calibri" w:cs="Calibri"/>
          <w:color w:val="FF0000"/>
          <w:szCs w:val="24"/>
        </w:rPr>
        <w:t xml:space="preserve"> </w:t>
      </w:r>
    </w:p>
    <w:p w14:paraId="169DCCEC" w14:textId="5250B547" w:rsidR="003E22BB" w:rsidRPr="000C51B3" w:rsidRDefault="00C86562" w:rsidP="000C51B3">
      <w:pPr>
        <w:pStyle w:val="Heading1"/>
      </w:pPr>
      <w:r w:rsidRPr="000C51B3">
        <w:t xml:space="preserve">Title: </w:t>
      </w:r>
      <w:r w:rsidR="00297EF0" w:rsidRPr="000C51B3">
        <w:t>Q</w:t>
      </w:r>
      <w:r w:rsidR="00AE1FA5" w:rsidRPr="000C51B3">
        <w:t>4</w:t>
      </w:r>
      <w:r w:rsidR="00297EF0" w:rsidRPr="000C51B3">
        <w:t xml:space="preserve"> </w:t>
      </w:r>
      <w:r w:rsidR="008D20BE" w:rsidRPr="000C51B3">
        <w:t xml:space="preserve">Performance Report </w:t>
      </w:r>
    </w:p>
    <w:p w14:paraId="4974125B" w14:textId="7A62B2F6" w:rsidR="003A0BAA" w:rsidRPr="000C51B3" w:rsidRDefault="00C86562" w:rsidP="000C51B3">
      <w:pPr>
        <w:rPr>
          <w:rFonts w:cstheme="minorHAnsi"/>
          <w:b/>
          <w:bCs/>
        </w:rPr>
      </w:pPr>
      <w:r w:rsidRPr="000C51B3">
        <w:rPr>
          <w:rFonts w:cstheme="minorHAnsi"/>
          <w:b/>
          <w:bCs/>
        </w:rPr>
        <w:t xml:space="preserve">Date: </w:t>
      </w:r>
      <w:r w:rsidR="00B65210" w:rsidRPr="000C51B3">
        <w:rPr>
          <w:rFonts w:cstheme="minorHAnsi"/>
          <w:b/>
          <w:bCs/>
        </w:rPr>
        <w:t>14th May 2026</w:t>
      </w:r>
    </w:p>
    <w:p w14:paraId="698AF0E3" w14:textId="77777777" w:rsidR="00C05796" w:rsidRPr="000C51B3" w:rsidRDefault="00C05796" w:rsidP="003A0BAA">
      <w:pPr>
        <w:spacing w:after="0" w:line="240" w:lineRule="auto"/>
        <w:rPr>
          <w:rFonts w:ascii="Calibri" w:hAnsi="Calibri" w:cs="Calibri"/>
          <w:b/>
          <w:color w:val="000000" w:themeColor="text1"/>
        </w:rPr>
      </w:pPr>
    </w:p>
    <w:tbl>
      <w:tblPr>
        <w:tblpPr w:leftFromText="180" w:rightFromText="180" w:vertAnchor="text" w:tblpX="-147"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521"/>
      </w:tblGrid>
      <w:tr w:rsidR="005D0E4E" w:rsidRPr="000C51B3" w14:paraId="20BAAF19" w14:textId="77777777" w:rsidTr="00F15440">
        <w:tc>
          <w:tcPr>
            <w:tcW w:w="2830" w:type="dxa"/>
          </w:tcPr>
          <w:p w14:paraId="36567900" w14:textId="00970370" w:rsidR="005D0E4E" w:rsidRPr="000C51B3" w:rsidRDefault="00706C4E" w:rsidP="00706C4E">
            <w:pPr>
              <w:spacing w:after="0" w:line="240" w:lineRule="auto"/>
              <w:rPr>
                <w:rFonts w:ascii="Calibri" w:hAnsi="Calibri" w:cs="Calibri"/>
                <w:b/>
                <w:bCs/>
                <w:szCs w:val="24"/>
              </w:rPr>
            </w:pPr>
            <w:r w:rsidRPr="000C51B3">
              <w:rPr>
                <w:rFonts w:ascii="Calibri" w:hAnsi="Calibri" w:cs="Calibri"/>
                <w:b/>
                <w:bCs/>
                <w:szCs w:val="24"/>
              </w:rPr>
              <w:t>Purpose</w:t>
            </w:r>
          </w:p>
        </w:tc>
        <w:tc>
          <w:tcPr>
            <w:tcW w:w="6521" w:type="dxa"/>
          </w:tcPr>
          <w:p w14:paraId="2E6CD882" w14:textId="352CF8FF" w:rsidR="005D0E4E" w:rsidRPr="000C51B3" w:rsidRDefault="0032429D" w:rsidP="00706C4E">
            <w:pPr>
              <w:spacing w:after="0" w:line="240" w:lineRule="auto"/>
              <w:contextualSpacing/>
              <w:rPr>
                <w:rFonts w:ascii="Calibri" w:eastAsia="Arial" w:hAnsi="Calibri" w:cs="Calibri"/>
                <w:b/>
                <w:bCs/>
                <w:szCs w:val="24"/>
              </w:rPr>
            </w:pPr>
            <w:r w:rsidRPr="000C51B3">
              <w:rPr>
                <w:rFonts w:ascii="Calibri" w:eastAsia="Arial" w:hAnsi="Calibri" w:cs="Calibri"/>
                <w:b/>
                <w:bCs/>
                <w:szCs w:val="24"/>
              </w:rPr>
              <w:t>Decision</w:t>
            </w:r>
          </w:p>
        </w:tc>
      </w:tr>
      <w:tr w:rsidR="005D0E4E" w:rsidRPr="000C51B3" w14:paraId="13CE33D4" w14:textId="77777777" w:rsidTr="00F15440">
        <w:tc>
          <w:tcPr>
            <w:tcW w:w="2830" w:type="dxa"/>
          </w:tcPr>
          <w:p w14:paraId="34DC0A94" w14:textId="2B66FB3B" w:rsidR="005D0E4E" w:rsidRPr="000C51B3" w:rsidRDefault="00D44934" w:rsidP="00706C4E">
            <w:pPr>
              <w:spacing w:after="0" w:line="240" w:lineRule="auto"/>
              <w:rPr>
                <w:rFonts w:ascii="Calibri" w:eastAsia="Arial" w:hAnsi="Calibri" w:cs="Calibri"/>
                <w:szCs w:val="24"/>
              </w:rPr>
            </w:pPr>
            <w:r w:rsidRPr="000C51B3">
              <w:rPr>
                <w:rFonts w:ascii="Calibri" w:eastAsia="Arial" w:hAnsi="Calibri" w:cs="Calibri"/>
                <w:szCs w:val="24"/>
              </w:rPr>
              <w:t>How does this link with our corporate priorities of improving biodiversity or delivering nature-based solutions to climate change:</w:t>
            </w:r>
          </w:p>
        </w:tc>
        <w:tc>
          <w:tcPr>
            <w:tcW w:w="6521" w:type="dxa"/>
          </w:tcPr>
          <w:p w14:paraId="6E68FE0E" w14:textId="24AD8972" w:rsidR="008042BC" w:rsidRPr="000C51B3" w:rsidRDefault="008D20BE" w:rsidP="008042BC">
            <w:pPr>
              <w:rPr>
                <w:rFonts w:ascii="Calibri" w:eastAsia="Arial" w:hAnsi="Calibri" w:cs="Calibri"/>
                <w:szCs w:val="24"/>
              </w:rPr>
            </w:pPr>
            <w:r w:rsidRPr="000C51B3">
              <w:rPr>
                <w:rFonts w:ascii="Calibri" w:eastAsia="Arial" w:hAnsi="Calibri" w:cs="Calibri"/>
                <w:szCs w:val="24"/>
              </w:rPr>
              <w:t>This paper presents Q</w:t>
            </w:r>
            <w:r w:rsidR="00AE1FA5" w:rsidRPr="000C51B3">
              <w:rPr>
                <w:rFonts w:ascii="Calibri" w:eastAsia="Arial" w:hAnsi="Calibri" w:cs="Calibri"/>
                <w:szCs w:val="24"/>
              </w:rPr>
              <w:t>4</w:t>
            </w:r>
            <w:r w:rsidRPr="000C51B3">
              <w:rPr>
                <w:rFonts w:ascii="Calibri" w:eastAsia="Arial" w:hAnsi="Calibri" w:cs="Calibri"/>
                <w:szCs w:val="24"/>
              </w:rPr>
              <w:t xml:space="preserve"> progress towards delivery of our corporate priorities as laid out in our Business Plan, A Nature-</w:t>
            </w:r>
            <w:r w:rsidR="00297EF0" w:rsidRPr="000C51B3">
              <w:rPr>
                <w:rFonts w:ascii="Calibri" w:eastAsia="Arial" w:hAnsi="Calibri" w:cs="Calibri"/>
                <w:szCs w:val="24"/>
              </w:rPr>
              <w:t xml:space="preserve">Rich Future </w:t>
            </w:r>
            <w:r w:rsidRPr="000C51B3">
              <w:rPr>
                <w:rFonts w:ascii="Calibri" w:eastAsia="Arial" w:hAnsi="Calibri" w:cs="Calibri"/>
                <w:szCs w:val="24"/>
              </w:rPr>
              <w:t xml:space="preserve">for </w:t>
            </w:r>
            <w:r w:rsidR="00297EF0" w:rsidRPr="000C51B3">
              <w:rPr>
                <w:rFonts w:ascii="Calibri" w:eastAsia="Arial" w:hAnsi="Calibri" w:cs="Calibri"/>
                <w:szCs w:val="24"/>
              </w:rPr>
              <w:t>A</w:t>
            </w:r>
            <w:r w:rsidRPr="000C51B3">
              <w:rPr>
                <w:rFonts w:ascii="Calibri" w:eastAsia="Arial" w:hAnsi="Calibri" w:cs="Calibri"/>
                <w:szCs w:val="24"/>
              </w:rPr>
              <w:t xml:space="preserve">ll: Year </w:t>
            </w:r>
            <w:r w:rsidR="009863AB" w:rsidRPr="000C51B3">
              <w:rPr>
                <w:rFonts w:ascii="Calibri" w:eastAsia="Arial" w:hAnsi="Calibri" w:cs="Calibri"/>
                <w:szCs w:val="24"/>
              </w:rPr>
              <w:t>4</w:t>
            </w:r>
            <w:r w:rsidR="001C0D45" w:rsidRPr="000C51B3">
              <w:rPr>
                <w:rFonts w:ascii="Calibri" w:eastAsia="Arial" w:hAnsi="Calibri" w:cs="Calibri"/>
                <w:szCs w:val="24"/>
              </w:rPr>
              <w:t>.</w:t>
            </w:r>
          </w:p>
          <w:p w14:paraId="788EA7F4" w14:textId="7F208E34" w:rsidR="005D0E4E" w:rsidRPr="000C51B3" w:rsidRDefault="005D0E4E" w:rsidP="008042BC">
            <w:pPr>
              <w:spacing w:after="0" w:line="240" w:lineRule="auto"/>
              <w:contextualSpacing/>
              <w:rPr>
                <w:rFonts w:ascii="Calibri" w:eastAsia="Arial" w:hAnsi="Calibri" w:cs="Calibri"/>
                <w:szCs w:val="24"/>
              </w:rPr>
            </w:pPr>
          </w:p>
        </w:tc>
      </w:tr>
      <w:tr w:rsidR="008042BC" w:rsidRPr="000C51B3" w14:paraId="5F6879B4" w14:textId="77777777" w:rsidTr="00F15440">
        <w:trPr>
          <w:trHeight w:val="3022"/>
        </w:trPr>
        <w:tc>
          <w:tcPr>
            <w:tcW w:w="2830" w:type="dxa"/>
          </w:tcPr>
          <w:p w14:paraId="278D0DA3" w14:textId="6400EDC4" w:rsidR="008042BC" w:rsidRPr="000C51B3" w:rsidRDefault="008042BC" w:rsidP="008042BC">
            <w:pPr>
              <w:spacing w:after="0" w:line="240" w:lineRule="auto"/>
              <w:rPr>
                <w:rFonts w:ascii="Calibri" w:eastAsia="Arial" w:hAnsi="Calibri" w:cs="Calibri"/>
                <w:b/>
                <w:bCs/>
                <w:szCs w:val="24"/>
              </w:rPr>
            </w:pPr>
            <w:r w:rsidRPr="000C51B3">
              <w:rPr>
                <w:rFonts w:ascii="Calibri" w:eastAsia="Arial" w:hAnsi="Calibri" w:cs="Calibri"/>
                <w:b/>
                <w:bCs/>
                <w:szCs w:val="24"/>
              </w:rPr>
              <w:t>Summary:</w:t>
            </w:r>
          </w:p>
        </w:tc>
        <w:tc>
          <w:tcPr>
            <w:tcW w:w="6521" w:type="dxa"/>
          </w:tcPr>
          <w:p w14:paraId="49E22E68" w14:textId="6B48851E" w:rsidR="0027331C" w:rsidRPr="000C51B3" w:rsidRDefault="0027331C">
            <w:pPr>
              <w:pStyle w:val="ListParagraph"/>
              <w:numPr>
                <w:ilvl w:val="0"/>
                <w:numId w:val="14"/>
              </w:numPr>
              <w:ind w:left="322"/>
              <w:rPr>
                <w:rFonts w:ascii="Calibri" w:eastAsia="Arial" w:hAnsi="Calibri" w:cs="Calibri"/>
                <w:szCs w:val="24"/>
              </w:rPr>
            </w:pPr>
            <w:r w:rsidRPr="000C51B3">
              <w:rPr>
                <w:rFonts w:ascii="Calibri" w:eastAsia="Arial" w:hAnsi="Calibri" w:cs="Calibri"/>
                <w:szCs w:val="24"/>
              </w:rPr>
              <w:t>The report highlights generally positive performance with challenges note</w:t>
            </w:r>
            <w:r w:rsidR="009A7229" w:rsidRPr="000C51B3">
              <w:rPr>
                <w:rFonts w:ascii="Calibri" w:eastAsia="Arial" w:hAnsi="Calibri" w:cs="Calibri"/>
                <w:szCs w:val="24"/>
              </w:rPr>
              <w:t>d</w:t>
            </w:r>
            <w:r w:rsidRPr="000C51B3">
              <w:rPr>
                <w:rFonts w:ascii="Calibri" w:eastAsia="Arial" w:hAnsi="Calibri" w:cs="Calibri"/>
                <w:szCs w:val="24"/>
              </w:rPr>
              <w:t xml:space="preserve"> where appropriate.</w:t>
            </w:r>
          </w:p>
          <w:p w14:paraId="4423E0FC" w14:textId="49D5D0D4" w:rsidR="0027331C" w:rsidRPr="000C51B3" w:rsidRDefault="0027331C">
            <w:pPr>
              <w:pStyle w:val="ListParagraph"/>
              <w:numPr>
                <w:ilvl w:val="0"/>
                <w:numId w:val="14"/>
              </w:numPr>
              <w:ind w:left="322"/>
              <w:rPr>
                <w:rFonts w:ascii="Calibri" w:eastAsia="Arial" w:hAnsi="Calibri" w:cs="Calibri"/>
                <w:szCs w:val="24"/>
              </w:rPr>
            </w:pPr>
            <w:r w:rsidRPr="000C51B3">
              <w:rPr>
                <w:rFonts w:ascii="Calibri" w:eastAsia="Arial" w:hAnsi="Calibri" w:cs="Calibri"/>
                <w:szCs w:val="24"/>
              </w:rPr>
              <w:t>A revised approach to reporting people performance is presented in this report for the first time</w:t>
            </w:r>
            <w:r w:rsidR="002412BB" w:rsidRPr="000C51B3">
              <w:rPr>
                <w:rFonts w:ascii="Calibri" w:eastAsia="Arial" w:hAnsi="Calibri" w:cs="Calibri"/>
                <w:szCs w:val="24"/>
              </w:rPr>
              <w:t>.</w:t>
            </w:r>
          </w:p>
          <w:p w14:paraId="6950E4DA" w14:textId="06B8719D" w:rsidR="008042BC" w:rsidRPr="000C51B3" w:rsidRDefault="0027331C">
            <w:pPr>
              <w:pStyle w:val="ListParagraph"/>
              <w:numPr>
                <w:ilvl w:val="0"/>
                <w:numId w:val="14"/>
              </w:numPr>
              <w:ind w:left="322"/>
              <w:rPr>
                <w:rFonts w:ascii="Calibri" w:eastAsia="Arial" w:hAnsi="Calibri" w:cs="Calibri"/>
                <w:szCs w:val="24"/>
              </w:rPr>
            </w:pPr>
            <w:r w:rsidRPr="000C51B3">
              <w:rPr>
                <w:rFonts w:ascii="Calibri" w:eastAsia="Arial" w:hAnsi="Calibri" w:cs="Calibri"/>
                <w:szCs w:val="24"/>
              </w:rPr>
              <w:t>As this is the last quarterly report of 2025/26 a summary is included in Appendix 5 regarding the year in review summarised by each “Foundation Block”. Again</w:t>
            </w:r>
            <w:r w:rsidR="009A7229" w:rsidRPr="000C51B3">
              <w:rPr>
                <w:rFonts w:ascii="Calibri" w:eastAsia="Arial" w:hAnsi="Calibri" w:cs="Calibri"/>
                <w:szCs w:val="24"/>
              </w:rPr>
              <w:t>,</w:t>
            </w:r>
            <w:r w:rsidRPr="000C51B3">
              <w:rPr>
                <w:rFonts w:ascii="Calibri" w:eastAsia="Arial" w:hAnsi="Calibri" w:cs="Calibri"/>
                <w:szCs w:val="24"/>
              </w:rPr>
              <w:t xml:space="preserve"> this presents a generally positive picture</w:t>
            </w:r>
            <w:r w:rsidR="009A7229" w:rsidRPr="000C51B3">
              <w:rPr>
                <w:rFonts w:ascii="Calibri" w:eastAsia="Arial" w:hAnsi="Calibri" w:cs="Calibri"/>
                <w:szCs w:val="24"/>
              </w:rPr>
              <w:t>.</w:t>
            </w:r>
          </w:p>
        </w:tc>
      </w:tr>
      <w:tr w:rsidR="008042BC" w:rsidRPr="000C51B3" w14:paraId="187A143B" w14:textId="77777777" w:rsidTr="00F15440">
        <w:tc>
          <w:tcPr>
            <w:tcW w:w="2830" w:type="dxa"/>
          </w:tcPr>
          <w:p w14:paraId="1E0B416A" w14:textId="36C70334" w:rsidR="008042BC" w:rsidRPr="000C51B3" w:rsidRDefault="008042BC" w:rsidP="008042BC">
            <w:pPr>
              <w:spacing w:after="0" w:line="240" w:lineRule="auto"/>
              <w:contextualSpacing/>
              <w:rPr>
                <w:rFonts w:ascii="Calibri" w:eastAsia="Arial" w:hAnsi="Calibri" w:cs="Calibri"/>
                <w:szCs w:val="24"/>
              </w:rPr>
            </w:pPr>
            <w:bookmarkStart w:id="0" w:name="_Hlk214357932"/>
            <w:r w:rsidRPr="000C51B3">
              <w:rPr>
                <w:rFonts w:ascii="Calibri" w:eastAsia="Arial" w:hAnsi="Calibri" w:cs="Calibri"/>
                <w:b/>
                <w:szCs w:val="24"/>
              </w:rPr>
              <w:t>Recommendations:</w:t>
            </w:r>
            <w:r w:rsidRPr="000C51B3">
              <w:rPr>
                <w:rFonts w:ascii="Calibri" w:eastAsia="Arial" w:hAnsi="Calibri" w:cs="Calibri"/>
                <w:szCs w:val="24"/>
              </w:rPr>
              <w:t xml:space="preserve"> </w:t>
            </w:r>
          </w:p>
        </w:tc>
        <w:tc>
          <w:tcPr>
            <w:tcW w:w="6521" w:type="dxa"/>
          </w:tcPr>
          <w:p w14:paraId="587E0EEC" w14:textId="2B6CFF61" w:rsidR="008042BC" w:rsidRPr="000C51B3" w:rsidRDefault="004B27D8" w:rsidP="008042BC">
            <w:pPr>
              <w:spacing w:after="0" w:line="240" w:lineRule="auto"/>
              <w:rPr>
                <w:rFonts w:ascii="Calibri" w:eastAsia="Arial" w:hAnsi="Calibri" w:cs="Calibri"/>
                <w:szCs w:val="24"/>
              </w:rPr>
            </w:pPr>
            <w:r w:rsidRPr="000C51B3">
              <w:rPr>
                <w:rFonts w:ascii="Calibri" w:eastAsia="Arial" w:hAnsi="Calibri" w:cs="Calibri"/>
                <w:szCs w:val="24"/>
              </w:rPr>
              <w:t>Board</w:t>
            </w:r>
            <w:r w:rsidR="008042BC" w:rsidRPr="000C51B3">
              <w:rPr>
                <w:rFonts w:ascii="Calibri" w:eastAsia="Arial" w:hAnsi="Calibri" w:cs="Calibri"/>
                <w:szCs w:val="24"/>
              </w:rPr>
              <w:t xml:space="preserve"> is asked to:</w:t>
            </w:r>
          </w:p>
          <w:p w14:paraId="0365A95D" w14:textId="1F116656" w:rsidR="00D465A8" w:rsidRPr="000C51B3" w:rsidRDefault="00D465A8" w:rsidP="00D465A8">
            <w:pPr>
              <w:pStyle w:val="ListParagraph"/>
              <w:numPr>
                <w:ilvl w:val="0"/>
                <w:numId w:val="2"/>
              </w:numPr>
              <w:spacing w:after="0"/>
              <w:rPr>
                <w:rFonts w:ascii="Calibri" w:eastAsia="Arial" w:hAnsi="Calibri" w:cs="Calibri"/>
                <w:szCs w:val="24"/>
              </w:rPr>
            </w:pPr>
            <w:r w:rsidRPr="000C51B3">
              <w:rPr>
                <w:rFonts w:ascii="Calibri" w:eastAsia="Arial" w:hAnsi="Calibri" w:cs="Calibri"/>
                <w:szCs w:val="24"/>
              </w:rPr>
              <w:t>review the achievements, challenges and forward look</w:t>
            </w:r>
            <w:r w:rsidR="00896EAA" w:rsidRPr="000C51B3">
              <w:rPr>
                <w:rFonts w:ascii="Calibri" w:eastAsia="Arial" w:hAnsi="Calibri" w:cs="Calibri"/>
                <w:szCs w:val="24"/>
              </w:rPr>
              <w:t>,</w:t>
            </w:r>
            <w:r w:rsidRPr="000C51B3">
              <w:rPr>
                <w:rFonts w:ascii="Calibri" w:eastAsia="Arial" w:hAnsi="Calibri" w:cs="Calibri"/>
                <w:szCs w:val="24"/>
              </w:rPr>
              <w:t xml:space="preserve"> together with the performance scorecards</w:t>
            </w:r>
            <w:r w:rsidR="000922CD" w:rsidRPr="000C51B3">
              <w:rPr>
                <w:rFonts w:ascii="Calibri" w:eastAsia="Arial" w:hAnsi="Calibri" w:cs="Calibri"/>
                <w:szCs w:val="24"/>
              </w:rPr>
              <w:t>;</w:t>
            </w:r>
          </w:p>
          <w:p w14:paraId="6E1EF4C7" w14:textId="17E28AAE" w:rsidR="00D465A8" w:rsidRPr="000C51B3" w:rsidRDefault="00D465A8" w:rsidP="00D465A8">
            <w:pPr>
              <w:pStyle w:val="ListParagraph"/>
              <w:numPr>
                <w:ilvl w:val="0"/>
                <w:numId w:val="2"/>
              </w:numPr>
              <w:spacing w:after="0"/>
              <w:rPr>
                <w:rFonts w:ascii="Calibri" w:eastAsia="Arial" w:hAnsi="Calibri" w:cs="Calibri"/>
                <w:szCs w:val="24"/>
              </w:rPr>
            </w:pPr>
            <w:r w:rsidRPr="000C51B3">
              <w:rPr>
                <w:rFonts w:ascii="Calibri" w:eastAsia="Arial" w:hAnsi="Calibri" w:cs="Calibri"/>
                <w:szCs w:val="24"/>
              </w:rPr>
              <w:t>discuss performance in the quarter and across the financial year against the objectives in the Business Plan for 2</w:t>
            </w:r>
            <w:r w:rsidR="00896EAA" w:rsidRPr="000C51B3">
              <w:rPr>
                <w:rFonts w:ascii="Calibri" w:eastAsia="Arial" w:hAnsi="Calibri" w:cs="Calibri"/>
                <w:szCs w:val="24"/>
              </w:rPr>
              <w:t>02</w:t>
            </w:r>
            <w:r w:rsidRPr="000C51B3">
              <w:rPr>
                <w:rFonts w:ascii="Calibri" w:eastAsia="Arial" w:hAnsi="Calibri" w:cs="Calibri"/>
                <w:szCs w:val="24"/>
              </w:rPr>
              <w:t>5/26</w:t>
            </w:r>
            <w:r w:rsidR="000922CD" w:rsidRPr="000C51B3">
              <w:rPr>
                <w:rFonts w:ascii="Calibri" w:eastAsia="Arial" w:hAnsi="Calibri" w:cs="Calibri"/>
                <w:szCs w:val="24"/>
              </w:rPr>
              <w:t>; and,</w:t>
            </w:r>
          </w:p>
          <w:p w14:paraId="30D9395B" w14:textId="333B98C3" w:rsidR="008042BC" w:rsidRPr="000C51B3" w:rsidRDefault="00D465A8" w:rsidP="00D465A8">
            <w:pPr>
              <w:pStyle w:val="ListParagraph"/>
              <w:numPr>
                <w:ilvl w:val="0"/>
                <w:numId w:val="2"/>
              </w:numPr>
              <w:spacing w:after="0"/>
              <w:rPr>
                <w:rFonts w:ascii="Calibri" w:eastAsia="Arial" w:hAnsi="Calibri" w:cs="Calibri"/>
                <w:szCs w:val="24"/>
              </w:rPr>
            </w:pPr>
            <w:r w:rsidRPr="000C51B3">
              <w:rPr>
                <w:rFonts w:ascii="Calibri" w:eastAsia="Arial" w:hAnsi="Calibri" w:cs="Calibri"/>
                <w:szCs w:val="24"/>
              </w:rPr>
              <w:t>agree any areas for the executive to alter their approach in delivering the Business Plan for 2</w:t>
            </w:r>
            <w:r w:rsidR="00896EAA" w:rsidRPr="000C51B3">
              <w:rPr>
                <w:rFonts w:ascii="Calibri" w:eastAsia="Arial" w:hAnsi="Calibri" w:cs="Calibri"/>
                <w:szCs w:val="24"/>
              </w:rPr>
              <w:t>02</w:t>
            </w:r>
            <w:r w:rsidRPr="000C51B3">
              <w:rPr>
                <w:rFonts w:ascii="Calibri" w:eastAsia="Arial" w:hAnsi="Calibri" w:cs="Calibri"/>
                <w:szCs w:val="24"/>
              </w:rPr>
              <w:t>6/27.</w:t>
            </w:r>
          </w:p>
        </w:tc>
      </w:tr>
      <w:bookmarkEnd w:id="0"/>
      <w:tr w:rsidR="008042BC" w:rsidRPr="000C51B3" w14:paraId="1611D4CD" w14:textId="77777777" w:rsidTr="00F15440">
        <w:tc>
          <w:tcPr>
            <w:tcW w:w="2830" w:type="dxa"/>
          </w:tcPr>
          <w:p w14:paraId="1E66C971" w14:textId="1931E875" w:rsidR="008042BC" w:rsidRPr="000C51B3" w:rsidRDefault="008042BC" w:rsidP="008042BC">
            <w:pPr>
              <w:spacing w:after="0" w:line="240" w:lineRule="auto"/>
              <w:contextualSpacing/>
              <w:rPr>
                <w:rFonts w:ascii="Calibri" w:eastAsia="Arial" w:hAnsi="Calibri" w:cs="Calibri"/>
                <w:b/>
                <w:szCs w:val="24"/>
              </w:rPr>
            </w:pPr>
            <w:r w:rsidRPr="000C51B3">
              <w:rPr>
                <w:rFonts w:ascii="Calibri" w:eastAsia="Arial" w:hAnsi="Calibri" w:cs="Calibri"/>
                <w:b/>
                <w:szCs w:val="24"/>
              </w:rPr>
              <w:t>Report Author(s):</w:t>
            </w:r>
          </w:p>
        </w:tc>
        <w:tc>
          <w:tcPr>
            <w:tcW w:w="6521" w:type="dxa"/>
          </w:tcPr>
          <w:p w14:paraId="684ABBC1" w14:textId="50215B51" w:rsidR="008042BC" w:rsidRPr="000C51B3" w:rsidRDefault="008042BC" w:rsidP="008042BC">
            <w:pPr>
              <w:spacing w:after="0" w:line="240" w:lineRule="auto"/>
              <w:rPr>
                <w:rFonts w:ascii="Calibri" w:eastAsia="Arial" w:hAnsi="Calibri" w:cs="Calibri"/>
                <w:szCs w:val="24"/>
              </w:rPr>
            </w:pPr>
            <w:r w:rsidRPr="000C51B3">
              <w:rPr>
                <w:rFonts w:ascii="Calibri" w:eastAsia="Arial" w:hAnsi="Calibri" w:cs="Calibri"/>
                <w:szCs w:val="24"/>
              </w:rPr>
              <w:t xml:space="preserve">Directors, Deputy Directors, Strategic Resource Managers, </w:t>
            </w:r>
            <w:r w:rsidR="0091231C" w:rsidRPr="000C51B3">
              <w:rPr>
                <w:rFonts w:ascii="Calibri" w:eastAsia="Arial" w:hAnsi="Calibri" w:cs="Calibri"/>
                <w:szCs w:val="24"/>
              </w:rPr>
              <w:t>FP&amp;P</w:t>
            </w:r>
            <w:r w:rsidRPr="000C51B3">
              <w:rPr>
                <w:rFonts w:ascii="Calibri" w:eastAsia="Arial" w:hAnsi="Calibri" w:cs="Calibri"/>
                <w:szCs w:val="24"/>
              </w:rPr>
              <w:t xml:space="preserve"> Team, P</w:t>
            </w:r>
            <w:r w:rsidR="0091231C" w:rsidRPr="000C51B3">
              <w:rPr>
                <w:rFonts w:ascii="Calibri" w:eastAsia="Arial" w:hAnsi="Calibri" w:cs="Calibri"/>
                <w:szCs w:val="24"/>
              </w:rPr>
              <w:t>&amp;</w:t>
            </w:r>
            <w:r w:rsidRPr="000C51B3">
              <w:rPr>
                <w:rFonts w:ascii="Calibri" w:eastAsia="Arial" w:hAnsi="Calibri" w:cs="Calibri"/>
                <w:szCs w:val="24"/>
              </w:rPr>
              <w:t>OD Team</w:t>
            </w:r>
          </w:p>
        </w:tc>
      </w:tr>
      <w:tr w:rsidR="008042BC" w:rsidRPr="000C51B3" w14:paraId="28B18A8B" w14:textId="77777777" w:rsidTr="00F15440">
        <w:tc>
          <w:tcPr>
            <w:tcW w:w="2830" w:type="dxa"/>
          </w:tcPr>
          <w:p w14:paraId="451D6F59" w14:textId="2B7259D4" w:rsidR="008042BC" w:rsidRPr="000C51B3" w:rsidRDefault="008042BC" w:rsidP="008042BC">
            <w:pPr>
              <w:spacing w:after="0" w:line="240" w:lineRule="auto"/>
              <w:contextualSpacing/>
              <w:rPr>
                <w:rFonts w:ascii="Calibri" w:eastAsia="Arial" w:hAnsi="Calibri" w:cs="Calibri"/>
                <w:b/>
                <w:szCs w:val="24"/>
              </w:rPr>
            </w:pPr>
            <w:r w:rsidRPr="000C51B3">
              <w:rPr>
                <w:rFonts w:ascii="Calibri" w:eastAsia="Arial" w:hAnsi="Calibri" w:cs="Calibri"/>
                <w:b/>
                <w:szCs w:val="24"/>
              </w:rPr>
              <w:t>Sponsor:</w:t>
            </w:r>
            <w:r w:rsidRPr="000C51B3">
              <w:rPr>
                <w:rFonts w:ascii="Calibri" w:eastAsia="Arial" w:hAnsi="Calibri" w:cs="Calibri"/>
                <w:b/>
                <w:szCs w:val="24"/>
              </w:rPr>
              <w:tab/>
            </w:r>
          </w:p>
        </w:tc>
        <w:tc>
          <w:tcPr>
            <w:tcW w:w="6521" w:type="dxa"/>
          </w:tcPr>
          <w:p w14:paraId="15458FFD" w14:textId="4FECC43F" w:rsidR="008042BC" w:rsidRPr="000C51B3" w:rsidRDefault="00D6421E" w:rsidP="008042BC">
            <w:pPr>
              <w:spacing w:after="0" w:line="240" w:lineRule="auto"/>
              <w:rPr>
                <w:rFonts w:ascii="Calibri" w:eastAsia="Arial" w:hAnsi="Calibri" w:cs="Calibri"/>
                <w:szCs w:val="24"/>
              </w:rPr>
            </w:pPr>
            <w:r w:rsidRPr="000C51B3">
              <w:rPr>
                <w:rFonts w:ascii="Calibri" w:eastAsia="Arial" w:hAnsi="Calibri" w:cs="Calibri"/>
                <w:szCs w:val="24"/>
              </w:rPr>
              <w:t>Nick Halfhi</w:t>
            </w:r>
            <w:r w:rsidR="0076051D" w:rsidRPr="000C51B3">
              <w:rPr>
                <w:rFonts w:ascii="Calibri" w:eastAsia="Arial" w:hAnsi="Calibri" w:cs="Calibri"/>
                <w:szCs w:val="24"/>
              </w:rPr>
              <w:t>de</w:t>
            </w:r>
          </w:p>
        </w:tc>
      </w:tr>
      <w:tr w:rsidR="008042BC" w:rsidRPr="000C51B3" w14:paraId="438CD26E" w14:textId="77777777" w:rsidTr="00F15440">
        <w:tc>
          <w:tcPr>
            <w:tcW w:w="2830" w:type="dxa"/>
          </w:tcPr>
          <w:p w14:paraId="3BBFE1B1" w14:textId="24D65BFD" w:rsidR="008042BC" w:rsidRPr="000C51B3" w:rsidRDefault="008042BC" w:rsidP="008042BC">
            <w:pPr>
              <w:spacing w:after="0" w:line="240" w:lineRule="auto"/>
              <w:contextualSpacing/>
              <w:rPr>
                <w:rFonts w:ascii="Calibri" w:eastAsia="Arial" w:hAnsi="Calibri" w:cs="Calibri"/>
                <w:b/>
                <w:szCs w:val="24"/>
              </w:rPr>
            </w:pPr>
            <w:r w:rsidRPr="000C51B3">
              <w:rPr>
                <w:rFonts w:ascii="Calibri" w:eastAsia="Arial" w:hAnsi="Calibri" w:cs="Calibri"/>
                <w:b/>
                <w:szCs w:val="24"/>
              </w:rPr>
              <w:t>List of Appendices</w:t>
            </w:r>
          </w:p>
        </w:tc>
        <w:tc>
          <w:tcPr>
            <w:tcW w:w="6521" w:type="dxa"/>
          </w:tcPr>
          <w:p w14:paraId="1DCB0CA8" w14:textId="19A3D88D" w:rsidR="008042BC" w:rsidRPr="000C51B3" w:rsidRDefault="008042BC" w:rsidP="008042BC">
            <w:pPr>
              <w:spacing w:after="0" w:line="240" w:lineRule="auto"/>
              <w:rPr>
                <w:rFonts w:ascii="Calibri" w:eastAsia="Arial" w:hAnsi="Calibri" w:cs="Calibri"/>
                <w:szCs w:val="24"/>
              </w:rPr>
            </w:pPr>
            <w:r w:rsidRPr="000C51B3">
              <w:rPr>
                <w:rFonts w:ascii="Calibri" w:eastAsia="Arial" w:hAnsi="Calibri" w:cs="Calibri"/>
                <w:szCs w:val="24"/>
              </w:rPr>
              <w:t>A</w:t>
            </w:r>
            <w:r w:rsidR="005A0EA2" w:rsidRPr="000C51B3">
              <w:rPr>
                <w:rFonts w:ascii="Calibri" w:eastAsia="Arial" w:hAnsi="Calibri" w:cs="Calibri"/>
                <w:szCs w:val="24"/>
              </w:rPr>
              <w:t>ppendi</w:t>
            </w:r>
            <w:r w:rsidRPr="000C51B3">
              <w:rPr>
                <w:rFonts w:ascii="Calibri" w:eastAsia="Arial" w:hAnsi="Calibri" w:cs="Calibri"/>
                <w:szCs w:val="24"/>
              </w:rPr>
              <w:t>x 1: People Report</w:t>
            </w:r>
          </w:p>
          <w:p w14:paraId="0736C824" w14:textId="27E752AC" w:rsidR="008042BC" w:rsidRPr="000C51B3" w:rsidRDefault="005A0EA2" w:rsidP="008042BC">
            <w:pPr>
              <w:spacing w:after="0" w:line="240" w:lineRule="auto"/>
              <w:rPr>
                <w:rFonts w:ascii="Calibri" w:eastAsia="Arial" w:hAnsi="Calibri" w:cs="Calibri"/>
                <w:szCs w:val="24"/>
              </w:rPr>
            </w:pPr>
            <w:r w:rsidRPr="000C51B3">
              <w:rPr>
                <w:rFonts w:ascii="Calibri" w:eastAsia="Arial" w:hAnsi="Calibri" w:cs="Calibri"/>
                <w:szCs w:val="24"/>
              </w:rPr>
              <w:t>Appendix 2</w:t>
            </w:r>
            <w:r w:rsidR="008042BC" w:rsidRPr="000C51B3">
              <w:rPr>
                <w:rFonts w:ascii="Calibri" w:eastAsia="Arial" w:hAnsi="Calibri" w:cs="Calibri"/>
                <w:szCs w:val="24"/>
              </w:rPr>
              <w:t>: Financial Report</w:t>
            </w:r>
            <w:r w:rsidR="00E81E84" w:rsidRPr="000C51B3">
              <w:rPr>
                <w:rFonts w:ascii="Calibri" w:eastAsia="Arial" w:hAnsi="Calibri" w:cs="Calibri"/>
                <w:szCs w:val="24"/>
              </w:rPr>
              <w:t xml:space="preserve"> – Performance Detail</w:t>
            </w:r>
          </w:p>
          <w:p w14:paraId="2415D1EF" w14:textId="75B22DEE" w:rsidR="008042BC" w:rsidRPr="000C51B3" w:rsidRDefault="005A0EA2" w:rsidP="008042BC">
            <w:pPr>
              <w:spacing w:after="0" w:line="240" w:lineRule="auto"/>
              <w:rPr>
                <w:rFonts w:ascii="Calibri" w:eastAsia="Arial" w:hAnsi="Calibri" w:cs="Calibri"/>
                <w:szCs w:val="24"/>
              </w:rPr>
            </w:pPr>
            <w:r w:rsidRPr="000C51B3">
              <w:rPr>
                <w:rFonts w:ascii="Calibri" w:eastAsia="Arial" w:hAnsi="Calibri" w:cs="Calibri"/>
                <w:szCs w:val="24"/>
              </w:rPr>
              <w:t>Appendix 3</w:t>
            </w:r>
            <w:r w:rsidR="008042BC" w:rsidRPr="000C51B3">
              <w:rPr>
                <w:rFonts w:ascii="Calibri" w:eastAsia="Arial" w:hAnsi="Calibri" w:cs="Calibri"/>
                <w:szCs w:val="24"/>
              </w:rPr>
              <w:t xml:space="preserve">: Risk </w:t>
            </w:r>
            <w:r w:rsidR="009509F8" w:rsidRPr="000C51B3">
              <w:rPr>
                <w:rFonts w:ascii="Calibri" w:eastAsia="Arial" w:hAnsi="Calibri" w:cs="Calibri"/>
                <w:szCs w:val="24"/>
              </w:rPr>
              <w:t>and</w:t>
            </w:r>
            <w:r w:rsidR="00E81E84" w:rsidRPr="000C51B3">
              <w:rPr>
                <w:rFonts w:ascii="Calibri" w:eastAsia="Arial" w:hAnsi="Calibri" w:cs="Calibri"/>
                <w:szCs w:val="24"/>
              </w:rPr>
              <w:t xml:space="preserve"> Audit </w:t>
            </w:r>
            <w:r w:rsidR="008042BC" w:rsidRPr="000C51B3">
              <w:rPr>
                <w:rFonts w:ascii="Calibri" w:eastAsia="Arial" w:hAnsi="Calibri" w:cs="Calibri"/>
                <w:szCs w:val="24"/>
              </w:rPr>
              <w:t xml:space="preserve">Report  </w:t>
            </w:r>
          </w:p>
          <w:p w14:paraId="78696479" w14:textId="161227D7" w:rsidR="008042BC" w:rsidRPr="000C51B3" w:rsidRDefault="005A0EA2" w:rsidP="008042BC">
            <w:pPr>
              <w:spacing w:after="0" w:line="240" w:lineRule="auto"/>
              <w:rPr>
                <w:rFonts w:ascii="Calibri" w:eastAsia="Arial" w:hAnsi="Calibri" w:cs="Calibri"/>
                <w:szCs w:val="24"/>
              </w:rPr>
            </w:pPr>
            <w:r w:rsidRPr="000C51B3">
              <w:rPr>
                <w:rFonts w:ascii="Calibri" w:eastAsia="Arial" w:hAnsi="Calibri" w:cs="Calibri"/>
                <w:szCs w:val="24"/>
              </w:rPr>
              <w:t>Appendix 4</w:t>
            </w:r>
            <w:r w:rsidR="008042BC" w:rsidRPr="000C51B3">
              <w:rPr>
                <w:rFonts w:ascii="Calibri" w:eastAsia="Arial" w:hAnsi="Calibri" w:cs="Calibri"/>
                <w:szCs w:val="24"/>
              </w:rPr>
              <w:t xml:space="preserve">: </w:t>
            </w:r>
            <w:r w:rsidR="00E81E84" w:rsidRPr="000C51B3">
              <w:rPr>
                <w:rFonts w:ascii="Calibri" w:eastAsia="Arial" w:hAnsi="Calibri" w:cs="Calibri"/>
                <w:szCs w:val="24"/>
              </w:rPr>
              <w:t>Detailed Performance</w:t>
            </w:r>
            <w:r w:rsidR="008042BC" w:rsidRPr="000C51B3">
              <w:rPr>
                <w:rFonts w:ascii="Calibri" w:eastAsia="Arial" w:hAnsi="Calibri" w:cs="Calibri"/>
                <w:szCs w:val="24"/>
              </w:rPr>
              <w:t xml:space="preserve"> Report</w:t>
            </w:r>
          </w:p>
          <w:p w14:paraId="4B4224DB" w14:textId="0C66883C" w:rsidR="008042BC" w:rsidRPr="000C51B3" w:rsidRDefault="006810D6" w:rsidP="00870175">
            <w:pPr>
              <w:spacing w:after="0" w:line="240" w:lineRule="auto"/>
              <w:rPr>
                <w:rFonts w:ascii="Calibri" w:eastAsia="Arial" w:hAnsi="Calibri" w:cs="Calibri"/>
                <w:szCs w:val="24"/>
              </w:rPr>
            </w:pPr>
            <w:r w:rsidRPr="000C51B3">
              <w:rPr>
                <w:rFonts w:ascii="Calibri" w:eastAsia="Arial" w:hAnsi="Calibri" w:cs="Calibri"/>
                <w:szCs w:val="24"/>
              </w:rPr>
              <w:t>Appendix 5: Year in Review</w:t>
            </w:r>
          </w:p>
        </w:tc>
      </w:tr>
    </w:tbl>
    <w:p w14:paraId="122E75E7" w14:textId="77777777" w:rsidR="00AB392B" w:rsidRPr="000C51B3" w:rsidRDefault="00AB392B" w:rsidP="000C51B3">
      <w:pPr>
        <w:pStyle w:val="Heading1"/>
      </w:pPr>
    </w:p>
    <w:p w14:paraId="5F6C7B84" w14:textId="77777777" w:rsidR="00AB392B" w:rsidRPr="000C51B3" w:rsidRDefault="00AB392B">
      <w:pPr>
        <w:rPr>
          <w:rFonts w:ascii="Calibri" w:eastAsia="Times New Roman" w:hAnsi="Calibri" w:cs="Calibri"/>
          <w:b/>
          <w:szCs w:val="24"/>
        </w:rPr>
      </w:pPr>
      <w:r w:rsidRPr="000C51B3">
        <w:rPr>
          <w:rFonts w:ascii="Calibri" w:hAnsi="Calibri" w:cs="Calibri"/>
          <w:szCs w:val="24"/>
        </w:rPr>
        <w:br w:type="page"/>
      </w:r>
    </w:p>
    <w:p w14:paraId="7C66F473" w14:textId="1B6DD40B" w:rsidR="005A16E5" w:rsidRPr="000C51B3" w:rsidRDefault="008D20BE" w:rsidP="000C51B3">
      <w:pPr>
        <w:pStyle w:val="Heading1"/>
      </w:pPr>
      <w:r w:rsidRPr="000C51B3">
        <w:lastRenderedPageBreak/>
        <w:t xml:space="preserve">Purpose </w:t>
      </w:r>
    </w:p>
    <w:p w14:paraId="4BC58694" w14:textId="77777777" w:rsidR="0097178F" w:rsidRPr="0097178F" w:rsidRDefault="0097178F" w:rsidP="0097178F">
      <w:pPr>
        <w:pStyle w:val="ListParagraph"/>
        <w:spacing w:line="360" w:lineRule="auto"/>
        <w:ind w:left="357"/>
        <w:rPr>
          <w:rFonts w:ascii="Calibri" w:eastAsia="Calibri" w:hAnsi="Calibri" w:cs="Calibri"/>
          <w:color w:val="000000" w:themeColor="text1"/>
          <w:szCs w:val="24"/>
        </w:rPr>
      </w:pPr>
    </w:p>
    <w:p w14:paraId="4851BC74" w14:textId="7F611DEA" w:rsidR="008D20BE" w:rsidRPr="000C51B3" w:rsidRDefault="008D20BE" w:rsidP="000C51B3">
      <w:pPr>
        <w:pStyle w:val="ListParagraph"/>
        <w:numPr>
          <w:ilvl w:val="0"/>
          <w:numId w:val="1"/>
        </w:numPr>
        <w:spacing w:line="360" w:lineRule="auto"/>
        <w:ind w:left="357" w:hanging="357"/>
        <w:rPr>
          <w:rFonts w:ascii="Calibri" w:eastAsia="Calibri" w:hAnsi="Calibri" w:cs="Calibri"/>
          <w:color w:val="000000" w:themeColor="text1"/>
          <w:szCs w:val="24"/>
        </w:rPr>
      </w:pPr>
      <w:r w:rsidRPr="000C51B3">
        <w:rPr>
          <w:rFonts w:ascii="Calibri" w:eastAsia="Calibri" w:hAnsi="Calibri" w:cs="Calibri"/>
          <w:szCs w:val="24"/>
        </w:rPr>
        <w:t xml:space="preserve">This paper presents </w:t>
      </w:r>
      <w:r w:rsidR="00B158B9" w:rsidRPr="000C51B3">
        <w:rPr>
          <w:rFonts w:ascii="Calibri" w:eastAsia="Calibri" w:hAnsi="Calibri" w:cs="Calibri"/>
          <w:szCs w:val="24"/>
        </w:rPr>
        <w:t>our</w:t>
      </w:r>
      <w:r w:rsidRPr="000C51B3">
        <w:rPr>
          <w:rFonts w:ascii="Calibri" w:eastAsia="Calibri" w:hAnsi="Calibri" w:cs="Calibri"/>
          <w:szCs w:val="24"/>
        </w:rPr>
        <w:t xml:space="preserve"> performance for</w:t>
      </w:r>
      <w:r w:rsidR="0083328C" w:rsidRPr="000C51B3">
        <w:rPr>
          <w:rFonts w:ascii="Calibri" w:eastAsia="Calibri" w:hAnsi="Calibri" w:cs="Calibri"/>
          <w:szCs w:val="24"/>
        </w:rPr>
        <w:t xml:space="preserve"> </w:t>
      </w:r>
      <w:r w:rsidR="00B158B9" w:rsidRPr="000C51B3">
        <w:rPr>
          <w:rFonts w:ascii="Calibri" w:eastAsia="Calibri" w:hAnsi="Calibri" w:cs="Calibri"/>
          <w:szCs w:val="24"/>
        </w:rPr>
        <w:t>Q</w:t>
      </w:r>
      <w:r w:rsidR="006810D6" w:rsidRPr="000C51B3">
        <w:rPr>
          <w:rFonts w:ascii="Calibri" w:eastAsia="Calibri" w:hAnsi="Calibri" w:cs="Calibri"/>
          <w:szCs w:val="24"/>
        </w:rPr>
        <w:t>4</w:t>
      </w:r>
      <w:r w:rsidRPr="000C51B3">
        <w:rPr>
          <w:rFonts w:ascii="Calibri" w:eastAsia="Calibri" w:hAnsi="Calibri" w:cs="Calibri"/>
          <w:szCs w:val="24"/>
        </w:rPr>
        <w:t xml:space="preserve"> 202</w:t>
      </w:r>
      <w:r w:rsidR="009863AB" w:rsidRPr="000C51B3">
        <w:rPr>
          <w:rFonts w:ascii="Calibri" w:eastAsia="Calibri" w:hAnsi="Calibri" w:cs="Calibri"/>
          <w:szCs w:val="24"/>
        </w:rPr>
        <w:t>5</w:t>
      </w:r>
      <w:r w:rsidR="001C0D45" w:rsidRPr="000C51B3">
        <w:rPr>
          <w:rFonts w:ascii="Calibri" w:eastAsia="Calibri" w:hAnsi="Calibri" w:cs="Calibri"/>
          <w:szCs w:val="24"/>
        </w:rPr>
        <w:t>/2</w:t>
      </w:r>
      <w:r w:rsidR="009863AB" w:rsidRPr="000C51B3">
        <w:rPr>
          <w:rFonts w:ascii="Calibri" w:eastAsia="Calibri" w:hAnsi="Calibri" w:cs="Calibri"/>
          <w:szCs w:val="24"/>
        </w:rPr>
        <w:t>6</w:t>
      </w:r>
      <w:r w:rsidRPr="000C51B3">
        <w:rPr>
          <w:rFonts w:ascii="Calibri" w:eastAsia="Calibri" w:hAnsi="Calibri" w:cs="Calibri"/>
          <w:szCs w:val="24"/>
        </w:rPr>
        <w:t>. It addresses delivery of our corporate priorities by reviewing performance against our Business Plan</w:t>
      </w:r>
      <w:r w:rsidR="00ED73CC" w:rsidRPr="000C51B3">
        <w:rPr>
          <w:rFonts w:ascii="Calibri" w:eastAsia="Calibri" w:hAnsi="Calibri" w:cs="Calibri"/>
          <w:szCs w:val="24"/>
        </w:rPr>
        <w:t>,</w:t>
      </w:r>
      <w:r w:rsidRPr="000C51B3">
        <w:rPr>
          <w:rFonts w:ascii="Calibri" w:eastAsia="Calibri" w:hAnsi="Calibri" w:cs="Calibri"/>
          <w:szCs w:val="24"/>
        </w:rPr>
        <w:t xml:space="preserve"> progress towards maximising our available budget</w:t>
      </w:r>
      <w:r w:rsidR="00ED73CC" w:rsidRPr="000C51B3">
        <w:rPr>
          <w:rFonts w:ascii="Calibri" w:eastAsia="Calibri" w:hAnsi="Calibri" w:cs="Calibri"/>
          <w:szCs w:val="24"/>
        </w:rPr>
        <w:t>,</w:t>
      </w:r>
      <w:r w:rsidRPr="000C51B3">
        <w:rPr>
          <w:rFonts w:ascii="Calibri" w:eastAsia="Calibri" w:hAnsi="Calibri" w:cs="Calibri"/>
          <w:szCs w:val="24"/>
        </w:rPr>
        <w:t xml:space="preserve"> assessing risks for delivery </w:t>
      </w:r>
      <w:r w:rsidR="00AE3940" w:rsidRPr="000C51B3">
        <w:rPr>
          <w:rFonts w:ascii="Calibri" w:eastAsia="Calibri" w:hAnsi="Calibri" w:cs="Calibri"/>
          <w:szCs w:val="24"/>
        </w:rPr>
        <w:t>and</w:t>
      </w:r>
      <w:r w:rsidRPr="000C51B3">
        <w:rPr>
          <w:rFonts w:ascii="Calibri" w:eastAsia="Calibri" w:hAnsi="Calibri" w:cs="Calibri"/>
          <w:szCs w:val="24"/>
        </w:rPr>
        <w:t xml:space="preserve"> information </w:t>
      </w:r>
      <w:r w:rsidR="00040C0B" w:rsidRPr="000C51B3">
        <w:rPr>
          <w:rFonts w:ascii="Calibri" w:eastAsia="Calibri" w:hAnsi="Calibri" w:cs="Calibri"/>
          <w:szCs w:val="24"/>
        </w:rPr>
        <w:t xml:space="preserve">on how our people are </w:t>
      </w:r>
      <w:r w:rsidRPr="000C51B3">
        <w:rPr>
          <w:rFonts w:ascii="Calibri" w:eastAsia="Calibri" w:hAnsi="Calibri" w:cs="Calibri"/>
          <w:color w:val="000000" w:themeColor="text1"/>
          <w:szCs w:val="24"/>
        </w:rPr>
        <w:t>supporting the resourcing of our work.</w:t>
      </w:r>
    </w:p>
    <w:p w14:paraId="7244B4F3" w14:textId="77777777" w:rsidR="000C51B3" w:rsidRPr="000C51B3" w:rsidRDefault="000C51B3" w:rsidP="000C51B3">
      <w:pPr>
        <w:pStyle w:val="ListParagraph"/>
        <w:spacing w:line="360" w:lineRule="auto"/>
        <w:ind w:left="357"/>
        <w:rPr>
          <w:rFonts w:ascii="Calibri" w:eastAsia="Calibri" w:hAnsi="Calibri" w:cs="Calibri"/>
          <w:color w:val="000000" w:themeColor="text1"/>
          <w:szCs w:val="24"/>
        </w:rPr>
      </w:pPr>
    </w:p>
    <w:p w14:paraId="083C4FE5" w14:textId="143BE538" w:rsidR="00106E68" w:rsidRDefault="00106E68" w:rsidP="000C51B3">
      <w:pPr>
        <w:pStyle w:val="ListParagraph"/>
        <w:numPr>
          <w:ilvl w:val="0"/>
          <w:numId w:val="1"/>
        </w:numPr>
        <w:spacing w:line="360" w:lineRule="auto"/>
        <w:ind w:left="357" w:hanging="357"/>
        <w:rPr>
          <w:rFonts w:ascii="Calibri" w:eastAsia="Calibri" w:hAnsi="Calibri" w:cs="Calibri"/>
          <w:color w:val="000000" w:themeColor="text1"/>
          <w:szCs w:val="24"/>
        </w:rPr>
      </w:pPr>
      <w:r w:rsidRPr="000C51B3">
        <w:rPr>
          <w:rFonts w:ascii="Calibri" w:eastAsia="Calibri" w:hAnsi="Calibri" w:cs="Calibri"/>
          <w:color w:val="000000" w:themeColor="text1"/>
          <w:szCs w:val="24"/>
        </w:rPr>
        <w:t>The report also includes an additional section providing highlights from our delivery across the whole of 2025/26.</w:t>
      </w:r>
    </w:p>
    <w:p w14:paraId="05DD9FB2" w14:textId="77777777" w:rsidR="000C51B3" w:rsidRPr="000C51B3" w:rsidRDefault="000C51B3" w:rsidP="000C51B3">
      <w:pPr>
        <w:pStyle w:val="ListParagraph"/>
        <w:rPr>
          <w:rFonts w:ascii="Calibri" w:eastAsia="Calibri" w:hAnsi="Calibri" w:cs="Calibri"/>
          <w:color w:val="000000" w:themeColor="text1"/>
          <w:szCs w:val="24"/>
        </w:rPr>
      </w:pPr>
    </w:p>
    <w:p w14:paraId="41BBE5F7" w14:textId="77777777" w:rsidR="000C51B3" w:rsidRPr="000C51B3" w:rsidRDefault="000C51B3" w:rsidP="000C51B3">
      <w:pPr>
        <w:pStyle w:val="Heading1"/>
      </w:pPr>
      <w:r w:rsidRPr="000C51B3">
        <w:t>High Level Performance Summary</w:t>
      </w:r>
    </w:p>
    <w:p w14:paraId="60721516" w14:textId="77777777" w:rsidR="000C51B3" w:rsidRDefault="000C51B3" w:rsidP="000C51B3">
      <w:pPr>
        <w:pStyle w:val="Heading2"/>
      </w:pPr>
    </w:p>
    <w:p w14:paraId="139FDD76" w14:textId="77777777" w:rsidR="000C51B3" w:rsidRDefault="000C51B3" w:rsidP="000C51B3">
      <w:pPr>
        <w:pStyle w:val="Heading2"/>
      </w:pPr>
      <w:r w:rsidRPr="000C51B3">
        <w:t xml:space="preserve">People </w:t>
      </w:r>
    </w:p>
    <w:p w14:paraId="76FFC3FE" w14:textId="77777777" w:rsidR="000C51B3" w:rsidRPr="000C51B3" w:rsidRDefault="000C51B3" w:rsidP="000C51B3">
      <w:pPr>
        <w:pStyle w:val="ListParagraph"/>
        <w:numPr>
          <w:ilvl w:val="0"/>
          <w:numId w:val="1"/>
        </w:numPr>
        <w:spacing w:line="360" w:lineRule="auto"/>
        <w:ind w:left="357" w:hanging="357"/>
        <w:rPr>
          <w:rFonts w:ascii="Calibri" w:hAnsi="Calibri" w:cs="Calibri"/>
        </w:rPr>
      </w:pPr>
      <w:r w:rsidRPr="000C51B3">
        <w:rPr>
          <w:rFonts w:ascii="Calibri" w:eastAsia="Calibri" w:hAnsi="Calibri" w:cs="Calibri"/>
          <w:b/>
          <w:bCs/>
          <w:i/>
          <w:iCs/>
          <w:color w:val="000000" w:themeColor="text1"/>
          <w:szCs w:val="24"/>
        </w:rPr>
        <w:t>Figure 1</w:t>
      </w:r>
      <w:r w:rsidRPr="000C51B3">
        <w:rPr>
          <w:rFonts w:ascii="Calibri" w:eastAsia="Calibri" w:hAnsi="Calibri" w:cs="Calibri"/>
          <w:color w:val="000000" w:themeColor="text1"/>
          <w:szCs w:val="24"/>
        </w:rPr>
        <w:t xml:space="preserve"> shows the high-level overview of our People metrics. Overall, the picture is consistent with previous performance, with the main area of concern being our workforce size and composition, due to our predicted retirement profile. More detailed commentary is in </w:t>
      </w:r>
      <w:r w:rsidRPr="000C51B3">
        <w:rPr>
          <w:rFonts w:ascii="Calibri" w:eastAsia="Calibri" w:hAnsi="Calibri" w:cs="Calibri"/>
          <w:b/>
          <w:bCs/>
          <w:i/>
          <w:iCs/>
          <w:color w:val="000000" w:themeColor="text1"/>
          <w:szCs w:val="24"/>
        </w:rPr>
        <w:t>Appendix 1</w:t>
      </w:r>
      <w:r w:rsidRPr="000C51B3">
        <w:rPr>
          <w:rFonts w:ascii="Calibri" w:eastAsia="Calibri" w:hAnsi="Calibri" w:cs="Calibri"/>
          <w:color w:val="000000" w:themeColor="text1"/>
          <w:szCs w:val="24"/>
        </w:rPr>
        <w:t>.</w:t>
      </w:r>
      <w:r w:rsidRPr="000C51B3">
        <w:rPr>
          <w:rFonts w:ascii="Calibri" w:eastAsia="Calibri" w:hAnsi="Calibri" w:cs="Calibri"/>
          <w:color w:val="000000" w:themeColor="text1"/>
          <w:sz w:val="22"/>
        </w:rPr>
        <w:t xml:space="preserve"> </w:t>
      </w:r>
    </w:p>
    <w:p w14:paraId="2733B619" w14:textId="77777777" w:rsidR="000C51B3" w:rsidRPr="000C51B3" w:rsidRDefault="000C51B3" w:rsidP="000C51B3">
      <w:pPr>
        <w:pStyle w:val="ListParagraph"/>
        <w:spacing w:line="360" w:lineRule="auto"/>
        <w:ind w:left="357"/>
        <w:rPr>
          <w:rFonts w:ascii="Calibri" w:eastAsia="Calibri" w:hAnsi="Calibri" w:cs="Calibri"/>
          <w:color w:val="000000" w:themeColor="text1"/>
          <w:szCs w:val="24"/>
        </w:rPr>
      </w:pPr>
    </w:p>
    <w:p w14:paraId="59077E93" w14:textId="77777777" w:rsidR="0076051D" w:rsidRPr="000C51B3" w:rsidRDefault="0076051D" w:rsidP="000C51B3">
      <w:pPr>
        <w:pStyle w:val="Heading1"/>
      </w:pPr>
    </w:p>
    <w:p w14:paraId="5A9CC208" w14:textId="77777777" w:rsidR="003E65B0" w:rsidRPr="000C51B3" w:rsidRDefault="003E65B0" w:rsidP="0076051D">
      <w:pPr>
        <w:rPr>
          <w:rFonts w:ascii="Calibri" w:hAnsi="Calibri" w:cs="Calibri"/>
        </w:rPr>
        <w:sectPr w:rsidR="003E65B0" w:rsidRPr="000C51B3" w:rsidSect="00F15440">
          <w:headerReference w:type="default" r:id="rId10"/>
          <w:pgSz w:w="11906" w:h="16838"/>
          <w:pgMar w:top="851" w:right="1274" w:bottom="1440" w:left="1440" w:header="567" w:footer="708" w:gutter="0"/>
          <w:cols w:space="708"/>
          <w:docGrid w:linePitch="360"/>
        </w:sectPr>
      </w:pPr>
    </w:p>
    <w:p w14:paraId="662C3A88" w14:textId="00751471" w:rsidR="000C51B3" w:rsidRPr="000C51B3" w:rsidRDefault="000C51B3" w:rsidP="000C51B3">
      <w:pPr>
        <w:pStyle w:val="NoSpacing"/>
        <w:rPr>
          <w:rFonts w:ascii="Calibri" w:hAnsi="Calibri" w:cs="Calibri"/>
          <w:b/>
          <w:bCs/>
        </w:rPr>
      </w:pPr>
      <w:r w:rsidRPr="000C51B3">
        <w:rPr>
          <w:rFonts w:ascii="Calibri" w:hAnsi="Calibri" w:cs="Calibri"/>
          <w:b/>
          <w:bCs/>
        </w:rPr>
        <w:lastRenderedPageBreak/>
        <w:t>Figure 1 – People Scorecard – Q4 2025/26</w:t>
      </w:r>
    </w:p>
    <w:p w14:paraId="5D3D4B2D" w14:textId="39AE1CA3" w:rsidR="000C51B3" w:rsidRPr="000C51B3" w:rsidRDefault="000C51B3" w:rsidP="000C51B3">
      <w:pPr>
        <w:pStyle w:val="NoSpacing"/>
      </w:pPr>
      <w:r w:rsidRPr="000C51B3">
        <w:rPr>
          <w:noProof/>
        </w:rPr>
        <w:drawing>
          <wp:inline distT="0" distB="0" distL="0" distR="0" wp14:anchorId="7E2CBEC4" wp14:editId="495C026A">
            <wp:extent cx="9233145" cy="4572000"/>
            <wp:effectExtent l="0" t="0" r="6350" b="0"/>
            <wp:docPr id="17090966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767942" name=""/>
                    <pic:cNvPicPr/>
                  </pic:nvPicPr>
                  <pic:blipFill rotWithShape="1">
                    <a:blip r:embed="rId11">
                      <a:extLst>
                        <a:ext uri="{96DAC541-7B7A-43D3-8B79-37D633B846F1}">
                          <asvg:svgBlip xmlns:asvg="http://schemas.microsoft.com/office/drawing/2016/SVG/main" r:embed="rId12"/>
                        </a:ext>
                      </a:extLst>
                    </a:blip>
                    <a:srcRect t="10143" b="1829"/>
                    <a:stretch>
                      <a:fillRect/>
                    </a:stretch>
                  </pic:blipFill>
                  <pic:spPr bwMode="auto">
                    <a:xfrm>
                      <a:off x="0" y="0"/>
                      <a:ext cx="9280089" cy="4595246"/>
                    </a:xfrm>
                    <a:prstGeom prst="rect">
                      <a:avLst/>
                    </a:prstGeom>
                    <a:ln>
                      <a:noFill/>
                    </a:ln>
                    <a:extLst>
                      <a:ext uri="{53640926-AAD7-44D8-BBD7-CCE9431645EC}">
                        <a14:shadowObscured xmlns:a14="http://schemas.microsoft.com/office/drawing/2010/main"/>
                      </a:ext>
                    </a:extLst>
                  </pic:spPr>
                </pic:pic>
              </a:graphicData>
            </a:graphic>
          </wp:inline>
        </w:drawing>
      </w:r>
    </w:p>
    <w:p w14:paraId="519E6FDE" w14:textId="77777777" w:rsidR="00AC04B6" w:rsidRPr="000C51B3" w:rsidRDefault="00AC04B6" w:rsidP="00AC04B6">
      <w:pPr>
        <w:pStyle w:val="Heading2"/>
        <w:spacing w:line="360" w:lineRule="auto"/>
      </w:pPr>
      <w:r w:rsidRPr="000C51B3">
        <w:t>Finance</w:t>
      </w:r>
    </w:p>
    <w:p w14:paraId="46366C2B" w14:textId="77777777" w:rsidR="00AC04B6" w:rsidRDefault="00AC04B6" w:rsidP="00AC04B6">
      <w:pPr>
        <w:pStyle w:val="ListParagraph"/>
        <w:numPr>
          <w:ilvl w:val="0"/>
          <w:numId w:val="1"/>
        </w:numPr>
        <w:spacing w:line="360" w:lineRule="auto"/>
        <w:ind w:left="357" w:hanging="357"/>
        <w:rPr>
          <w:rFonts w:ascii="Calibri" w:eastAsia="Calibri" w:hAnsi="Calibri" w:cs="Calibri"/>
          <w:szCs w:val="24"/>
        </w:rPr>
      </w:pPr>
      <w:r w:rsidRPr="000C51B3">
        <w:rPr>
          <w:rFonts w:ascii="Calibri" w:eastAsia="Calibri" w:hAnsi="Calibri" w:cs="Calibri"/>
          <w:b/>
          <w:bCs/>
          <w:i/>
          <w:iCs/>
          <w:szCs w:val="24"/>
        </w:rPr>
        <w:t>Figure 2</w:t>
      </w:r>
      <w:r w:rsidRPr="000C51B3">
        <w:rPr>
          <w:rFonts w:ascii="Calibri" w:eastAsia="Calibri" w:hAnsi="Calibri" w:cs="Calibri"/>
          <w:szCs w:val="24"/>
        </w:rPr>
        <w:t xml:space="preserve"> shows the Finance metrics as at 16 April (details in </w:t>
      </w:r>
      <w:r w:rsidRPr="000C51B3">
        <w:rPr>
          <w:rFonts w:ascii="Calibri" w:eastAsia="Calibri" w:hAnsi="Calibri" w:cs="Calibri"/>
          <w:b/>
          <w:bCs/>
          <w:i/>
          <w:iCs/>
          <w:szCs w:val="24"/>
        </w:rPr>
        <w:t>Appendix 2</w:t>
      </w:r>
      <w:r w:rsidRPr="000C51B3">
        <w:rPr>
          <w:rFonts w:ascii="Calibri" w:eastAsia="Calibri" w:hAnsi="Calibri" w:cs="Calibri"/>
          <w:szCs w:val="24"/>
        </w:rPr>
        <w:t>). The key points to note are:</w:t>
      </w:r>
    </w:p>
    <w:p w14:paraId="13DF1EB3" w14:textId="1A67F30D" w:rsidR="000C51B3" w:rsidRPr="00F15440" w:rsidRDefault="00F15440" w:rsidP="00F15440">
      <w:pPr>
        <w:pStyle w:val="ListParagraph"/>
        <w:numPr>
          <w:ilvl w:val="0"/>
          <w:numId w:val="15"/>
        </w:numPr>
        <w:tabs>
          <w:tab w:val="left" w:pos="993"/>
        </w:tabs>
        <w:spacing w:line="360" w:lineRule="auto"/>
        <w:rPr>
          <w:rFonts w:ascii="Calibri" w:hAnsi="Calibri" w:cs="Calibri"/>
        </w:rPr>
      </w:pPr>
      <w:r w:rsidRPr="000C51B3">
        <w:rPr>
          <w:rFonts w:ascii="Calibri" w:hAnsi="Calibri" w:cs="Calibri"/>
        </w:rPr>
        <w:t>Overall underspend of £1.9m is less than 2% of our budget and without the misunderstanding with SG between cash and non-cash direct capital this would be less than 1%.</w:t>
      </w:r>
    </w:p>
    <w:p w14:paraId="6D4CACE9" w14:textId="0DACFCAD" w:rsidR="000C51B3" w:rsidRPr="000C51B3" w:rsidRDefault="000C51B3" w:rsidP="000C51B3">
      <w:pPr>
        <w:pStyle w:val="ListParagraph"/>
        <w:spacing w:line="360" w:lineRule="auto"/>
        <w:ind w:left="357"/>
        <w:rPr>
          <w:rFonts w:ascii="Calibri" w:hAnsi="Calibri" w:cs="Calibri"/>
        </w:rPr>
        <w:sectPr w:rsidR="000C51B3" w:rsidRPr="000C51B3" w:rsidSect="000C51B3">
          <w:pgSz w:w="16838" w:h="11906" w:orient="landscape"/>
          <w:pgMar w:top="1135" w:right="993" w:bottom="1135" w:left="1440" w:header="567" w:footer="708" w:gutter="0"/>
          <w:cols w:space="708"/>
          <w:docGrid w:linePitch="360"/>
        </w:sectPr>
      </w:pPr>
    </w:p>
    <w:p w14:paraId="6A3755AC" w14:textId="4FA06CAC" w:rsidR="003D2CC0" w:rsidRPr="000C51B3" w:rsidRDefault="003D2CC0" w:rsidP="00AC04B6">
      <w:pPr>
        <w:pStyle w:val="ListParagraph"/>
        <w:numPr>
          <w:ilvl w:val="0"/>
          <w:numId w:val="9"/>
        </w:numPr>
        <w:tabs>
          <w:tab w:val="left" w:pos="993"/>
        </w:tabs>
        <w:spacing w:line="360" w:lineRule="auto"/>
        <w:ind w:left="993" w:hanging="426"/>
        <w:rPr>
          <w:rFonts w:ascii="Calibri" w:hAnsi="Calibri" w:cs="Calibri"/>
        </w:rPr>
      </w:pPr>
      <w:r w:rsidRPr="000C51B3">
        <w:rPr>
          <w:rFonts w:ascii="Calibri" w:hAnsi="Calibri" w:cs="Calibri"/>
        </w:rPr>
        <w:lastRenderedPageBreak/>
        <w:t>Overall underspend of £1.9m is less than 2% of our budget and without the misunderstanding with SG between cash and non-cash direct capital this would be less than 1%</w:t>
      </w:r>
      <w:r w:rsidR="00D465A8" w:rsidRPr="000C51B3">
        <w:rPr>
          <w:rFonts w:ascii="Calibri" w:hAnsi="Calibri" w:cs="Calibri"/>
        </w:rPr>
        <w:t>.</w:t>
      </w:r>
    </w:p>
    <w:p w14:paraId="27AD5388" w14:textId="7B5E42D8" w:rsidR="005E2BE8" w:rsidRPr="000C51B3" w:rsidRDefault="005E2BE8" w:rsidP="00AC04B6">
      <w:pPr>
        <w:pStyle w:val="ListParagraph"/>
        <w:numPr>
          <w:ilvl w:val="0"/>
          <w:numId w:val="9"/>
        </w:numPr>
        <w:tabs>
          <w:tab w:val="left" w:pos="993"/>
        </w:tabs>
        <w:spacing w:line="360" w:lineRule="auto"/>
        <w:ind w:left="567" w:firstLine="0"/>
        <w:rPr>
          <w:rFonts w:ascii="Calibri" w:hAnsi="Calibri" w:cs="Calibri"/>
        </w:rPr>
      </w:pPr>
      <w:r w:rsidRPr="000C51B3">
        <w:rPr>
          <w:rFonts w:ascii="Calibri" w:hAnsi="Calibri" w:cs="Calibri"/>
        </w:rPr>
        <w:t>The positive performance on eight out of the ten financial metrics.</w:t>
      </w:r>
    </w:p>
    <w:p w14:paraId="6D36F45A" w14:textId="1BC617F2" w:rsidR="005E2BE8" w:rsidRPr="000C51B3" w:rsidRDefault="005E2BE8" w:rsidP="00AC04B6">
      <w:pPr>
        <w:pStyle w:val="ListParagraph"/>
        <w:numPr>
          <w:ilvl w:val="0"/>
          <w:numId w:val="9"/>
        </w:numPr>
        <w:tabs>
          <w:tab w:val="left" w:pos="993"/>
        </w:tabs>
        <w:spacing w:line="360" w:lineRule="auto"/>
        <w:ind w:left="993" w:hanging="426"/>
        <w:rPr>
          <w:rFonts w:ascii="Calibri" w:hAnsi="Calibri" w:cs="Calibri"/>
        </w:rPr>
      </w:pPr>
      <w:r w:rsidRPr="000C51B3">
        <w:rPr>
          <w:rFonts w:ascii="Calibri" w:hAnsi="Calibri" w:cs="Calibri"/>
        </w:rPr>
        <w:t xml:space="preserve">The </w:t>
      </w:r>
      <w:r w:rsidR="00335004" w:rsidRPr="000C51B3">
        <w:rPr>
          <w:rFonts w:ascii="Calibri" w:hAnsi="Calibri" w:cs="Calibri"/>
        </w:rPr>
        <w:t xml:space="preserve">budget for Peatland is £4.2m for resource and £15.9m for </w:t>
      </w:r>
      <w:r w:rsidRPr="000C51B3">
        <w:rPr>
          <w:rFonts w:ascii="Calibri" w:hAnsi="Calibri" w:cs="Calibri"/>
        </w:rPr>
        <w:t xml:space="preserve">indirect capital </w:t>
      </w:r>
      <w:r w:rsidR="00EC4CBC" w:rsidRPr="000C51B3">
        <w:rPr>
          <w:rFonts w:ascii="Calibri" w:hAnsi="Calibri" w:cs="Calibri"/>
        </w:rPr>
        <w:t>(</w:t>
      </w:r>
      <w:r w:rsidRPr="000C51B3">
        <w:rPr>
          <w:rFonts w:ascii="Calibri" w:hAnsi="Calibri" w:cs="Calibri"/>
        </w:rPr>
        <w:t>after a hand back of £1m in November</w:t>
      </w:r>
      <w:r w:rsidR="00EC4CBC" w:rsidRPr="000C51B3">
        <w:rPr>
          <w:rFonts w:ascii="Calibri" w:hAnsi="Calibri" w:cs="Calibri"/>
        </w:rPr>
        <w:t>), giving a total budget of £20.1m</w:t>
      </w:r>
      <w:r w:rsidRPr="000C51B3">
        <w:rPr>
          <w:rFonts w:ascii="Calibri" w:hAnsi="Calibri" w:cs="Calibri"/>
        </w:rPr>
        <w:t xml:space="preserve">.  The current </w:t>
      </w:r>
      <w:r w:rsidR="00335004" w:rsidRPr="000C51B3">
        <w:rPr>
          <w:rFonts w:ascii="Calibri" w:hAnsi="Calibri" w:cs="Calibri"/>
        </w:rPr>
        <w:t xml:space="preserve">indirect capital </w:t>
      </w:r>
      <w:r w:rsidRPr="000C51B3">
        <w:rPr>
          <w:rFonts w:ascii="Calibri" w:hAnsi="Calibri" w:cs="Calibri"/>
        </w:rPr>
        <w:t>forecast is £1</w:t>
      </w:r>
      <w:r w:rsidR="00EC4CBC" w:rsidRPr="000C51B3">
        <w:rPr>
          <w:rFonts w:ascii="Calibri" w:hAnsi="Calibri" w:cs="Calibri"/>
        </w:rPr>
        <w:t>5.</w:t>
      </w:r>
      <w:r w:rsidR="001525A8" w:rsidRPr="000C51B3">
        <w:rPr>
          <w:rFonts w:ascii="Calibri" w:hAnsi="Calibri" w:cs="Calibri"/>
        </w:rPr>
        <w:t>5</w:t>
      </w:r>
      <w:r w:rsidRPr="000C51B3">
        <w:rPr>
          <w:rFonts w:ascii="Calibri" w:hAnsi="Calibri" w:cs="Calibri"/>
        </w:rPr>
        <w:t>m, being an underspend of £</w:t>
      </w:r>
      <w:r w:rsidR="00EC4CBC" w:rsidRPr="000C51B3">
        <w:rPr>
          <w:rFonts w:ascii="Calibri" w:hAnsi="Calibri" w:cs="Calibri"/>
        </w:rPr>
        <w:t>0.</w:t>
      </w:r>
      <w:r w:rsidR="001525A8" w:rsidRPr="000C51B3">
        <w:rPr>
          <w:rFonts w:ascii="Calibri" w:hAnsi="Calibri" w:cs="Calibri"/>
        </w:rPr>
        <w:t>4</w:t>
      </w:r>
      <w:r w:rsidRPr="000C51B3">
        <w:rPr>
          <w:rFonts w:ascii="Calibri" w:hAnsi="Calibri" w:cs="Calibri"/>
        </w:rPr>
        <w:t xml:space="preserve">m.  This forecast </w:t>
      </w:r>
      <w:r w:rsidR="00EC4CBC" w:rsidRPr="000C51B3">
        <w:rPr>
          <w:rFonts w:ascii="Calibri" w:hAnsi="Calibri" w:cs="Calibri"/>
        </w:rPr>
        <w:t>includes</w:t>
      </w:r>
      <w:r w:rsidRPr="000C51B3">
        <w:rPr>
          <w:rFonts w:ascii="Calibri" w:hAnsi="Calibri" w:cs="Calibri"/>
        </w:rPr>
        <w:t xml:space="preserve"> £0.</w:t>
      </w:r>
      <w:r w:rsidR="00B6250B" w:rsidRPr="000C51B3">
        <w:rPr>
          <w:rFonts w:ascii="Calibri" w:hAnsi="Calibri" w:cs="Calibri"/>
        </w:rPr>
        <w:t>6</w:t>
      </w:r>
      <w:r w:rsidRPr="000C51B3">
        <w:rPr>
          <w:rFonts w:ascii="Calibri" w:hAnsi="Calibri" w:cs="Calibri"/>
        </w:rPr>
        <w:t xml:space="preserve">m paid to Scottish Water for Peatland Action restoration work completed in 2025/26, </w:t>
      </w:r>
      <w:r w:rsidR="00EC4CBC" w:rsidRPr="000C51B3">
        <w:rPr>
          <w:rFonts w:ascii="Calibri" w:hAnsi="Calibri" w:cs="Calibri"/>
        </w:rPr>
        <w:t>and</w:t>
      </w:r>
      <w:r w:rsidRPr="000C51B3">
        <w:rPr>
          <w:rFonts w:ascii="Calibri" w:hAnsi="Calibri" w:cs="Calibri"/>
        </w:rPr>
        <w:t xml:space="preserve"> a payment to Forestry and Land Scotland of £1.8m.</w:t>
      </w:r>
      <w:r w:rsidR="00EC4CBC" w:rsidRPr="000C51B3">
        <w:rPr>
          <w:rFonts w:ascii="Calibri" w:hAnsi="Calibri" w:cs="Calibri"/>
        </w:rPr>
        <w:t xml:space="preserve"> </w:t>
      </w:r>
      <w:r w:rsidRPr="000C51B3">
        <w:rPr>
          <w:rFonts w:ascii="Calibri" w:hAnsi="Calibri" w:cs="Calibri"/>
        </w:rPr>
        <w:t xml:space="preserve"> </w:t>
      </w:r>
      <w:r w:rsidR="00EC4CBC" w:rsidRPr="000C51B3">
        <w:rPr>
          <w:rFonts w:ascii="Calibri" w:hAnsi="Calibri" w:cs="Calibri"/>
        </w:rPr>
        <w:t>On the resource budget our forecast is £3.6m which is net of the income from SIF giving an underspend of £0.6m.  The overall Peatland Action underspend is therefore £</w:t>
      </w:r>
      <w:r w:rsidR="001525A8" w:rsidRPr="000C51B3">
        <w:rPr>
          <w:rFonts w:ascii="Calibri" w:hAnsi="Calibri" w:cs="Calibri"/>
        </w:rPr>
        <w:t>1</w:t>
      </w:r>
      <w:r w:rsidR="00EC4CBC" w:rsidRPr="000C51B3">
        <w:rPr>
          <w:rFonts w:ascii="Calibri" w:hAnsi="Calibri" w:cs="Calibri"/>
        </w:rPr>
        <w:t xml:space="preserve">m. </w:t>
      </w:r>
      <w:r w:rsidR="008525BB" w:rsidRPr="000C51B3">
        <w:rPr>
          <w:rFonts w:ascii="Calibri" w:hAnsi="Calibri" w:cs="Calibri"/>
        </w:rPr>
        <w:t>The latest position will be updated at the Board.</w:t>
      </w:r>
    </w:p>
    <w:p w14:paraId="78E5161D" w14:textId="1B11F237" w:rsidR="00F071B2" w:rsidRPr="000C51B3" w:rsidRDefault="00F071B2" w:rsidP="00AC04B6">
      <w:pPr>
        <w:pStyle w:val="ListParagraph"/>
        <w:numPr>
          <w:ilvl w:val="0"/>
          <w:numId w:val="9"/>
        </w:numPr>
        <w:tabs>
          <w:tab w:val="left" w:pos="993"/>
        </w:tabs>
        <w:spacing w:line="360" w:lineRule="auto"/>
        <w:ind w:left="993" w:hanging="426"/>
        <w:rPr>
          <w:rFonts w:ascii="Calibri" w:hAnsi="Calibri" w:cs="Calibri"/>
        </w:rPr>
      </w:pPr>
      <w:r w:rsidRPr="000C51B3">
        <w:rPr>
          <w:rFonts w:ascii="Calibri" w:hAnsi="Calibri" w:cs="Calibri"/>
        </w:rPr>
        <w:t>There will continue to be movements in the forecast outturn until all final year end processing is concluded.</w:t>
      </w:r>
    </w:p>
    <w:p w14:paraId="3F15B999" w14:textId="4C92D9EF" w:rsidR="005E2BE8" w:rsidRPr="000C51B3" w:rsidRDefault="005E2BE8" w:rsidP="000C51B3">
      <w:pPr>
        <w:pStyle w:val="Heading2"/>
        <w:rPr>
          <w:rFonts w:eastAsia="Calibri"/>
        </w:rPr>
      </w:pPr>
      <w:r w:rsidRPr="000C51B3">
        <w:rPr>
          <w:rFonts w:eastAsia="Calibri"/>
        </w:rPr>
        <w:t>Figure 2: Finance Scorecard</w:t>
      </w:r>
      <w:r w:rsidR="000C51B3">
        <w:rPr>
          <w:rFonts w:eastAsia="Calibri"/>
        </w:rPr>
        <w:t xml:space="preserve"> </w:t>
      </w:r>
      <w:r w:rsidR="000C51B3" w:rsidRPr="000C51B3">
        <w:t>– Q4 2025/26</w:t>
      </w:r>
    </w:p>
    <w:tbl>
      <w:tblPr>
        <w:tblStyle w:val="GridTable4-Accent1"/>
        <w:tblW w:w="5000" w:type="pct"/>
        <w:tblLook w:val="04A0" w:firstRow="1" w:lastRow="0" w:firstColumn="1" w:lastColumn="0" w:noHBand="0" w:noVBand="1"/>
      </w:tblPr>
      <w:tblGrid>
        <w:gridCol w:w="1980"/>
        <w:gridCol w:w="2214"/>
        <w:gridCol w:w="1090"/>
        <w:gridCol w:w="1291"/>
        <w:gridCol w:w="1254"/>
        <w:gridCol w:w="1187"/>
      </w:tblGrid>
      <w:tr w:rsidR="00AC04B6" w:rsidRPr="000C51B3" w14:paraId="522BD7A0" w14:textId="77777777" w:rsidTr="00AC04B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98" w:type="pct"/>
          </w:tcPr>
          <w:p w14:paraId="3F7DF12F" w14:textId="77777777" w:rsidR="005E2BE8" w:rsidRPr="000C51B3" w:rsidRDefault="005E2BE8" w:rsidP="00CE181B">
            <w:pPr>
              <w:pStyle w:val="ListParagraph"/>
              <w:ind w:left="164"/>
              <w:rPr>
                <w:rStyle w:val="Hyperlink"/>
                <w:rFonts w:ascii="Calibri" w:hAnsi="Calibri" w:cs="Calibri"/>
                <w:color w:val="auto"/>
                <w:szCs w:val="24"/>
              </w:rPr>
            </w:pPr>
            <w:r w:rsidRPr="000C51B3">
              <w:rPr>
                <w:rStyle w:val="Hyperlink"/>
                <w:rFonts w:ascii="Calibri" w:hAnsi="Calibri" w:cs="Calibri"/>
                <w:bCs w:val="0"/>
                <w:color w:val="auto"/>
                <w:szCs w:val="24"/>
              </w:rPr>
              <w:t>Metric (£m)</w:t>
            </w:r>
          </w:p>
        </w:tc>
        <w:tc>
          <w:tcPr>
            <w:tcW w:w="1228" w:type="pct"/>
          </w:tcPr>
          <w:p w14:paraId="5D9A604E" w14:textId="77777777" w:rsidR="005E2BE8" w:rsidRPr="000C51B3" w:rsidRDefault="005E2BE8" w:rsidP="00CE181B">
            <w:pPr>
              <w:pStyle w:val="ListParagraph"/>
              <w:ind w:left="164"/>
              <w:cnfStyle w:val="100000000000" w:firstRow="1" w:lastRow="0" w:firstColumn="0" w:lastColumn="0" w:oddVBand="0" w:evenVBand="0" w:oddHBand="0" w:evenHBand="0" w:firstRowFirstColumn="0" w:firstRowLastColumn="0" w:lastRowFirstColumn="0" w:lastRowLastColumn="0"/>
              <w:rPr>
                <w:rStyle w:val="Hyperlink"/>
                <w:rFonts w:ascii="Calibri" w:hAnsi="Calibri" w:cs="Calibri"/>
                <w:color w:val="auto"/>
                <w:szCs w:val="24"/>
              </w:rPr>
            </w:pPr>
            <w:r w:rsidRPr="000C51B3">
              <w:rPr>
                <w:rStyle w:val="Hyperlink"/>
                <w:rFonts w:ascii="Calibri" w:hAnsi="Calibri" w:cs="Calibri"/>
                <w:bCs w:val="0"/>
                <w:color w:val="auto"/>
                <w:szCs w:val="24"/>
              </w:rPr>
              <w:t>Measure *</w:t>
            </w:r>
          </w:p>
        </w:tc>
        <w:tc>
          <w:tcPr>
            <w:tcW w:w="604" w:type="pct"/>
          </w:tcPr>
          <w:p w14:paraId="066D6E13" w14:textId="77777777" w:rsidR="005E2BE8" w:rsidRPr="000C51B3" w:rsidRDefault="005E2BE8" w:rsidP="00CE181B">
            <w:pPr>
              <w:pStyle w:val="ListParagraph"/>
              <w:ind w:left="164"/>
              <w:cnfStyle w:val="100000000000" w:firstRow="1" w:lastRow="0" w:firstColumn="0" w:lastColumn="0" w:oddVBand="0" w:evenVBand="0" w:oddHBand="0" w:evenHBand="0" w:firstRowFirstColumn="0" w:firstRowLastColumn="0" w:lastRowFirstColumn="0" w:lastRowLastColumn="0"/>
              <w:rPr>
                <w:rStyle w:val="Hyperlink"/>
                <w:rFonts w:ascii="Calibri" w:hAnsi="Calibri" w:cs="Calibri"/>
                <w:color w:val="auto"/>
                <w:szCs w:val="24"/>
              </w:rPr>
            </w:pPr>
            <w:r w:rsidRPr="000C51B3">
              <w:rPr>
                <w:rStyle w:val="Hyperlink"/>
                <w:rFonts w:ascii="Calibri" w:hAnsi="Calibri" w:cs="Calibri"/>
                <w:bCs w:val="0"/>
                <w:color w:val="auto"/>
                <w:szCs w:val="24"/>
              </w:rPr>
              <w:t>Budget</w:t>
            </w:r>
          </w:p>
        </w:tc>
        <w:tc>
          <w:tcPr>
            <w:tcW w:w="716" w:type="pct"/>
          </w:tcPr>
          <w:p w14:paraId="2F248B4C" w14:textId="77777777" w:rsidR="005E2BE8" w:rsidRPr="000C51B3" w:rsidRDefault="005E2BE8" w:rsidP="00CE181B">
            <w:pPr>
              <w:pStyle w:val="ListParagraph"/>
              <w:ind w:left="164"/>
              <w:cnfStyle w:val="100000000000" w:firstRow="1" w:lastRow="0" w:firstColumn="0" w:lastColumn="0" w:oddVBand="0" w:evenVBand="0" w:oddHBand="0" w:evenHBand="0" w:firstRowFirstColumn="0" w:firstRowLastColumn="0" w:lastRowFirstColumn="0" w:lastRowLastColumn="0"/>
              <w:rPr>
                <w:rStyle w:val="Hyperlink"/>
                <w:rFonts w:ascii="Calibri" w:hAnsi="Calibri" w:cs="Calibri"/>
                <w:color w:val="auto"/>
                <w:szCs w:val="24"/>
              </w:rPr>
            </w:pPr>
            <w:r w:rsidRPr="000C51B3">
              <w:rPr>
                <w:rStyle w:val="Hyperlink"/>
                <w:rFonts w:ascii="Calibri" w:hAnsi="Calibri" w:cs="Calibri"/>
                <w:bCs w:val="0"/>
                <w:color w:val="auto"/>
                <w:szCs w:val="24"/>
              </w:rPr>
              <w:t>Expected Outturn</w:t>
            </w:r>
          </w:p>
        </w:tc>
        <w:tc>
          <w:tcPr>
            <w:tcW w:w="695" w:type="pct"/>
          </w:tcPr>
          <w:p w14:paraId="2800A586" w14:textId="77777777" w:rsidR="005E2BE8" w:rsidRPr="000C51B3" w:rsidRDefault="005E2BE8" w:rsidP="00CE181B">
            <w:pPr>
              <w:pStyle w:val="ListParagraph"/>
              <w:ind w:left="164"/>
              <w:cnfStyle w:val="100000000000" w:firstRow="1" w:lastRow="0" w:firstColumn="0" w:lastColumn="0" w:oddVBand="0" w:evenVBand="0" w:oddHBand="0" w:evenHBand="0" w:firstRowFirstColumn="0" w:firstRowLastColumn="0" w:lastRowFirstColumn="0" w:lastRowLastColumn="0"/>
              <w:rPr>
                <w:rStyle w:val="Hyperlink"/>
                <w:rFonts w:ascii="Calibri" w:hAnsi="Calibri" w:cs="Calibri"/>
                <w:color w:val="auto"/>
                <w:szCs w:val="24"/>
              </w:rPr>
            </w:pPr>
            <w:r w:rsidRPr="000C51B3">
              <w:rPr>
                <w:rStyle w:val="Hyperlink"/>
                <w:rFonts w:ascii="Calibri" w:hAnsi="Calibri" w:cs="Calibri"/>
                <w:bCs w:val="0"/>
                <w:color w:val="auto"/>
                <w:szCs w:val="24"/>
              </w:rPr>
              <w:t>Variance</w:t>
            </w:r>
          </w:p>
        </w:tc>
        <w:tc>
          <w:tcPr>
            <w:tcW w:w="658" w:type="pct"/>
          </w:tcPr>
          <w:p w14:paraId="3BDAC106" w14:textId="77777777" w:rsidR="005E2BE8" w:rsidRPr="000C51B3" w:rsidRDefault="005E2BE8" w:rsidP="00CE181B">
            <w:pPr>
              <w:pStyle w:val="ListParagraph"/>
              <w:ind w:left="164"/>
              <w:cnfStyle w:val="100000000000" w:firstRow="1" w:lastRow="0" w:firstColumn="0" w:lastColumn="0" w:oddVBand="0" w:evenVBand="0" w:oddHBand="0" w:evenHBand="0" w:firstRowFirstColumn="0" w:firstRowLastColumn="0" w:lastRowFirstColumn="0" w:lastRowLastColumn="0"/>
              <w:rPr>
                <w:rStyle w:val="Hyperlink"/>
                <w:rFonts w:ascii="Calibri" w:hAnsi="Calibri" w:cs="Calibri"/>
                <w:color w:val="auto"/>
                <w:szCs w:val="24"/>
              </w:rPr>
            </w:pPr>
            <w:r w:rsidRPr="000C51B3">
              <w:rPr>
                <w:rStyle w:val="Hyperlink"/>
                <w:rFonts w:ascii="Calibri" w:hAnsi="Calibri" w:cs="Calibri"/>
                <w:bCs w:val="0"/>
                <w:color w:val="auto"/>
                <w:szCs w:val="24"/>
              </w:rPr>
              <w:t>Rating</w:t>
            </w:r>
          </w:p>
        </w:tc>
      </w:tr>
      <w:tr w:rsidR="00AC04B6" w:rsidRPr="000C51B3" w14:paraId="5A760EB8" w14:textId="77777777" w:rsidTr="00AC04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pct"/>
          </w:tcPr>
          <w:p w14:paraId="76FBE3CC" w14:textId="77777777" w:rsidR="005E2BE8" w:rsidRPr="000C51B3" w:rsidRDefault="005E2BE8" w:rsidP="000C51B3">
            <w:pPr>
              <w:rPr>
                <w:rFonts w:ascii="Calibri" w:hAnsi="Calibri" w:cs="Calibri"/>
                <w:sz w:val="22"/>
              </w:rPr>
            </w:pPr>
            <w:r w:rsidRPr="000C51B3">
              <w:rPr>
                <w:rFonts w:ascii="Calibri" w:hAnsi="Calibri" w:cs="Calibri"/>
                <w:sz w:val="22"/>
              </w:rPr>
              <w:t>Resource Budget</w:t>
            </w:r>
          </w:p>
        </w:tc>
        <w:tc>
          <w:tcPr>
            <w:tcW w:w="1228" w:type="pct"/>
          </w:tcPr>
          <w:p w14:paraId="385EFEAC" w14:textId="77777777" w:rsidR="005E2BE8" w:rsidRPr="000C51B3" w:rsidRDefault="005E2BE8" w:rsidP="000C51B3">
            <w:pPr>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0C51B3">
              <w:rPr>
                <w:rFonts w:ascii="Calibri" w:hAnsi="Calibri" w:cs="Calibri"/>
                <w:sz w:val="22"/>
              </w:rPr>
              <w:t>Outturn within 1% of final budget</w:t>
            </w:r>
          </w:p>
        </w:tc>
        <w:tc>
          <w:tcPr>
            <w:tcW w:w="604" w:type="pct"/>
            <w:vAlign w:val="center"/>
          </w:tcPr>
          <w:p w14:paraId="2F5CE62D" w14:textId="77777777" w:rsidR="005E2BE8" w:rsidRPr="000C51B3" w:rsidRDefault="005E2BE8" w:rsidP="00CE18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0C51B3">
              <w:rPr>
                <w:rFonts w:ascii="Calibri" w:hAnsi="Calibri" w:cs="Calibri"/>
                <w:szCs w:val="24"/>
              </w:rPr>
              <w:t>72.1</w:t>
            </w:r>
          </w:p>
        </w:tc>
        <w:tc>
          <w:tcPr>
            <w:tcW w:w="716" w:type="pct"/>
            <w:vAlign w:val="center"/>
          </w:tcPr>
          <w:p w14:paraId="19F71016" w14:textId="77777777" w:rsidR="005E2BE8" w:rsidRPr="000C51B3" w:rsidRDefault="005E2BE8" w:rsidP="00CE18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0C51B3">
              <w:rPr>
                <w:rFonts w:ascii="Calibri" w:hAnsi="Calibri" w:cs="Calibri"/>
                <w:szCs w:val="24"/>
              </w:rPr>
              <w:t>71.9</w:t>
            </w:r>
          </w:p>
        </w:tc>
        <w:tc>
          <w:tcPr>
            <w:tcW w:w="695" w:type="pct"/>
            <w:vAlign w:val="center"/>
          </w:tcPr>
          <w:p w14:paraId="3630D743" w14:textId="77777777" w:rsidR="005E2BE8" w:rsidRPr="000C51B3" w:rsidRDefault="005E2BE8" w:rsidP="00CE18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0C51B3">
              <w:rPr>
                <w:rFonts w:ascii="Calibri" w:hAnsi="Calibri" w:cs="Calibri"/>
                <w:szCs w:val="24"/>
              </w:rPr>
              <w:t>0.2</w:t>
            </w:r>
          </w:p>
        </w:tc>
        <w:tc>
          <w:tcPr>
            <w:tcW w:w="658" w:type="pct"/>
            <w:vAlign w:val="center"/>
          </w:tcPr>
          <w:p w14:paraId="0ABEF2D2" w14:textId="77777777" w:rsidR="005E2BE8" w:rsidRPr="000C51B3" w:rsidRDefault="005E2BE8" w:rsidP="000C51B3">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2"/>
              </w:rPr>
            </w:pPr>
            <w:r w:rsidRPr="000C51B3">
              <w:rPr>
                <w:rFonts w:ascii="Calibri" w:hAnsi="Calibri" w:cs="Calibri"/>
                <w:b/>
                <w:bCs/>
                <w:color w:val="3D3D00"/>
                <w:szCs w:val="24"/>
              </w:rPr>
              <w:t>On Track</w:t>
            </w:r>
          </w:p>
        </w:tc>
      </w:tr>
      <w:tr w:rsidR="00AC04B6" w:rsidRPr="000C51B3" w14:paraId="7336CB14" w14:textId="77777777" w:rsidTr="00AC04B6">
        <w:tc>
          <w:tcPr>
            <w:cnfStyle w:val="001000000000" w:firstRow="0" w:lastRow="0" w:firstColumn="1" w:lastColumn="0" w:oddVBand="0" w:evenVBand="0" w:oddHBand="0" w:evenHBand="0" w:firstRowFirstColumn="0" w:firstRowLastColumn="0" w:lastRowFirstColumn="0" w:lastRowLastColumn="0"/>
            <w:tcW w:w="1098" w:type="pct"/>
          </w:tcPr>
          <w:p w14:paraId="7E1F9E07" w14:textId="77777777" w:rsidR="005E2BE8" w:rsidRPr="000C51B3" w:rsidRDefault="005E2BE8" w:rsidP="000C51B3">
            <w:pPr>
              <w:rPr>
                <w:rFonts w:ascii="Calibri" w:hAnsi="Calibri" w:cs="Calibri"/>
                <w:sz w:val="22"/>
              </w:rPr>
            </w:pPr>
            <w:r w:rsidRPr="000C51B3">
              <w:rPr>
                <w:rFonts w:ascii="Calibri" w:hAnsi="Calibri" w:cs="Calibri"/>
                <w:sz w:val="22"/>
              </w:rPr>
              <w:t>Direct Capital</w:t>
            </w:r>
          </w:p>
        </w:tc>
        <w:tc>
          <w:tcPr>
            <w:tcW w:w="1228" w:type="pct"/>
          </w:tcPr>
          <w:p w14:paraId="1DFE760B" w14:textId="77777777" w:rsidR="005E2BE8" w:rsidRPr="000C51B3" w:rsidRDefault="005E2BE8" w:rsidP="000C51B3">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0C51B3">
              <w:rPr>
                <w:rFonts w:ascii="Calibri" w:hAnsi="Calibri" w:cs="Calibri"/>
                <w:sz w:val="22"/>
              </w:rPr>
              <w:t>Outturn within 5% of final budget</w:t>
            </w:r>
          </w:p>
        </w:tc>
        <w:tc>
          <w:tcPr>
            <w:tcW w:w="604" w:type="pct"/>
            <w:vAlign w:val="center"/>
          </w:tcPr>
          <w:p w14:paraId="46035571" w14:textId="77777777" w:rsidR="005E2BE8" w:rsidRPr="000C51B3" w:rsidRDefault="005E2BE8" w:rsidP="00CE18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0C51B3">
              <w:rPr>
                <w:rFonts w:ascii="Calibri" w:hAnsi="Calibri" w:cs="Calibri"/>
                <w:szCs w:val="24"/>
              </w:rPr>
              <w:t>3.0</w:t>
            </w:r>
          </w:p>
        </w:tc>
        <w:tc>
          <w:tcPr>
            <w:tcW w:w="716" w:type="pct"/>
            <w:vAlign w:val="center"/>
          </w:tcPr>
          <w:p w14:paraId="08F1BAE7" w14:textId="77777777" w:rsidR="005E2BE8" w:rsidRPr="000C51B3" w:rsidRDefault="005E2BE8" w:rsidP="00CE18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0C51B3">
              <w:rPr>
                <w:rFonts w:ascii="Calibri" w:hAnsi="Calibri" w:cs="Calibri"/>
                <w:szCs w:val="24"/>
              </w:rPr>
              <w:t>2.0</w:t>
            </w:r>
          </w:p>
        </w:tc>
        <w:tc>
          <w:tcPr>
            <w:tcW w:w="695" w:type="pct"/>
            <w:vAlign w:val="center"/>
          </w:tcPr>
          <w:p w14:paraId="3C9BE425" w14:textId="77777777" w:rsidR="005E2BE8" w:rsidRPr="000C51B3" w:rsidRDefault="005E2BE8" w:rsidP="00CE18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0C51B3">
              <w:rPr>
                <w:rFonts w:ascii="Calibri" w:hAnsi="Calibri" w:cs="Calibri"/>
                <w:szCs w:val="24"/>
              </w:rPr>
              <w:t>1.0</w:t>
            </w:r>
          </w:p>
        </w:tc>
        <w:tc>
          <w:tcPr>
            <w:tcW w:w="658" w:type="pct"/>
            <w:vAlign w:val="center"/>
          </w:tcPr>
          <w:p w14:paraId="438C2A12" w14:textId="77777777" w:rsidR="005E2BE8" w:rsidRPr="000C51B3" w:rsidRDefault="005E2BE8" w:rsidP="000C51B3">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rPr>
            </w:pPr>
            <w:r w:rsidRPr="000C51B3">
              <w:rPr>
                <w:rFonts w:ascii="Calibri" w:hAnsi="Calibri" w:cs="Calibri"/>
                <w:b/>
                <w:bCs/>
                <w:color w:val="950000"/>
                <w:szCs w:val="24"/>
              </w:rPr>
              <w:t>Major Slippage</w:t>
            </w:r>
          </w:p>
        </w:tc>
      </w:tr>
      <w:tr w:rsidR="00AC04B6" w:rsidRPr="000C51B3" w14:paraId="09004174" w14:textId="77777777" w:rsidTr="00AC04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pct"/>
          </w:tcPr>
          <w:p w14:paraId="1819B69A" w14:textId="77777777" w:rsidR="005E2BE8" w:rsidRPr="000C51B3" w:rsidRDefault="005E2BE8" w:rsidP="000C51B3">
            <w:pPr>
              <w:rPr>
                <w:rFonts w:ascii="Calibri" w:hAnsi="Calibri" w:cs="Calibri"/>
                <w:sz w:val="22"/>
              </w:rPr>
            </w:pPr>
            <w:r w:rsidRPr="000C51B3">
              <w:rPr>
                <w:rFonts w:ascii="Calibri" w:hAnsi="Calibri" w:cs="Calibri"/>
                <w:sz w:val="22"/>
              </w:rPr>
              <w:t>Indirect Capital</w:t>
            </w:r>
          </w:p>
        </w:tc>
        <w:tc>
          <w:tcPr>
            <w:tcW w:w="1228" w:type="pct"/>
          </w:tcPr>
          <w:p w14:paraId="2D7F00FF" w14:textId="77777777" w:rsidR="005E2BE8" w:rsidRPr="000C51B3" w:rsidRDefault="005E2BE8" w:rsidP="000C51B3">
            <w:pPr>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0C51B3">
              <w:rPr>
                <w:rFonts w:ascii="Calibri" w:hAnsi="Calibri" w:cs="Calibri"/>
                <w:sz w:val="22"/>
              </w:rPr>
              <w:t>Outturn within 5% of final budget</w:t>
            </w:r>
          </w:p>
        </w:tc>
        <w:tc>
          <w:tcPr>
            <w:tcW w:w="604" w:type="pct"/>
            <w:vAlign w:val="center"/>
          </w:tcPr>
          <w:p w14:paraId="7C560250" w14:textId="77777777" w:rsidR="005E2BE8" w:rsidRPr="000C51B3" w:rsidRDefault="005E2BE8" w:rsidP="00CE18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0C51B3">
              <w:rPr>
                <w:rFonts w:ascii="Calibri" w:hAnsi="Calibri" w:cs="Calibri"/>
                <w:szCs w:val="24"/>
              </w:rPr>
              <w:t>24.3</w:t>
            </w:r>
          </w:p>
        </w:tc>
        <w:tc>
          <w:tcPr>
            <w:tcW w:w="716" w:type="pct"/>
            <w:vAlign w:val="center"/>
          </w:tcPr>
          <w:p w14:paraId="0AA3A270" w14:textId="77777777" w:rsidR="005E2BE8" w:rsidRPr="000C51B3" w:rsidRDefault="005E2BE8" w:rsidP="00CE18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0C51B3">
              <w:rPr>
                <w:rFonts w:ascii="Calibri" w:hAnsi="Calibri" w:cs="Calibri"/>
                <w:szCs w:val="24"/>
              </w:rPr>
              <w:t>23.6</w:t>
            </w:r>
          </w:p>
        </w:tc>
        <w:tc>
          <w:tcPr>
            <w:tcW w:w="695" w:type="pct"/>
            <w:vAlign w:val="center"/>
          </w:tcPr>
          <w:p w14:paraId="429B6167" w14:textId="77777777" w:rsidR="005E2BE8" w:rsidRPr="000C51B3" w:rsidRDefault="005E2BE8" w:rsidP="00CE18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0C51B3">
              <w:rPr>
                <w:rFonts w:ascii="Calibri" w:hAnsi="Calibri" w:cs="Calibri"/>
                <w:szCs w:val="24"/>
              </w:rPr>
              <w:t>0.7</w:t>
            </w:r>
          </w:p>
        </w:tc>
        <w:tc>
          <w:tcPr>
            <w:tcW w:w="658" w:type="pct"/>
            <w:vAlign w:val="center"/>
          </w:tcPr>
          <w:p w14:paraId="5DF48787" w14:textId="77777777" w:rsidR="005E2BE8" w:rsidRPr="000C51B3" w:rsidRDefault="005E2BE8" w:rsidP="000C51B3">
            <w:pPr>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0C51B3">
              <w:rPr>
                <w:rFonts w:ascii="Calibri" w:hAnsi="Calibri" w:cs="Calibri"/>
                <w:b/>
                <w:bCs/>
                <w:color w:val="3D3D00"/>
                <w:szCs w:val="24"/>
              </w:rPr>
              <w:t>On Track</w:t>
            </w:r>
          </w:p>
        </w:tc>
      </w:tr>
      <w:tr w:rsidR="00AC04B6" w:rsidRPr="000C51B3" w14:paraId="1F38267F" w14:textId="77777777" w:rsidTr="00AC04B6">
        <w:tc>
          <w:tcPr>
            <w:cnfStyle w:val="001000000000" w:firstRow="0" w:lastRow="0" w:firstColumn="1" w:lastColumn="0" w:oddVBand="0" w:evenVBand="0" w:oddHBand="0" w:evenHBand="0" w:firstRowFirstColumn="0" w:firstRowLastColumn="0" w:lastRowFirstColumn="0" w:lastRowLastColumn="0"/>
            <w:tcW w:w="1098" w:type="pct"/>
          </w:tcPr>
          <w:p w14:paraId="69DBB8D5" w14:textId="77777777" w:rsidR="005E2BE8" w:rsidRPr="000C51B3" w:rsidRDefault="005E2BE8" w:rsidP="000C51B3">
            <w:pPr>
              <w:rPr>
                <w:rFonts w:ascii="Calibri" w:hAnsi="Calibri" w:cs="Calibri"/>
                <w:sz w:val="22"/>
              </w:rPr>
            </w:pPr>
            <w:r w:rsidRPr="000C51B3">
              <w:rPr>
                <w:rFonts w:ascii="Calibri" w:hAnsi="Calibri" w:cs="Calibri"/>
                <w:sz w:val="22"/>
              </w:rPr>
              <w:t>Paybill</w:t>
            </w:r>
          </w:p>
        </w:tc>
        <w:tc>
          <w:tcPr>
            <w:tcW w:w="1228" w:type="pct"/>
          </w:tcPr>
          <w:p w14:paraId="2D4EBE56" w14:textId="77777777" w:rsidR="005E2BE8" w:rsidRPr="000C51B3" w:rsidRDefault="005E2BE8" w:rsidP="000C51B3">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0C51B3">
              <w:rPr>
                <w:rFonts w:ascii="Calibri" w:hAnsi="Calibri" w:cs="Calibri"/>
                <w:sz w:val="22"/>
              </w:rPr>
              <w:t>Outturn within 1% of final budget</w:t>
            </w:r>
          </w:p>
        </w:tc>
        <w:tc>
          <w:tcPr>
            <w:tcW w:w="604" w:type="pct"/>
            <w:vAlign w:val="center"/>
          </w:tcPr>
          <w:p w14:paraId="40E8C5DB" w14:textId="77777777" w:rsidR="005E2BE8" w:rsidRPr="000C51B3" w:rsidRDefault="005E2BE8" w:rsidP="00CE18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0C51B3">
              <w:rPr>
                <w:rFonts w:ascii="Calibri" w:hAnsi="Calibri" w:cs="Calibri"/>
                <w:szCs w:val="24"/>
              </w:rPr>
              <w:t>46.0</w:t>
            </w:r>
          </w:p>
        </w:tc>
        <w:tc>
          <w:tcPr>
            <w:tcW w:w="716" w:type="pct"/>
            <w:vAlign w:val="center"/>
          </w:tcPr>
          <w:p w14:paraId="3CFB2984" w14:textId="77777777" w:rsidR="005E2BE8" w:rsidRPr="000C51B3" w:rsidRDefault="005E2BE8" w:rsidP="00CE18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0C51B3">
              <w:rPr>
                <w:rFonts w:ascii="Calibri" w:hAnsi="Calibri" w:cs="Calibri"/>
                <w:szCs w:val="24"/>
              </w:rPr>
              <w:t>45.9</w:t>
            </w:r>
          </w:p>
        </w:tc>
        <w:tc>
          <w:tcPr>
            <w:tcW w:w="695" w:type="pct"/>
            <w:vAlign w:val="center"/>
          </w:tcPr>
          <w:p w14:paraId="0A748752" w14:textId="77777777" w:rsidR="005E2BE8" w:rsidRPr="000C51B3" w:rsidRDefault="005E2BE8" w:rsidP="00CE18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0C51B3">
              <w:rPr>
                <w:rFonts w:ascii="Calibri" w:hAnsi="Calibri" w:cs="Calibri"/>
                <w:szCs w:val="24"/>
              </w:rPr>
              <w:t>0.1</w:t>
            </w:r>
          </w:p>
        </w:tc>
        <w:tc>
          <w:tcPr>
            <w:tcW w:w="658" w:type="pct"/>
            <w:vAlign w:val="center"/>
          </w:tcPr>
          <w:p w14:paraId="33780A84" w14:textId="77777777" w:rsidR="005E2BE8" w:rsidRPr="000C51B3" w:rsidRDefault="005E2BE8" w:rsidP="000C51B3">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0C51B3">
              <w:rPr>
                <w:rFonts w:ascii="Calibri" w:hAnsi="Calibri" w:cs="Calibri"/>
                <w:b/>
                <w:bCs/>
                <w:color w:val="3D3D00"/>
                <w:szCs w:val="24"/>
              </w:rPr>
              <w:t>On Track</w:t>
            </w:r>
          </w:p>
        </w:tc>
      </w:tr>
      <w:tr w:rsidR="00AC04B6" w:rsidRPr="000C51B3" w14:paraId="721D8E65" w14:textId="77777777" w:rsidTr="00AC04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pct"/>
          </w:tcPr>
          <w:p w14:paraId="4829A6FC" w14:textId="77777777" w:rsidR="005E2BE8" w:rsidRPr="000C51B3" w:rsidRDefault="005E2BE8" w:rsidP="000C51B3">
            <w:pPr>
              <w:rPr>
                <w:rFonts w:ascii="Calibri" w:hAnsi="Calibri" w:cs="Calibri"/>
                <w:sz w:val="22"/>
              </w:rPr>
            </w:pPr>
            <w:r w:rsidRPr="000C51B3">
              <w:rPr>
                <w:rFonts w:ascii="Calibri" w:hAnsi="Calibri" w:cs="Calibri"/>
                <w:sz w:val="22"/>
              </w:rPr>
              <w:t>Project Allocation</w:t>
            </w:r>
          </w:p>
        </w:tc>
        <w:tc>
          <w:tcPr>
            <w:tcW w:w="1228" w:type="pct"/>
          </w:tcPr>
          <w:p w14:paraId="00F7EB04" w14:textId="77777777" w:rsidR="005E2BE8" w:rsidRPr="000C51B3" w:rsidRDefault="005E2BE8" w:rsidP="000C51B3">
            <w:pPr>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0C51B3">
              <w:rPr>
                <w:rFonts w:ascii="Calibri" w:hAnsi="Calibri" w:cs="Calibri"/>
                <w:sz w:val="22"/>
              </w:rPr>
              <w:t>Outturn within 1% of final budget</w:t>
            </w:r>
          </w:p>
        </w:tc>
        <w:tc>
          <w:tcPr>
            <w:tcW w:w="604" w:type="pct"/>
            <w:vAlign w:val="center"/>
          </w:tcPr>
          <w:p w14:paraId="41FFA749" w14:textId="77777777" w:rsidR="005E2BE8" w:rsidRPr="000C51B3" w:rsidRDefault="005E2BE8" w:rsidP="00CE18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0C51B3">
              <w:rPr>
                <w:rFonts w:ascii="Calibri" w:hAnsi="Calibri" w:cs="Calibri"/>
                <w:szCs w:val="24"/>
              </w:rPr>
              <w:t>17.3</w:t>
            </w:r>
          </w:p>
        </w:tc>
        <w:tc>
          <w:tcPr>
            <w:tcW w:w="716" w:type="pct"/>
            <w:vAlign w:val="center"/>
          </w:tcPr>
          <w:p w14:paraId="07C16328" w14:textId="77777777" w:rsidR="005E2BE8" w:rsidRPr="000C51B3" w:rsidRDefault="005E2BE8" w:rsidP="00CE18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0C51B3">
              <w:rPr>
                <w:rFonts w:ascii="Calibri" w:hAnsi="Calibri" w:cs="Calibri"/>
                <w:szCs w:val="24"/>
              </w:rPr>
              <w:t>17.3</w:t>
            </w:r>
          </w:p>
        </w:tc>
        <w:tc>
          <w:tcPr>
            <w:tcW w:w="695" w:type="pct"/>
            <w:vAlign w:val="center"/>
          </w:tcPr>
          <w:p w14:paraId="2105A6FC" w14:textId="77777777" w:rsidR="005E2BE8" w:rsidRPr="000C51B3" w:rsidRDefault="005E2BE8" w:rsidP="00CE18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0C51B3">
              <w:rPr>
                <w:rFonts w:ascii="Calibri" w:hAnsi="Calibri" w:cs="Calibri"/>
                <w:szCs w:val="24"/>
              </w:rPr>
              <w:t>0.0</w:t>
            </w:r>
          </w:p>
        </w:tc>
        <w:tc>
          <w:tcPr>
            <w:tcW w:w="658" w:type="pct"/>
            <w:vAlign w:val="center"/>
          </w:tcPr>
          <w:p w14:paraId="70E3E6E3" w14:textId="77777777" w:rsidR="005E2BE8" w:rsidRPr="000C51B3" w:rsidRDefault="005E2BE8" w:rsidP="000C51B3">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2"/>
              </w:rPr>
            </w:pPr>
            <w:r w:rsidRPr="000C51B3">
              <w:rPr>
                <w:rFonts w:ascii="Calibri" w:hAnsi="Calibri" w:cs="Calibri"/>
                <w:b/>
                <w:bCs/>
                <w:color w:val="3D3D00"/>
                <w:szCs w:val="24"/>
              </w:rPr>
              <w:t>On Track</w:t>
            </w:r>
          </w:p>
        </w:tc>
      </w:tr>
      <w:tr w:rsidR="00AC04B6" w:rsidRPr="000C51B3" w14:paraId="211F649B" w14:textId="77777777" w:rsidTr="00AC04B6">
        <w:tc>
          <w:tcPr>
            <w:cnfStyle w:val="001000000000" w:firstRow="0" w:lastRow="0" w:firstColumn="1" w:lastColumn="0" w:oddVBand="0" w:evenVBand="0" w:oddHBand="0" w:evenHBand="0" w:firstRowFirstColumn="0" w:firstRowLastColumn="0" w:lastRowFirstColumn="0" w:lastRowLastColumn="0"/>
            <w:tcW w:w="1098" w:type="pct"/>
          </w:tcPr>
          <w:p w14:paraId="72ECA350" w14:textId="77777777" w:rsidR="005E2BE8" w:rsidRPr="000C51B3" w:rsidRDefault="005E2BE8" w:rsidP="000C51B3">
            <w:pPr>
              <w:rPr>
                <w:rFonts w:ascii="Calibri" w:hAnsi="Calibri" w:cs="Calibri"/>
                <w:sz w:val="22"/>
              </w:rPr>
            </w:pPr>
            <w:r w:rsidRPr="000C51B3">
              <w:rPr>
                <w:rFonts w:ascii="Calibri" w:hAnsi="Calibri" w:cs="Calibri"/>
                <w:sz w:val="22"/>
              </w:rPr>
              <w:t>Peatland Action</w:t>
            </w:r>
          </w:p>
        </w:tc>
        <w:tc>
          <w:tcPr>
            <w:tcW w:w="1228" w:type="pct"/>
          </w:tcPr>
          <w:p w14:paraId="7B42202E" w14:textId="77777777" w:rsidR="005E2BE8" w:rsidRPr="000C51B3" w:rsidRDefault="005E2BE8" w:rsidP="000C51B3">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0C51B3">
              <w:rPr>
                <w:rFonts w:ascii="Calibri" w:hAnsi="Calibri" w:cs="Calibri"/>
                <w:sz w:val="22"/>
              </w:rPr>
              <w:t>Outturn within 1% of final budget</w:t>
            </w:r>
          </w:p>
        </w:tc>
        <w:tc>
          <w:tcPr>
            <w:tcW w:w="604" w:type="pct"/>
            <w:vAlign w:val="center"/>
          </w:tcPr>
          <w:p w14:paraId="32D9891C" w14:textId="77777777" w:rsidR="005E2BE8" w:rsidRPr="000C51B3" w:rsidRDefault="005E2BE8" w:rsidP="00CE18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0C51B3">
              <w:rPr>
                <w:rFonts w:ascii="Calibri" w:hAnsi="Calibri" w:cs="Calibri"/>
                <w:szCs w:val="24"/>
              </w:rPr>
              <w:t>20.1</w:t>
            </w:r>
          </w:p>
        </w:tc>
        <w:tc>
          <w:tcPr>
            <w:tcW w:w="716" w:type="pct"/>
            <w:vAlign w:val="center"/>
          </w:tcPr>
          <w:p w14:paraId="5E6DCF83" w14:textId="51DD1516" w:rsidR="005E2BE8" w:rsidRPr="000C51B3" w:rsidRDefault="005E2BE8" w:rsidP="00CE18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0C51B3">
              <w:rPr>
                <w:rFonts w:ascii="Calibri" w:hAnsi="Calibri" w:cs="Calibri"/>
                <w:szCs w:val="24"/>
              </w:rPr>
              <w:t>19.</w:t>
            </w:r>
            <w:r w:rsidR="001525A8" w:rsidRPr="000C51B3">
              <w:rPr>
                <w:rFonts w:ascii="Calibri" w:hAnsi="Calibri" w:cs="Calibri"/>
                <w:szCs w:val="24"/>
              </w:rPr>
              <w:t>1</w:t>
            </w:r>
          </w:p>
        </w:tc>
        <w:tc>
          <w:tcPr>
            <w:tcW w:w="695" w:type="pct"/>
            <w:vAlign w:val="center"/>
          </w:tcPr>
          <w:p w14:paraId="35BEB459" w14:textId="25027F59" w:rsidR="005E2BE8" w:rsidRPr="000C51B3" w:rsidRDefault="001525A8" w:rsidP="00CE18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0C51B3">
              <w:rPr>
                <w:rFonts w:ascii="Calibri" w:hAnsi="Calibri" w:cs="Calibri"/>
                <w:szCs w:val="24"/>
              </w:rPr>
              <w:t>1.0</w:t>
            </w:r>
          </w:p>
        </w:tc>
        <w:tc>
          <w:tcPr>
            <w:tcW w:w="658" w:type="pct"/>
            <w:vAlign w:val="center"/>
          </w:tcPr>
          <w:p w14:paraId="7019996A" w14:textId="77777777" w:rsidR="005E2BE8" w:rsidRPr="000C51B3" w:rsidRDefault="005E2BE8" w:rsidP="000C51B3">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A66500"/>
                <w:sz w:val="22"/>
              </w:rPr>
            </w:pPr>
            <w:r w:rsidRPr="000C51B3">
              <w:rPr>
                <w:rFonts w:ascii="Calibri" w:hAnsi="Calibri" w:cs="Calibri"/>
                <w:b/>
                <w:bCs/>
                <w:color w:val="3D3D00"/>
                <w:szCs w:val="24"/>
              </w:rPr>
              <w:t>On Track</w:t>
            </w:r>
          </w:p>
        </w:tc>
      </w:tr>
      <w:tr w:rsidR="00AC04B6" w:rsidRPr="000C51B3" w14:paraId="03D8E9F3" w14:textId="77777777" w:rsidTr="00AC04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pct"/>
          </w:tcPr>
          <w:p w14:paraId="4C6353C4" w14:textId="77777777" w:rsidR="005E2BE8" w:rsidRPr="000C51B3" w:rsidRDefault="005E2BE8" w:rsidP="000C51B3">
            <w:pPr>
              <w:rPr>
                <w:rFonts w:ascii="Calibri" w:hAnsi="Calibri" w:cs="Calibri"/>
                <w:sz w:val="22"/>
              </w:rPr>
            </w:pPr>
            <w:r w:rsidRPr="000C51B3">
              <w:rPr>
                <w:rFonts w:ascii="Calibri" w:hAnsi="Calibri" w:cs="Calibri"/>
                <w:sz w:val="22"/>
              </w:rPr>
              <w:t>Farming with Nature</w:t>
            </w:r>
          </w:p>
        </w:tc>
        <w:tc>
          <w:tcPr>
            <w:tcW w:w="1228" w:type="pct"/>
          </w:tcPr>
          <w:p w14:paraId="19916EA8" w14:textId="77777777" w:rsidR="005E2BE8" w:rsidRPr="000C51B3" w:rsidRDefault="005E2BE8" w:rsidP="000C51B3">
            <w:pPr>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0C51B3">
              <w:rPr>
                <w:rFonts w:ascii="Calibri" w:hAnsi="Calibri" w:cs="Calibri"/>
                <w:sz w:val="22"/>
              </w:rPr>
              <w:t>Outturn within 1% of final budget</w:t>
            </w:r>
          </w:p>
        </w:tc>
        <w:tc>
          <w:tcPr>
            <w:tcW w:w="604" w:type="pct"/>
            <w:vAlign w:val="center"/>
          </w:tcPr>
          <w:p w14:paraId="7B4EDE72" w14:textId="77777777" w:rsidR="005E2BE8" w:rsidRPr="000C51B3" w:rsidRDefault="005E2BE8" w:rsidP="00CE18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0C51B3">
              <w:rPr>
                <w:rFonts w:ascii="Calibri" w:hAnsi="Calibri" w:cs="Calibri"/>
                <w:szCs w:val="24"/>
              </w:rPr>
              <w:t>0.8</w:t>
            </w:r>
          </w:p>
        </w:tc>
        <w:tc>
          <w:tcPr>
            <w:tcW w:w="716" w:type="pct"/>
            <w:vAlign w:val="center"/>
          </w:tcPr>
          <w:p w14:paraId="1BB8BD31" w14:textId="77777777" w:rsidR="005E2BE8" w:rsidRPr="000C51B3" w:rsidRDefault="005E2BE8" w:rsidP="00CE18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0C51B3">
              <w:rPr>
                <w:rFonts w:ascii="Calibri" w:hAnsi="Calibri" w:cs="Calibri"/>
                <w:szCs w:val="24"/>
              </w:rPr>
              <w:t>0.8</w:t>
            </w:r>
          </w:p>
        </w:tc>
        <w:tc>
          <w:tcPr>
            <w:tcW w:w="695" w:type="pct"/>
            <w:vAlign w:val="center"/>
          </w:tcPr>
          <w:p w14:paraId="193ECB5B" w14:textId="77777777" w:rsidR="005E2BE8" w:rsidRPr="000C51B3" w:rsidRDefault="005E2BE8" w:rsidP="00CE18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0C51B3">
              <w:rPr>
                <w:rFonts w:ascii="Calibri" w:hAnsi="Calibri" w:cs="Calibri"/>
                <w:szCs w:val="24"/>
              </w:rPr>
              <w:t>0.0</w:t>
            </w:r>
          </w:p>
        </w:tc>
        <w:tc>
          <w:tcPr>
            <w:tcW w:w="658" w:type="pct"/>
            <w:vAlign w:val="center"/>
          </w:tcPr>
          <w:p w14:paraId="190C31A3" w14:textId="77777777" w:rsidR="005E2BE8" w:rsidRPr="000C51B3" w:rsidRDefault="005E2BE8" w:rsidP="000C51B3">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A66500"/>
                <w:sz w:val="22"/>
              </w:rPr>
            </w:pPr>
            <w:r w:rsidRPr="000C51B3">
              <w:rPr>
                <w:rFonts w:ascii="Calibri" w:hAnsi="Calibri" w:cs="Calibri"/>
                <w:b/>
                <w:bCs/>
                <w:color w:val="3D3D00"/>
                <w:szCs w:val="24"/>
              </w:rPr>
              <w:t>On Track</w:t>
            </w:r>
          </w:p>
        </w:tc>
      </w:tr>
      <w:tr w:rsidR="00AC04B6" w:rsidRPr="000C51B3" w14:paraId="12CBEFAA" w14:textId="77777777" w:rsidTr="00AC04B6">
        <w:tc>
          <w:tcPr>
            <w:cnfStyle w:val="001000000000" w:firstRow="0" w:lastRow="0" w:firstColumn="1" w:lastColumn="0" w:oddVBand="0" w:evenVBand="0" w:oddHBand="0" w:evenHBand="0" w:firstRowFirstColumn="0" w:firstRowLastColumn="0" w:lastRowFirstColumn="0" w:lastRowLastColumn="0"/>
            <w:tcW w:w="1098" w:type="pct"/>
          </w:tcPr>
          <w:p w14:paraId="3393B771" w14:textId="77777777" w:rsidR="005E2BE8" w:rsidRPr="000C51B3" w:rsidRDefault="005E2BE8" w:rsidP="000C51B3">
            <w:pPr>
              <w:rPr>
                <w:rFonts w:ascii="Calibri" w:hAnsi="Calibri" w:cs="Calibri"/>
                <w:sz w:val="22"/>
              </w:rPr>
            </w:pPr>
            <w:r w:rsidRPr="000C51B3">
              <w:rPr>
                <w:rFonts w:ascii="Calibri" w:hAnsi="Calibri" w:cs="Calibri"/>
                <w:sz w:val="22"/>
              </w:rPr>
              <w:t>Nature Restoration Fund</w:t>
            </w:r>
          </w:p>
        </w:tc>
        <w:tc>
          <w:tcPr>
            <w:tcW w:w="1228" w:type="pct"/>
          </w:tcPr>
          <w:p w14:paraId="44F12B50" w14:textId="77777777" w:rsidR="005E2BE8" w:rsidRPr="000C51B3" w:rsidRDefault="005E2BE8" w:rsidP="000C51B3">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0C51B3">
              <w:rPr>
                <w:rFonts w:ascii="Calibri" w:hAnsi="Calibri" w:cs="Calibri"/>
                <w:sz w:val="22"/>
              </w:rPr>
              <w:t>Outturn within 1% of final budget</w:t>
            </w:r>
          </w:p>
        </w:tc>
        <w:tc>
          <w:tcPr>
            <w:tcW w:w="604" w:type="pct"/>
            <w:vAlign w:val="center"/>
          </w:tcPr>
          <w:p w14:paraId="73177DEB" w14:textId="77777777" w:rsidR="005E2BE8" w:rsidRPr="000C51B3" w:rsidRDefault="005E2BE8" w:rsidP="00CE18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0C51B3">
              <w:rPr>
                <w:rFonts w:ascii="Calibri" w:hAnsi="Calibri" w:cs="Calibri"/>
                <w:szCs w:val="24"/>
              </w:rPr>
              <w:t>11.3</w:t>
            </w:r>
          </w:p>
        </w:tc>
        <w:tc>
          <w:tcPr>
            <w:tcW w:w="716" w:type="pct"/>
            <w:vAlign w:val="center"/>
          </w:tcPr>
          <w:p w14:paraId="674682C0" w14:textId="77777777" w:rsidR="005E2BE8" w:rsidRPr="000C51B3" w:rsidRDefault="005E2BE8" w:rsidP="00CE18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0C51B3">
              <w:rPr>
                <w:rFonts w:ascii="Calibri" w:hAnsi="Calibri" w:cs="Calibri"/>
                <w:szCs w:val="24"/>
              </w:rPr>
              <w:t>11.2</w:t>
            </w:r>
          </w:p>
        </w:tc>
        <w:tc>
          <w:tcPr>
            <w:tcW w:w="695" w:type="pct"/>
            <w:vAlign w:val="center"/>
          </w:tcPr>
          <w:p w14:paraId="1712ECA0" w14:textId="77777777" w:rsidR="005E2BE8" w:rsidRPr="000C51B3" w:rsidRDefault="005E2BE8" w:rsidP="00CE18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0C51B3">
              <w:rPr>
                <w:rFonts w:ascii="Calibri" w:hAnsi="Calibri" w:cs="Calibri"/>
                <w:szCs w:val="24"/>
              </w:rPr>
              <w:t>0.1</w:t>
            </w:r>
          </w:p>
        </w:tc>
        <w:tc>
          <w:tcPr>
            <w:tcW w:w="658" w:type="pct"/>
            <w:vAlign w:val="center"/>
          </w:tcPr>
          <w:p w14:paraId="4C0C66AE" w14:textId="77777777" w:rsidR="005E2BE8" w:rsidRPr="000C51B3" w:rsidRDefault="005E2BE8" w:rsidP="000C51B3">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A66500"/>
                <w:sz w:val="22"/>
              </w:rPr>
            </w:pPr>
            <w:r w:rsidRPr="000C51B3">
              <w:rPr>
                <w:rFonts w:ascii="Calibri" w:hAnsi="Calibri" w:cs="Calibri"/>
                <w:b/>
                <w:bCs/>
                <w:color w:val="3D3D00"/>
                <w:szCs w:val="24"/>
              </w:rPr>
              <w:t>On Track</w:t>
            </w:r>
          </w:p>
        </w:tc>
      </w:tr>
      <w:tr w:rsidR="00AC04B6" w:rsidRPr="000C51B3" w14:paraId="61561C29" w14:textId="77777777" w:rsidTr="00AC04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pct"/>
          </w:tcPr>
          <w:p w14:paraId="34B6070E" w14:textId="77777777" w:rsidR="005E2BE8" w:rsidRPr="000C51B3" w:rsidRDefault="005E2BE8" w:rsidP="00AC04B6">
            <w:pPr>
              <w:rPr>
                <w:rFonts w:ascii="Calibri" w:hAnsi="Calibri" w:cs="Calibri"/>
                <w:sz w:val="22"/>
              </w:rPr>
            </w:pPr>
            <w:r w:rsidRPr="000C51B3">
              <w:rPr>
                <w:rFonts w:ascii="Calibri" w:hAnsi="Calibri" w:cs="Calibri"/>
                <w:sz w:val="22"/>
              </w:rPr>
              <w:t>FIRNS</w:t>
            </w:r>
          </w:p>
        </w:tc>
        <w:tc>
          <w:tcPr>
            <w:tcW w:w="1228" w:type="pct"/>
          </w:tcPr>
          <w:p w14:paraId="463963B3" w14:textId="77777777" w:rsidR="005E2BE8" w:rsidRPr="000C51B3" w:rsidRDefault="005E2BE8" w:rsidP="00AC04B6">
            <w:pPr>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0C51B3">
              <w:rPr>
                <w:rFonts w:ascii="Calibri" w:hAnsi="Calibri" w:cs="Calibri"/>
                <w:sz w:val="22"/>
              </w:rPr>
              <w:t>Outturn within 1% of final budget</w:t>
            </w:r>
          </w:p>
        </w:tc>
        <w:tc>
          <w:tcPr>
            <w:tcW w:w="604" w:type="pct"/>
            <w:vAlign w:val="center"/>
          </w:tcPr>
          <w:p w14:paraId="22B2AC09" w14:textId="77777777" w:rsidR="005E2BE8" w:rsidRPr="000C51B3" w:rsidRDefault="005E2BE8" w:rsidP="00CE18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0C51B3">
              <w:rPr>
                <w:rFonts w:ascii="Calibri" w:hAnsi="Calibri" w:cs="Calibri"/>
                <w:szCs w:val="24"/>
              </w:rPr>
              <w:t>1.6</w:t>
            </w:r>
          </w:p>
        </w:tc>
        <w:tc>
          <w:tcPr>
            <w:tcW w:w="716" w:type="pct"/>
            <w:vAlign w:val="center"/>
          </w:tcPr>
          <w:p w14:paraId="3B7E9F39" w14:textId="77777777" w:rsidR="005E2BE8" w:rsidRPr="000C51B3" w:rsidRDefault="005E2BE8" w:rsidP="00CE18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0C51B3">
              <w:rPr>
                <w:rFonts w:ascii="Calibri" w:hAnsi="Calibri" w:cs="Calibri"/>
                <w:szCs w:val="24"/>
              </w:rPr>
              <w:t>1.6</w:t>
            </w:r>
          </w:p>
        </w:tc>
        <w:tc>
          <w:tcPr>
            <w:tcW w:w="695" w:type="pct"/>
            <w:vAlign w:val="center"/>
          </w:tcPr>
          <w:p w14:paraId="03AF3244" w14:textId="77777777" w:rsidR="005E2BE8" w:rsidRPr="000C51B3" w:rsidRDefault="005E2BE8" w:rsidP="00CE18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0C51B3">
              <w:rPr>
                <w:rFonts w:ascii="Calibri" w:hAnsi="Calibri" w:cs="Calibri"/>
                <w:szCs w:val="24"/>
              </w:rPr>
              <w:t>0.0</w:t>
            </w:r>
          </w:p>
        </w:tc>
        <w:tc>
          <w:tcPr>
            <w:tcW w:w="658" w:type="pct"/>
            <w:vAlign w:val="center"/>
          </w:tcPr>
          <w:p w14:paraId="73280509" w14:textId="77777777" w:rsidR="005E2BE8" w:rsidRPr="000C51B3" w:rsidRDefault="005E2BE8" w:rsidP="00AC04B6">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A66500"/>
                <w:sz w:val="22"/>
              </w:rPr>
            </w:pPr>
            <w:r w:rsidRPr="000C51B3">
              <w:rPr>
                <w:rFonts w:ascii="Calibri" w:hAnsi="Calibri" w:cs="Calibri"/>
                <w:b/>
                <w:bCs/>
                <w:color w:val="3D3D00"/>
                <w:szCs w:val="24"/>
              </w:rPr>
              <w:t>On Track</w:t>
            </w:r>
          </w:p>
        </w:tc>
      </w:tr>
      <w:tr w:rsidR="00AC04B6" w:rsidRPr="000C51B3" w14:paraId="09EAFC06" w14:textId="77777777" w:rsidTr="00AC04B6">
        <w:tc>
          <w:tcPr>
            <w:cnfStyle w:val="001000000000" w:firstRow="0" w:lastRow="0" w:firstColumn="1" w:lastColumn="0" w:oddVBand="0" w:evenVBand="0" w:oddHBand="0" w:evenHBand="0" w:firstRowFirstColumn="0" w:firstRowLastColumn="0" w:lastRowFirstColumn="0" w:lastRowLastColumn="0"/>
            <w:tcW w:w="1098" w:type="pct"/>
          </w:tcPr>
          <w:p w14:paraId="3F832E55" w14:textId="77777777" w:rsidR="005E2BE8" w:rsidRPr="000C51B3" w:rsidRDefault="005E2BE8" w:rsidP="00AC04B6">
            <w:pPr>
              <w:rPr>
                <w:rFonts w:ascii="Calibri" w:hAnsi="Calibri" w:cs="Calibri"/>
                <w:sz w:val="22"/>
              </w:rPr>
            </w:pPr>
            <w:r w:rsidRPr="000C51B3">
              <w:rPr>
                <w:rFonts w:ascii="Calibri" w:hAnsi="Calibri" w:cs="Calibri"/>
                <w:sz w:val="22"/>
              </w:rPr>
              <w:t>Rainforest Restoration Fund</w:t>
            </w:r>
          </w:p>
        </w:tc>
        <w:tc>
          <w:tcPr>
            <w:tcW w:w="1228" w:type="pct"/>
          </w:tcPr>
          <w:p w14:paraId="269539C3" w14:textId="77777777" w:rsidR="005E2BE8" w:rsidRPr="000C51B3" w:rsidRDefault="005E2BE8" w:rsidP="00AC04B6">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0C51B3">
              <w:rPr>
                <w:rFonts w:ascii="Calibri" w:hAnsi="Calibri" w:cs="Calibri"/>
                <w:sz w:val="22"/>
              </w:rPr>
              <w:t>Outturn within 1% of final budget</w:t>
            </w:r>
          </w:p>
        </w:tc>
        <w:tc>
          <w:tcPr>
            <w:tcW w:w="604" w:type="pct"/>
            <w:vAlign w:val="center"/>
          </w:tcPr>
          <w:p w14:paraId="45D5C13C" w14:textId="77777777" w:rsidR="005E2BE8" w:rsidRPr="000C51B3" w:rsidRDefault="005E2BE8" w:rsidP="00CE18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0C51B3">
              <w:rPr>
                <w:rFonts w:ascii="Calibri" w:hAnsi="Calibri" w:cs="Calibri"/>
                <w:szCs w:val="24"/>
              </w:rPr>
              <w:t>1.7</w:t>
            </w:r>
          </w:p>
        </w:tc>
        <w:tc>
          <w:tcPr>
            <w:tcW w:w="716" w:type="pct"/>
            <w:vAlign w:val="center"/>
          </w:tcPr>
          <w:p w14:paraId="3462FB01" w14:textId="77777777" w:rsidR="005E2BE8" w:rsidRPr="000C51B3" w:rsidRDefault="005E2BE8" w:rsidP="00CE18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0C51B3">
              <w:rPr>
                <w:rFonts w:ascii="Calibri" w:hAnsi="Calibri" w:cs="Calibri"/>
                <w:szCs w:val="24"/>
              </w:rPr>
              <w:t>1.6</w:t>
            </w:r>
          </w:p>
        </w:tc>
        <w:tc>
          <w:tcPr>
            <w:tcW w:w="695" w:type="pct"/>
            <w:vAlign w:val="center"/>
          </w:tcPr>
          <w:p w14:paraId="544437E5" w14:textId="77777777" w:rsidR="005E2BE8" w:rsidRPr="000C51B3" w:rsidRDefault="005E2BE8" w:rsidP="00CE18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0C51B3">
              <w:rPr>
                <w:rFonts w:ascii="Calibri" w:hAnsi="Calibri" w:cs="Calibri"/>
                <w:szCs w:val="24"/>
              </w:rPr>
              <w:t>0.1</w:t>
            </w:r>
          </w:p>
        </w:tc>
        <w:tc>
          <w:tcPr>
            <w:tcW w:w="658" w:type="pct"/>
            <w:vAlign w:val="center"/>
          </w:tcPr>
          <w:p w14:paraId="5821208F" w14:textId="77777777" w:rsidR="005E2BE8" w:rsidRPr="000C51B3" w:rsidRDefault="005E2BE8" w:rsidP="00CE18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4F6228" w:themeColor="accent3" w:themeShade="80"/>
                <w:sz w:val="22"/>
              </w:rPr>
            </w:pPr>
            <w:r w:rsidRPr="000C51B3">
              <w:rPr>
                <w:rFonts w:ascii="Calibri" w:hAnsi="Calibri" w:cs="Calibri"/>
                <w:b/>
                <w:bCs/>
                <w:color w:val="935300"/>
                <w:szCs w:val="24"/>
              </w:rPr>
              <w:t>Minor Slippage</w:t>
            </w:r>
          </w:p>
        </w:tc>
      </w:tr>
      <w:tr w:rsidR="00AC04B6" w:rsidRPr="000C51B3" w14:paraId="2EEB9F1E" w14:textId="77777777" w:rsidTr="00AC04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pct"/>
          </w:tcPr>
          <w:p w14:paraId="0363760C" w14:textId="6757A948" w:rsidR="00335004" w:rsidRPr="000C51B3" w:rsidRDefault="00335004" w:rsidP="00AC04B6">
            <w:pPr>
              <w:rPr>
                <w:rFonts w:ascii="Calibri" w:hAnsi="Calibri" w:cs="Calibri"/>
                <w:sz w:val="22"/>
              </w:rPr>
            </w:pPr>
            <w:r w:rsidRPr="000C51B3">
              <w:rPr>
                <w:rFonts w:ascii="Calibri" w:hAnsi="Calibri" w:cs="Calibri"/>
                <w:sz w:val="22"/>
              </w:rPr>
              <w:t>Total</w:t>
            </w:r>
          </w:p>
        </w:tc>
        <w:tc>
          <w:tcPr>
            <w:tcW w:w="1228" w:type="pct"/>
          </w:tcPr>
          <w:p w14:paraId="19B45B71" w14:textId="77777777" w:rsidR="00335004" w:rsidRPr="000C51B3" w:rsidRDefault="00335004" w:rsidP="00AC04B6">
            <w:pPr>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p>
        </w:tc>
        <w:tc>
          <w:tcPr>
            <w:tcW w:w="604" w:type="pct"/>
            <w:vAlign w:val="center"/>
          </w:tcPr>
          <w:p w14:paraId="3724B08E" w14:textId="3FED1569" w:rsidR="00335004" w:rsidRPr="000C51B3" w:rsidRDefault="003D2CC0" w:rsidP="00CE18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0C51B3">
              <w:rPr>
                <w:rFonts w:ascii="Calibri" w:hAnsi="Calibri" w:cs="Calibri"/>
                <w:szCs w:val="24"/>
              </w:rPr>
              <w:t>99.4</w:t>
            </w:r>
          </w:p>
        </w:tc>
        <w:tc>
          <w:tcPr>
            <w:tcW w:w="716" w:type="pct"/>
            <w:vAlign w:val="center"/>
          </w:tcPr>
          <w:p w14:paraId="1595FB66" w14:textId="0A6331C5" w:rsidR="00335004" w:rsidRPr="000C51B3" w:rsidRDefault="003D2CC0" w:rsidP="00CE18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0C51B3">
              <w:rPr>
                <w:rFonts w:ascii="Calibri" w:hAnsi="Calibri" w:cs="Calibri"/>
                <w:szCs w:val="24"/>
              </w:rPr>
              <w:t>97.5</w:t>
            </w:r>
          </w:p>
        </w:tc>
        <w:tc>
          <w:tcPr>
            <w:tcW w:w="695" w:type="pct"/>
            <w:vAlign w:val="center"/>
          </w:tcPr>
          <w:p w14:paraId="35DA3A4B" w14:textId="60A02953" w:rsidR="00335004" w:rsidRPr="000C51B3" w:rsidRDefault="003D2CC0" w:rsidP="00CE18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0C51B3">
              <w:rPr>
                <w:rFonts w:ascii="Calibri" w:hAnsi="Calibri" w:cs="Calibri"/>
                <w:szCs w:val="24"/>
              </w:rPr>
              <w:t>1.9</w:t>
            </w:r>
          </w:p>
        </w:tc>
        <w:tc>
          <w:tcPr>
            <w:tcW w:w="658" w:type="pct"/>
            <w:vAlign w:val="center"/>
          </w:tcPr>
          <w:p w14:paraId="0FFB189B" w14:textId="77777777" w:rsidR="00335004" w:rsidRPr="000C51B3" w:rsidRDefault="00335004" w:rsidP="00CE18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935300"/>
                <w:szCs w:val="24"/>
              </w:rPr>
            </w:pPr>
          </w:p>
        </w:tc>
      </w:tr>
    </w:tbl>
    <w:p w14:paraId="16D31F24" w14:textId="6244B2CE" w:rsidR="005E2BE8" w:rsidRPr="000C51B3" w:rsidRDefault="005E2BE8" w:rsidP="005E2BE8">
      <w:pPr>
        <w:rPr>
          <w:rFonts w:ascii="Calibri" w:hAnsi="Calibri" w:cs="Calibri"/>
          <w:sz w:val="20"/>
          <w:szCs w:val="20"/>
        </w:rPr>
      </w:pPr>
      <w:r w:rsidRPr="000C51B3">
        <w:rPr>
          <w:rFonts w:ascii="Calibri" w:hAnsi="Calibri" w:cs="Calibri"/>
          <w:sz w:val="20"/>
          <w:szCs w:val="20"/>
        </w:rPr>
        <w:t>*Resource under 1% - on track, up to 10% minor slippage, over 10% major slippage (** Capital under 5%/up to 10%)</w:t>
      </w:r>
    </w:p>
    <w:p w14:paraId="3C5E5AF4" w14:textId="08922352" w:rsidR="005E2BE8" w:rsidRPr="00AC04B6" w:rsidRDefault="00AC04B6" w:rsidP="00AC04B6">
      <w:pPr>
        <w:pStyle w:val="Heading2"/>
        <w:spacing w:line="360" w:lineRule="auto"/>
      </w:pPr>
      <w:r w:rsidRPr="00AC04B6">
        <w:lastRenderedPageBreak/>
        <w:t>Risk</w:t>
      </w:r>
    </w:p>
    <w:p w14:paraId="0AD4294C" w14:textId="0D5EE2F3" w:rsidR="005E2BE8" w:rsidRDefault="005E2BE8" w:rsidP="00AC04B6">
      <w:pPr>
        <w:pStyle w:val="ListParagraph"/>
        <w:numPr>
          <w:ilvl w:val="0"/>
          <w:numId w:val="1"/>
        </w:numPr>
        <w:spacing w:line="360" w:lineRule="auto"/>
        <w:ind w:left="357" w:hanging="357"/>
        <w:rPr>
          <w:rFonts w:ascii="Calibri" w:eastAsia="Calibri" w:hAnsi="Calibri" w:cs="Calibri"/>
          <w:szCs w:val="24"/>
        </w:rPr>
      </w:pPr>
      <w:r w:rsidRPr="00AC04B6">
        <w:rPr>
          <w:rFonts w:ascii="Calibri" w:eastAsia="Calibri" w:hAnsi="Calibri" w:cs="Calibri"/>
          <w:b/>
          <w:bCs/>
          <w:i/>
          <w:iCs/>
          <w:szCs w:val="24"/>
        </w:rPr>
        <w:t>Figure 3</w:t>
      </w:r>
      <w:r w:rsidRPr="000C51B3">
        <w:rPr>
          <w:rFonts w:ascii="Calibri" w:eastAsia="Calibri" w:hAnsi="Calibri" w:cs="Calibri"/>
          <w:szCs w:val="24"/>
        </w:rPr>
        <w:t xml:space="preserve"> provides a </w:t>
      </w:r>
      <w:r w:rsidR="0084629B" w:rsidRPr="000C51B3">
        <w:rPr>
          <w:rFonts w:ascii="Calibri" w:eastAsia="Calibri" w:hAnsi="Calibri" w:cs="Calibri"/>
          <w:szCs w:val="24"/>
        </w:rPr>
        <w:t>high-level</w:t>
      </w:r>
      <w:r w:rsidRPr="000C51B3">
        <w:rPr>
          <w:rFonts w:ascii="Calibri" w:eastAsia="Calibri" w:hAnsi="Calibri" w:cs="Calibri"/>
          <w:szCs w:val="24"/>
        </w:rPr>
        <w:t xml:space="preserve"> summary of corporate risk movement. More detail is in </w:t>
      </w:r>
      <w:r w:rsidRPr="00AC04B6">
        <w:rPr>
          <w:rFonts w:ascii="Calibri" w:eastAsia="Calibri" w:hAnsi="Calibri" w:cs="Calibri"/>
          <w:b/>
          <w:bCs/>
          <w:i/>
          <w:iCs/>
          <w:szCs w:val="24"/>
        </w:rPr>
        <w:t>Appendix 3</w:t>
      </w:r>
      <w:r w:rsidRPr="000C51B3">
        <w:rPr>
          <w:rFonts w:ascii="Calibri" w:eastAsia="Calibri" w:hAnsi="Calibri" w:cs="Calibri"/>
          <w:szCs w:val="24"/>
        </w:rPr>
        <w:t xml:space="preserve">. </w:t>
      </w:r>
    </w:p>
    <w:p w14:paraId="63C64C74" w14:textId="77777777" w:rsidR="00AC04B6" w:rsidRPr="000C51B3" w:rsidRDefault="00AC04B6" w:rsidP="00AC04B6">
      <w:pPr>
        <w:pStyle w:val="ListParagraph"/>
        <w:spacing w:line="360" w:lineRule="auto"/>
        <w:ind w:left="357"/>
        <w:rPr>
          <w:rFonts w:ascii="Calibri" w:eastAsia="Calibri" w:hAnsi="Calibri" w:cs="Calibri"/>
          <w:szCs w:val="24"/>
        </w:rPr>
      </w:pPr>
    </w:p>
    <w:p w14:paraId="482B310A" w14:textId="77777777" w:rsidR="00AC04B6" w:rsidRDefault="004F3C3D" w:rsidP="00AC04B6">
      <w:pPr>
        <w:pStyle w:val="ListParagraph"/>
        <w:numPr>
          <w:ilvl w:val="0"/>
          <w:numId w:val="1"/>
        </w:numPr>
        <w:spacing w:line="360" w:lineRule="auto"/>
        <w:rPr>
          <w:rFonts w:ascii="Calibri" w:eastAsia="Calibri" w:hAnsi="Calibri" w:cs="Calibri"/>
          <w:szCs w:val="24"/>
        </w:rPr>
      </w:pPr>
      <w:r w:rsidRPr="000C51B3">
        <w:rPr>
          <w:rFonts w:ascii="Calibri" w:eastAsia="Calibri" w:hAnsi="Calibri" w:cs="Calibri"/>
          <w:szCs w:val="24"/>
        </w:rPr>
        <w:t xml:space="preserve">Following ARC and Board horizon scanning workshops, changes have been made to 9 existing risks. Further changes were made to Risk 645: Biodiversity Loss to reflect our role in delivery amongst multiple stakeholders. Two strategic risk themes are under development including a new data and evidence risk  and a risk to reflect the shift in our regulatory landscape. </w:t>
      </w:r>
    </w:p>
    <w:p w14:paraId="3C0526C6" w14:textId="77777777" w:rsidR="00AC04B6" w:rsidRPr="00AC04B6" w:rsidRDefault="00AC04B6" w:rsidP="00AC04B6">
      <w:pPr>
        <w:pStyle w:val="ListParagraph"/>
        <w:rPr>
          <w:rFonts w:ascii="Calibri" w:eastAsia="Calibri" w:hAnsi="Calibri" w:cs="Calibri"/>
          <w:szCs w:val="24"/>
        </w:rPr>
      </w:pPr>
    </w:p>
    <w:p w14:paraId="42E4EFE4" w14:textId="77777777" w:rsidR="00AC04B6" w:rsidRDefault="003110D6" w:rsidP="00AC04B6">
      <w:pPr>
        <w:pStyle w:val="ListParagraph"/>
        <w:numPr>
          <w:ilvl w:val="0"/>
          <w:numId w:val="1"/>
        </w:numPr>
        <w:spacing w:line="360" w:lineRule="auto"/>
        <w:rPr>
          <w:rFonts w:ascii="Calibri" w:eastAsia="Calibri" w:hAnsi="Calibri" w:cs="Calibri"/>
          <w:szCs w:val="24"/>
        </w:rPr>
      </w:pPr>
      <w:r w:rsidRPr="00AC04B6">
        <w:rPr>
          <w:rFonts w:ascii="Calibri" w:eastAsia="Calibri" w:hAnsi="Calibri" w:cs="Calibri"/>
          <w:szCs w:val="24"/>
        </w:rPr>
        <w:t>The impact of 393: Future Funding and Financial Sustainability remains high but work to refresh our Medium to Long Term Financial Plan, develop income generation, and deliver efficiencies reduced the likelihood score and overall risk rating from very high to high. This will be reviewed in the light of policy shifts in the new Scottish Parliament.</w:t>
      </w:r>
    </w:p>
    <w:p w14:paraId="63D3CB74" w14:textId="77777777" w:rsidR="00AC04B6" w:rsidRPr="00AC04B6" w:rsidRDefault="00AC04B6" w:rsidP="00AC04B6">
      <w:pPr>
        <w:pStyle w:val="ListParagraph"/>
        <w:rPr>
          <w:rFonts w:ascii="Calibri" w:eastAsia="Calibri" w:hAnsi="Calibri" w:cs="Calibri"/>
          <w:szCs w:val="24"/>
        </w:rPr>
      </w:pPr>
    </w:p>
    <w:p w14:paraId="0903CDA3" w14:textId="5A6A8108" w:rsidR="00F842F6" w:rsidRPr="00AC04B6" w:rsidRDefault="003110D6" w:rsidP="00AC04B6">
      <w:pPr>
        <w:pStyle w:val="ListParagraph"/>
        <w:numPr>
          <w:ilvl w:val="0"/>
          <w:numId w:val="1"/>
        </w:numPr>
        <w:spacing w:line="360" w:lineRule="auto"/>
        <w:rPr>
          <w:rFonts w:ascii="Calibri" w:eastAsia="Calibri" w:hAnsi="Calibri" w:cs="Calibri"/>
          <w:szCs w:val="24"/>
        </w:rPr>
      </w:pPr>
      <w:r w:rsidRPr="00AC04B6">
        <w:rPr>
          <w:rFonts w:ascii="Calibri" w:eastAsia="Calibri" w:hAnsi="Calibri" w:cs="Calibri"/>
          <w:szCs w:val="24"/>
        </w:rPr>
        <w:t>A new risk relating to wildlife management and regulation is being considered which will also capture the growing risk of direct action being taken by campaigning groups.</w:t>
      </w:r>
    </w:p>
    <w:p w14:paraId="0A4524BB" w14:textId="7E406F89" w:rsidR="00F842F6" w:rsidRPr="000C51B3" w:rsidRDefault="00F842F6" w:rsidP="000C51B3">
      <w:pPr>
        <w:pStyle w:val="Heading2"/>
      </w:pPr>
      <w:r w:rsidRPr="000C51B3">
        <w:t>Figure 3: Corporate Risk Register Summary</w:t>
      </w:r>
    </w:p>
    <w:tbl>
      <w:tblPr>
        <w:tblStyle w:val="TableGrid"/>
        <w:tblW w:w="0" w:type="auto"/>
        <w:tblLook w:val="04A0" w:firstRow="1" w:lastRow="0" w:firstColumn="1" w:lastColumn="0" w:noHBand="0" w:noVBand="1"/>
      </w:tblPr>
      <w:tblGrid>
        <w:gridCol w:w="2254"/>
        <w:gridCol w:w="2254"/>
        <w:gridCol w:w="2254"/>
        <w:gridCol w:w="2254"/>
      </w:tblGrid>
      <w:tr w:rsidR="005E2BE8" w:rsidRPr="000C51B3" w14:paraId="4618FA59" w14:textId="77777777" w:rsidTr="00CE181B">
        <w:trPr>
          <w:trHeight w:val="416"/>
        </w:trPr>
        <w:tc>
          <w:tcPr>
            <w:tcW w:w="2254" w:type="dxa"/>
          </w:tcPr>
          <w:p w14:paraId="33EC74AD" w14:textId="77777777" w:rsidR="005E2BE8" w:rsidRPr="000C51B3" w:rsidRDefault="005E2BE8" w:rsidP="00CE181B">
            <w:pPr>
              <w:rPr>
                <w:rFonts w:ascii="Calibri" w:eastAsia="Calibri" w:hAnsi="Calibri" w:cs="Calibri"/>
                <w:b/>
                <w:bCs/>
                <w:szCs w:val="24"/>
              </w:rPr>
            </w:pPr>
            <w:r w:rsidRPr="000C51B3">
              <w:rPr>
                <w:rFonts w:ascii="Calibri" w:eastAsia="Calibri" w:hAnsi="Calibri" w:cs="Calibri"/>
                <w:b/>
                <w:bCs/>
                <w:szCs w:val="24"/>
              </w:rPr>
              <w:t>Risk Status</w:t>
            </w:r>
          </w:p>
        </w:tc>
        <w:tc>
          <w:tcPr>
            <w:tcW w:w="2254" w:type="dxa"/>
            <w:shd w:val="clear" w:color="auto" w:fill="FF0000"/>
          </w:tcPr>
          <w:p w14:paraId="1144E838" w14:textId="77777777" w:rsidR="005E2BE8" w:rsidRPr="000C51B3" w:rsidRDefault="005E2BE8" w:rsidP="00CE181B">
            <w:pPr>
              <w:rPr>
                <w:rFonts w:ascii="Calibri" w:eastAsia="Calibri" w:hAnsi="Calibri" w:cs="Calibri"/>
                <w:b/>
                <w:bCs/>
                <w:szCs w:val="24"/>
              </w:rPr>
            </w:pPr>
            <w:r w:rsidRPr="000C51B3">
              <w:rPr>
                <w:rFonts w:ascii="Calibri" w:eastAsia="Calibri" w:hAnsi="Calibri" w:cs="Calibri"/>
                <w:b/>
                <w:bCs/>
                <w:szCs w:val="24"/>
              </w:rPr>
              <w:t>7 Red</w:t>
            </w:r>
          </w:p>
        </w:tc>
        <w:tc>
          <w:tcPr>
            <w:tcW w:w="2254" w:type="dxa"/>
            <w:shd w:val="clear" w:color="auto" w:fill="FFC000"/>
          </w:tcPr>
          <w:p w14:paraId="1B8D57E1" w14:textId="77777777" w:rsidR="005E2BE8" w:rsidRPr="000C51B3" w:rsidRDefault="005E2BE8" w:rsidP="00CE181B">
            <w:pPr>
              <w:rPr>
                <w:rFonts w:ascii="Calibri" w:eastAsia="Calibri" w:hAnsi="Calibri" w:cs="Calibri"/>
                <w:b/>
                <w:bCs/>
                <w:szCs w:val="24"/>
              </w:rPr>
            </w:pPr>
            <w:r w:rsidRPr="000C51B3">
              <w:rPr>
                <w:rFonts w:ascii="Calibri" w:eastAsia="Calibri" w:hAnsi="Calibri" w:cs="Calibri"/>
                <w:b/>
                <w:bCs/>
                <w:szCs w:val="24"/>
              </w:rPr>
              <w:t>5 Amber</w:t>
            </w:r>
          </w:p>
        </w:tc>
        <w:tc>
          <w:tcPr>
            <w:tcW w:w="2254" w:type="dxa"/>
            <w:shd w:val="clear" w:color="auto" w:fill="00B050"/>
          </w:tcPr>
          <w:p w14:paraId="18711AAC" w14:textId="77777777" w:rsidR="005E2BE8" w:rsidRPr="000C51B3" w:rsidRDefault="005E2BE8" w:rsidP="00CE181B">
            <w:pPr>
              <w:rPr>
                <w:rFonts w:ascii="Calibri" w:eastAsia="Calibri" w:hAnsi="Calibri" w:cs="Calibri"/>
                <w:b/>
                <w:bCs/>
                <w:szCs w:val="24"/>
              </w:rPr>
            </w:pPr>
            <w:r w:rsidRPr="000C51B3">
              <w:rPr>
                <w:rFonts w:ascii="Calibri" w:eastAsia="Calibri" w:hAnsi="Calibri" w:cs="Calibri"/>
                <w:b/>
                <w:bCs/>
                <w:szCs w:val="24"/>
              </w:rPr>
              <w:t>0 Green</w:t>
            </w:r>
          </w:p>
        </w:tc>
      </w:tr>
      <w:tr w:rsidR="005E2BE8" w:rsidRPr="000C51B3" w14:paraId="339D3DC9" w14:textId="77777777" w:rsidTr="00CE181B">
        <w:trPr>
          <w:trHeight w:val="888"/>
        </w:trPr>
        <w:tc>
          <w:tcPr>
            <w:tcW w:w="2254" w:type="dxa"/>
          </w:tcPr>
          <w:p w14:paraId="4748F535" w14:textId="77777777" w:rsidR="005E2BE8" w:rsidRPr="000C51B3" w:rsidRDefault="005E2BE8" w:rsidP="00CE181B">
            <w:pPr>
              <w:rPr>
                <w:rFonts w:ascii="Calibri" w:eastAsia="Calibri" w:hAnsi="Calibri" w:cs="Calibri"/>
                <w:b/>
                <w:bCs/>
                <w:szCs w:val="24"/>
              </w:rPr>
            </w:pPr>
            <w:r w:rsidRPr="000C51B3">
              <w:rPr>
                <w:rFonts w:ascii="Calibri" w:eastAsia="Calibri" w:hAnsi="Calibri" w:cs="Calibri"/>
                <w:b/>
                <w:bCs/>
                <w:szCs w:val="24"/>
              </w:rPr>
              <w:t>Movement in Risk Rating</w:t>
            </w:r>
          </w:p>
        </w:tc>
        <w:tc>
          <w:tcPr>
            <w:tcW w:w="2254" w:type="dxa"/>
          </w:tcPr>
          <w:p w14:paraId="54F3DA07" w14:textId="77777777" w:rsidR="005E2BE8" w:rsidRPr="000C51B3" w:rsidRDefault="005E2BE8" w:rsidP="00CE181B">
            <w:pPr>
              <w:rPr>
                <w:rFonts w:ascii="Calibri" w:eastAsia="Calibri" w:hAnsi="Calibri" w:cs="Calibri"/>
                <w:b/>
                <w:bCs/>
                <w:szCs w:val="24"/>
              </w:rPr>
            </w:pPr>
            <w:r w:rsidRPr="000C51B3">
              <w:rPr>
                <w:rFonts w:ascii="Calibri" w:hAnsi="Calibri" w:cs="Calibri"/>
                <w:noProof/>
              </w:rPr>
              <mc:AlternateContent>
                <mc:Choice Requires="wps">
                  <w:drawing>
                    <wp:anchor distT="0" distB="0" distL="114300" distR="114300" simplePos="0" relativeHeight="251857920" behindDoc="0" locked="0" layoutInCell="1" allowOverlap="1" wp14:anchorId="205AC772" wp14:editId="55A21816">
                      <wp:simplePos x="0" y="0"/>
                      <wp:positionH relativeFrom="column">
                        <wp:posOffset>362585</wp:posOffset>
                      </wp:positionH>
                      <wp:positionV relativeFrom="paragraph">
                        <wp:posOffset>148590</wp:posOffset>
                      </wp:positionV>
                      <wp:extent cx="391160" cy="284480"/>
                      <wp:effectExtent l="0" t="0" r="0" b="0"/>
                      <wp:wrapNone/>
                      <wp:docPr id="883029178"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1160" cy="284480"/>
                              </a:xfrm>
                              <a:custGeom>
                                <a:avLst/>
                                <a:gdLst>
                                  <a:gd name="T0" fmla="*/ 0 w 616"/>
                                  <a:gd name="T1" fmla="*/ 224 h 448"/>
                                  <a:gd name="T2" fmla="*/ 308 w 616"/>
                                  <a:gd name="T3" fmla="*/ 0 h 448"/>
                                  <a:gd name="T4" fmla="*/ 616 w 616"/>
                                  <a:gd name="T5" fmla="*/ 224 h 448"/>
                                  <a:gd name="T6" fmla="*/ 462 w 616"/>
                                  <a:gd name="T7" fmla="*/ 224 h 448"/>
                                  <a:gd name="T8" fmla="*/ 462 w 616"/>
                                  <a:gd name="T9" fmla="*/ 448 h 448"/>
                                  <a:gd name="T10" fmla="*/ 154 w 616"/>
                                  <a:gd name="T11" fmla="*/ 448 h 448"/>
                                  <a:gd name="T12" fmla="*/ 154 w 616"/>
                                  <a:gd name="T13" fmla="*/ 224 h 448"/>
                                  <a:gd name="T14" fmla="*/ 0 w 616"/>
                                  <a:gd name="T15" fmla="*/ 224 h 44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16" h="448">
                                    <a:moveTo>
                                      <a:pt x="0" y="224"/>
                                    </a:moveTo>
                                    <a:lnTo>
                                      <a:pt x="308" y="0"/>
                                    </a:lnTo>
                                    <a:lnTo>
                                      <a:pt x="616" y="224"/>
                                    </a:lnTo>
                                    <a:lnTo>
                                      <a:pt x="462" y="224"/>
                                    </a:lnTo>
                                    <a:lnTo>
                                      <a:pt x="462" y="448"/>
                                    </a:lnTo>
                                    <a:lnTo>
                                      <a:pt x="154" y="448"/>
                                    </a:lnTo>
                                    <a:lnTo>
                                      <a:pt x="154" y="224"/>
                                    </a:lnTo>
                                    <a:lnTo>
                                      <a:pt x="0" y="224"/>
                                    </a:lnTo>
                                    <a:close/>
                                  </a:path>
                                </a:pathLst>
                              </a:custGeom>
                              <a:solidFill>
                                <a:srgbClr val="002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404E0C2" id="Freeform 53" o:spid="_x0000_s1026" style="position:absolute;margin-left:28.55pt;margin-top:11.7pt;width:30.8pt;height:22.4pt;z-index:251857920;visibility:visible;mso-wrap-style:square;mso-wrap-distance-left:9pt;mso-wrap-distance-top:0;mso-wrap-distance-right:9pt;mso-wrap-distance-bottom:0;mso-position-horizontal:absolute;mso-position-horizontal-relative:text;mso-position-vertical:absolute;mso-position-vertical-relative:text;v-text-anchor:top" coordsize="616,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" path="m,224l308,,616,224r-154,l462,448r-308,l154,224,,224xe" fillcolor="#002060" stroked="f">
                      <v:path arrowok="t" o:connecttype="custom" o:connectlocs="0,142240;195580,0;391160,142240;293370,142240;293370,284480;97790,284480;97790,142240;0,142240" o:connectangles="0,0,0,0,0,0,0,0"/>
                    </v:shape>
                  </w:pict>
                </mc:Fallback>
              </mc:AlternateContent>
            </w:r>
            <w:r w:rsidRPr="000C51B3">
              <w:rPr>
                <w:rFonts w:ascii="Calibri" w:eastAsia="Calibri" w:hAnsi="Calibri" w:cs="Calibri"/>
                <w:b/>
                <w:bCs/>
                <w:szCs w:val="24"/>
              </w:rPr>
              <w:t xml:space="preserve">2 </w:t>
            </w:r>
          </w:p>
        </w:tc>
        <w:tc>
          <w:tcPr>
            <w:tcW w:w="2254" w:type="dxa"/>
          </w:tcPr>
          <w:p w14:paraId="2A002E56" w14:textId="77777777" w:rsidR="005E2BE8" w:rsidRPr="000C51B3" w:rsidRDefault="005E2BE8" w:rsidP="00CE181B">
            <w:pPr>
              <w:rPr>
                <w:rFonts w:ascii="Calibri" w:eastAsia="Calibri" w:hAnsi="Calibri" w:cs="Calibri"/>
                <w:b/>
                <w:bCs/>
                <w:szCs w:val="24"/>
              </w:rPr>
            </w:pPr>
            <w:r w:rsidRPr="000C51B3">
              <w:rPr>
                <w:rFonts w:ascii="Calibri" w:hAnsi="Calibri" w:cs="Calibri"/>
                <w:noProof/>
              </w:rPr>
              <mc:AlternateContent>
                <mc:Choice Requires="wps">
                  <w:drawing>
                    <wp:anchor distT="0" distB="0" distL="114300" distR="114300" simplePos="0" relativeHeight="251858944" behindDoc="0" locked="0" layoutInCell="1" allowOverlap="1" wp14:anchorId="4682DC42" wp14:editId="2548A8C5">
                      <wp:simplePos x="0" y="0"/>
                      <wp:positionH relativeFrom="column">
                        <wp:posOffset>407670</wp:posOffset>
                      </wp:positionH>
                      <wp:positionV relativeFrom="paragraph">
                        <wp:posOffset>139065</wp:posOffset>
                      </wp:positionV>
                      <wp:extent cx="454025" cy="266065"/>
                      <wp:effectExtent l="0" t="0" r="0" b="0"/>
                      <wp:wrapNone/>
                      <wp:docPr id="329944070"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4025" cy="266065"/>
                              </a:xfrm>
                              <a:custGeom>
                                <a:avLst/>
                                <a:gdLst>
                                  <a:gd name="T0" fmla="*/ 0 w 715"/>
                                  <a:gd name="T1" fmla="*/ 209 h 419"/>
                                  <a:gd name="T2" fmla="*/ 209 w 715"/>
                                  <a:gd name="T3" fmla="*/ 0 h 419"/>
                                  <a:gd name="T4" fmla="*/ 209 w 715"/>
                                  <a:gd name="T5" fmla="*/ 105 h 419"/>
                                  <a:gd name="T6" fmla="*/ 506 w 715"/>
                                  <a:gd name="T7" fmla="*/ 105 h 419"/>
                                  <a:gd name="T8" fmla="*/ 506 w 715"/>
                                  <a:gd name="T9" fmla="*/ 0 h 419"/>
                                  <a:gd name="T10" fmla="*/ 715 w 715"/>
                                  <a:gd name="T11" fmla="*/ 209 h 419"/>
                                  <a:gd name="T12" fmla="*/ 506 w 715"/>
                                  <a:gd name="T13" fmla="*/ 419 h 419"/>
                                  <a:gd name="T14" fmla="*/ 506 w 715"/>
                                  <a:gd name="T15" fmla="*/ 314 h 419"/>
                                  <a:gd name="T16" fmla="*/ 209 w 715"/>
                                  <a:gd name="T17" fmla="*/ 314 h 419"/>
                                  <a:gd name="T18" fmla="*/ 209 w 715"/>
                                  <a:gd name="T19" fmla="*/ 419 h 419"/>
                                  <a:gd name="T20" fmla="*/ 0 w 715"/>
                                  <a:gd name="T21" fmla="*/ 209 h 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15" h="419">
                                    <a:moveTo>
                                      <a:pt x="0" y="209"/>
                                    </a:moveTo>
                                    <a:lnTo>
                                      <a:pt x="209" y="0"/>
                                    </a:lnTo>
                                    <a:lnTo>
                                      <a:pt x="209" y="105"/>
                                    </a:lnTo>
                                    <a:lnTo>
                                      <a:pt x="506" y="105"/>
                                    </a:lnTo>
                                    <a:lnTo>
                                      <a:pt x="506" y="0"/>
                                    </a:lnTo>
                                    <a:lnTo>
                                      <a:pt x="715" y="209"/>
                                    </a:lnTo>
                                    <a:lnTo>
                                      <a:pt x="506" y="419"/>
                                    </a:lnTo>
                                    <a:lnTo>
                                      <a:pt x="506" y="314"/>
                                    </a:lnTo>
                                    <a:lnTo>
                                      <a:pt x="209" y="314"/>
                                    </a:lnTo>
                                    <a:lnTo>
                                      <a:pt x="209" y="419"/>
                                    </a:lnTo>
                                    <a:lnTo>
                                      <a:pt x="0" y="209"/>
                                    </a:lnTo>
                                    <a:close/>
                                  </a:path>
                                </a:pathLst>
                              </a:custGeom>
                              <a:solidFill>
                                <a:srgbClr val="002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706BDDE" id="Freeform 55" o:spid="_x0000_s1026" style="position:absolute;margin-left:32.1pt;margin-top:10.95pt;width:35.75pt;height:20.95pt;z-index:251858944;visibility:visible;mso-wrap-style:square;mso-wrap-distance-left:9pt;mso-wrap-distance-top:0;mso-wrap-distance-right:9pt;mso-wrap-distance-bottom:0;mso-position-horizontal:absolute;mso-position-horizontal-relative:text;mso-position-vertical:absolute;mso-position-vertical-relative:text;v-text-anchor:top" coordsize="715,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" path="m,209l209,r,105l506,105,506,,715,209,506,419r,-105l209,314r,105l,209xe" fillcolor="#002060" stroked="f">
                      <v:path arrowok="t" o:connecttype="custom" o:connectlocs="0,132715;132715,0;132715,66675;321310,66675;321310,0;454025,132715;321310,266065;321310,199390;132715,199390;132715,266065;0,132715" o:connectangles="0,0,0,0,0,0,0,0,0,0,0"/>
                    </v:shape>
                  </w:pict>
                </mc:Fallback>
              </mc:AlternateContent>
            </w:r>
            <w:r w:rsidRPr="000C51B3">
              <w:rPr>
                <w:rFonts w:ascii="Calibri" w:eastAsia="Calibri" w:hAnsi="Calibri" w:cs="Calibri"/>
                <w:b/>
                <w:bCs/>
                <w:szCs w:val="24"/>
              </w:rPr>
              <w:t>7</w:t>
            </w:r>
          </w:p>
        </w:tc>
        <w:tc>
          <w:tcPr>
            <w:tcW w:w="2254" w:type="dxa"/>
          </w:tcPr>
          <w:p w14:paraId="63FE7361" w14:textId="77777777" w:rsidR="005E2BE8" w:rsidRPr="000C51B3" w:rsidRDefault="005E2BE8" w:rsidP="00CE181B">
            <w:pPr>
              <w:rPr>
                <w:rFonts w:ascii="Calibri" w:eastAsia="Calibri" w:hAnsi="Calibri" w:cs="Calibri"/>
                <w:b/>
                <w:bCs/>
                <w:szCs w:val="24"/>
              </w:rPr>
            </w:pPr>
            <w:r w:rsidRPr="000C51B3">
              <w:rPr>
                <w:rFonts w:ascii="Calibri" w:hAnsi="Calibri" w:cs="Calibri"/>
                <w:noProof/>
              </w:rPr>
              <mc:AlternateContent>
                <mc:Choice Requires="wps">
                  <w:drawing>
                    <wp:anchor distT="0" distB="0" distL="114300" distR="114300" simplePos="0" relativeHeight="251859968" behindDoc="0" locked="0" layoutInCell="1" allowOverlap="1" wp14:anchorId="6F7F4A68" wp14:editId="01566482">
                      <wp:simplePos x="0" y="0"/>
                      <wp:positionH relativeFrom="column">
                        <wp:posOffset>414655</wp:posOffset>
                      </wp:positionH>
                      <wp:positionV relativeFrom="paragraph">
                        <wp:posOffset>205740</wp:posOffset>
                      </wp:positionV>
                      <wp:extent cx="302895" cy="215265"/>
                      <wp:effectExtent l="0" t="0" r="0" b="0"/>
                      <wp:wrapNone/>
                      <wp:docPr id="96623087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895" cy="215265"/>
                              </a:xfrm>
                              <a:custGeom>
                                <a:avLst/>
                                <a:gdLst>
                                  <a:gd name="T0" fmla="*/ 477 w 477"/>
                                  <a:gd name="T1" fmla="*/ 169 h 339"/>
                                  <a:gd name="T2" fmla="*/ 238 w 477"/>
                                  <a:gd name="T3" fmla="*/ 339 h 339"/>
                                  <a:gd name="T4" fmla="*/ 0 w 477"/>
                                  <a:gd name="T5" fmla="*/ 169 h 339"/>
                                  <a:gd name="T6" fmla="*/ 119 w 477"/>
                                  <a:gd name="T7" fmla="*/ 169 h 339"/>
                                  <a:gd name="T8" fmla="*/ 119 w 477"/>
                                  <a:gd name="T9" fmla="*/ 0 h 339"/>
                                  <a:gd name="T10" fmla="*/ 357 w 477"/>
                                  <a:gd name="T11" fmla="*/ 0 h 339"/>
                                  <a:gd name="T12" fmla="*/ 357 w 477"/>
                                  <a:gd name="T13" fmla="*/ 169 h 339"/>
                                  <a:gd name="T14" fmla="*/ 477 w 477"/>
                                  <a:gd name="T15" fmla="*/ 169 h 33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77" h="339">
                                    <a:moveTo>
                                      <a:pt x="477" y="169"/>
                                    </a:moveTo>
                                    <a:lnTo>
                                      <a:pt x="238" y="339"/>
                                    </a:lnTo>
                                    <a:lnTo>
                                      <a:pt x="0" y="169"/>
                                    </a:lnTo>
                                    <a:lnTo>
                                      <a:pt x="119" y="169"/>
                                    </a:lnTo>
                                    <a:lnTo>
                                      <a:pt x="119" y="0"/>
                                    </a:lnTo>
                                    <a:lnTo>
                                      <a:pt x="357" y="0"/>
                                    </a:lnTo>
                                    <a:lnTo>
                                      <a:pt x="357" y="169"/>
                                    </a:lnTo>
                                    <a:lnTo>
                                      <a:pt x="477" y="169"/>
                                    </a:lnTo>
                                    <a:close/>
                                  </a:path>
                                </a:pathLst>
                              </a:custGeom>
                              <a:solidFill>
                                <a:srgbClr val="002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4DA0B19" id="Freeform 57" o:spid="_x0000_s1026" style="position:absolute;margin-left:32.65pt;margin-top:16.2pt;width:23.85pt;height:16.95pt;z-index:251859968;visibility:visible;mso-wrap-style:square;mso-wrap-distance-left:9pt;mso-wrap-distance-top:0;mso-wrap-distance-right:9pt;mso-wrap-distance-bottom:0;mso-position-horizontal:absolute;mso-position-horizontal-relative:text;mso-position-vertical:absolute;mso-position-vertical-relative:text;v-text-anchor:top" coordsize="477,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" path="m477,169l238,339,,169r119,l119,,357,r,169l477,169xe" fillcolor="#002060" stroked="f">
                      <v:path arrowok="t" o:connecttype="custom" o:connectlocs="302895,107315;151130,215265;0,107315;75565,107315;75565,0;226695,0;226695,107315;302895,107315" o:connectangles="0,0,0,0,0,0,0,0"/>
                    </v:shape>
                  </w:pict>
                </mc:Fallback>
              </mc:AlternateContent>
            </w:r>
            <w:r w:rsidRPr="000C51B3">
              <w:rPr>
                <w:rFonts w:ascii="Calibri" w:eastAsia="Calibri" w:hAnsi="Calibri" w:cs="Calibri"/>
                <w:b/>
                <w:bCs/>
                <w:szCs w:val="24"/>
              </w:rPr>
              <w:t>3</w:t>
            </w:r>
          </w:p>
        </w:tc>
      </w:tr>
    </w:tbl>
    <w:p w14:paraId="1BADB23C" w14:textId="77777777" w:rsidR="00F15440" w:rsidRPr="000C51B3" w:rsidRDefault="00F15440" w:rsidP="005E2BE8">
      <w:pPr>
        <w:rPr>
          <w:rFonts w:ascii="Calibri" w:eastAsia="Calibri" w:hAnsi="Calibri" w:cs="Calibri"/>
          <w:b/>
          <w:bCs/>
          <w:szCs w:val="24"/>
        </w:rPr>
      </w:pPr>
    </w:p>
    <w:p w14:paraId="4567C524" w14:textId="5C027AFD" w:rsidR="00052694" w:rsidRPr="000C51B3" w:rsidRDefault="00AC04B6" w:rsidP="00AC04B6">
      <w:pPr>
        <w:pStyle w:val="Heading1"/>
        <w:spacing w:line="360" w:lineRule="auto"/>
      </w:pPr>
      <w:r w:rsidRPr="000C51B3">
        <w:t>Delivery</w:t>
      </w:r>
    </w:p>
    <w:p w14:paraId="125A0B93" w14:textId="77777777" w:rsidR="00AC04B6" w:rsidRDefault="00AC04B6" w:rsidP="00AC04B6">
      <w:pPr>
        <w:pStyle w:val="Heading2"/>
        <w:spacing w:line="360" w:lineRule="auto"/>
      </w:pPr>
    </w:p>
    <w:p w14:paraId="04812729" w14:textId="0A985DFB" w:rsidR="006A1E71" w:rsidRPr="00AC04B6" w:rsidRDefault="006A1E71" w:rsidP="00AC04B6">
      <w:pPr>
        <w:pStyle w:val="Heading2"/>
        <w:spacing w:line="360" w:lineRule="auto"/>
      </w:pPr>
      <w:r w:rsidRPr="00AC04B6">
        <w:t xml:space="preserve">Achievements in the Quarter </w:t>
      </w:r>
    </w:p>
    <w:p w14:paraId="24BA1C29" w14:textId="77777777" w:rsidR="003D2CC0" w:rsidRDefault="003D2CC0" w:rsidP="00AC04B6">
      <w:pPr>
        <w:pStyle w:val="ListParagraph"/>
        <w:numPr>
          <w:ilvl w:val="0"/>
          <w:numId w:val="1"/>
        </w:numPr>
        <w:spacing w:line="360" w:lineRule="auto"/>
        <w:ind w:left="357" w:hanging="357"/>
        <w:rPr>
          <w:rFonts w:ascii="Calibri" w:eastAsia="Calibri" w:hAnsi="Calibri" w:cs="Calibri"/>
          <w:szCs w:val="24"/>
        </w:rPr>
      </w:pPr>
      <w:r w:rsidRPr="000C51B3">
        <w:rPr>
          <w:rFonts w:ascii="Calibri" w:eastAsia="Calibri" w:hAnsi="Calibri" w:cs="Calibri"/>
          <w:szCs w:val="24"/>
        </w:rPr>
        <w:t xml:space="preserve">The new Corporate Plan was successfully delivered, with high levels of external and internal engagement ensuring that our people understood the shifts in emphasis and the principles and measures of success. </w:t>
      </w:r>
    </w:p>
    <w:p w14:paraId="0DF9C23C" w14:textId="77777777" w:rsidR="00AC04B6" w:rsidRPr="000C51B3" w:rsidRDefault="00AC04B6" w:rsidP="00AC04B6">
      <w:pPr>
        <w:pStyle w:val="ListParagraph"/>
        <w:spacing w:line="360" w:lineRule="auto"/>
        <w:ind w:left="357"/>
        <w:rPr>
          <w:rFonts w:ascii="Calibri" w:eastAsia="Calibri" w:hAnsi="Calibri" w:cs="Calibri"/>
          <w:szCs w:val="24"/>
        </w:rPr>
      </w:pPr>
    </w:p>
    <w:p w14:paraId="0E1EBF82" w14:textId="77777777" w:rsidR="00F15440" w:rsidRDefault="006A1E71" w:rsidP="00F15440">
      <w:pPr>
        <w:pStyle w:val="ListParagraph"/>
        <w:numPr>
          <w:ilvl w:val="0"/>
          <w:numId w:val="1"/>
        </w:numPr>
        <w:spacing w:line="360" w:lineRule="auto"/>
        <w:ind w:left="357" w:hanging="357"/>
        <w:rPr>
          <w:rFonts w:ascii="Calibri" w:eastAsia="Calibri" w:hAnsi="Calibri" w:cs="Calibri"/>
          <w:szCs w:val="24"/>
        </w:rPr>
      </w:pPr>
      <w:r w:rsidRPr="000C51B3">
        <w:rPr>
          <w:rFonts w:ascii="Calibri" w:eastAsia="Calibri" w:hAnsi="Calibri" w:cs="Calibri"/>
          <w:szCs w:val="24"/>
        </w:rPr>
        <w:t xml:space="preserve">We had our largest ever budget settlement this year which looks very close to the outturn forecast being met. There have been specific challenges in certain areas about </w:t>
      </w:r>
      <w:r w:rsidRPr="000C51B3">
        <w:rPr>
          <w:rFonts w:ascii="Calibri" w:eastAsia="Calibri" w:hAnsi="Calibri" w:cs="Calibri"/>
          <w:szCs w:val="24"/>
        </w:rPr>
        <w:lastRenderedPageBreak/>
        <w:t>ensuring spend to profile but the overall position emerging at the end of Q4 is extremely encouraging.</w:t>
      </w:r>
    </w:p>
    <w:p w14:paraId="4CA5A3D6" w14:textId="77777777" w:rsidR="00F15440" w:rsidRPr="00F15440" w:rsidRDefault="00F15440" w:rsidP="00F15440">
      <w:pPr>
        <w:pStyle w:val="ListParagraph"/>
        <w:rPr>
          <w:rFonts w:ascii="Calibri" w:eastAsia="Calibri" w:hAnsi="Calibri" w:cs="Calibri"/>
          <w:szCs w:val="24"/>
        </w:rPr>
      </w:pPr>
    </w:p>
    <w:p w14:paraId="4379EB85" w14:textId="424FE55C" w:rsidR="006A1E71" w:rsidRPr="00F15440" w:rsidRDefault="006A1E71" w:rsidP="00F15440">
      <w:pPr>
        <w:pStyle w:val="ListParagraph"/>
        <w:numPr>
          <w:ilvl w:val="0"/>
          <w:numId w:val="1"/>
        </w:numPr>
        <w:spacing w:line="360" w:lineRule="auto"/>
        <w:ind w:left="357" w:hanging="357"/>
        <w:rPr>
          <w:rFonts w:ascii="Calibri" w:eastAsia="Calibri" w:hAnsi="Calibri" w:cs="Calibri"/>
          <w:szCs w:val="24"/>
        </w:rPr>
      </w:pPr>
      <w:r w:rsidRPr="00F15440">
        <w:rPr>
          <w:rFonts w:ascii="Calibri" w:eastAsia="Calibri" w:hAnsi="Calibri" w:cs="Calibri"/>
          <w:szCs w:val="24"/>
        </w:rPr>
        <w:t>We established the approach and finalised processes to successfully launch charging for off-shore wind advice from 1 April 2026. This is a major step in progressing our cost recovery and wider income generation ambitions.</w:t>
      </w:r>
    </w:p>
    <w:p w14:paraId="4715FCA4" w14:textId="77777777" w:rsidR="00AC04B6" w:rsidRPr="000C51B3" w:rsidRDefault="00AC04B6" w:rsidP="00AC04B6">
      <w:pPr>
        <w:pStyle w:val="ListParagraph"/>
        <w:spacing w:line="360" w:lineRule="auto"/>
        <w:ind w:left="357"/>
        <w:rPr>
          <w:rFonts w:ascii="Calibri" w:eastAsia="Calibri" w:hAnsi="Calibri" w:cs="Calibri"/>
          <w:szCs w:val="24"/>
        </w:rPr>
      </w:pPr>
    </w:p>
    <w:p w14:paraId="76A45360" w14:textId="77777777" w:rsidR="00AC04B6" w:rsidRDefault="006A1E71" w:rsidP="00AC04B6">
      <w:pPr>
        <w:pStyle w:val="ListParagraph"/>
        <w:numPr>
          <w:ilvl w:val="0"/>
          <w:numId w:val="1"/>
        </w:numPr>
        <w:spacing w:line="360" w:lineRule="auto"/>
        <w:ind w:left="357" w:hanging="357"/>
        <w:rPr>
          <w:rFonts w:ascii="Calibri" w:eastAsia="Calibri" w:hAnsi="Calibri" w:cs="Calibri"/>
          <w:szCs w:val="24"/>
        </w:rPr>
      </w:pPr>
      <w:r w:rsidRPr="000C51B3">
        <w:rPr>
          <w:rFonts w:ascii="Calibri" w:eastAsia="Calibri" w:hAnsi="Calibri" w:cs="Calibri"/>
          <w:szCs w:val="24"/>
        </w:rPr>
        <w:t>We provided expert input to the Programme Advisory Group (PAG) detailing indicators to underpin assessment of targets in support of the Natural Environment Act.</w:t>
      </w:r>
    </w:p>
    <w:p w14:paraId="191F6FB5" w14:textId="77777777" w:rsidR="00AC04B6" w:rsidRPr="00AC04B6" w:rsidRDefault="00AC04B6" w:rsidP="00AC04B6">
      <w:pPr>
        <w:pStyle w:val="ListParagraph"/>
        <w:spacing w:line="360" w:lineRule="auto"/>
        <w:rPr>
          <w:rFonts w:ascii="Calibri" w:eastAsia="Calibri" w:hAnsi="Calibri" w:cs="Calibri"/>
          <w:szCs w:val="24"/>
        </w:rPr>
      </w:pPr>
    </w:p>
    <w:p w14:paraId="29D49FE6" w14:textId="77777777" w:rsidR="00AC04B6" w:rsidRDefault="006A1E71" w:rsidP="00AC04B6">
      <w:pPr>
        <w:pStyle w:val="ListParagraph"/>
        <w:numPr>
          <w:ilvl w:val="0"/>
          <w:numId w:val="1"/>
        </w:numPr>
        <w:spacing w:line="360" w:lineRule="auto"/>
        <w:ind w:left="357" w:hanging="357"/>
        <w:rPr>
          <w:rFonts w:ascii="Calibri" w:eastAsia="Calibri" w:hAnsi="Calibri" w:cs="Calibri"/>
          <w:szCs w:val="24"/>
        </w:rPr>
      </w:pPr>
      <w:r w:rsidRPr="00AC04B6">
        <w:rPr>
          <w:rFonts w:ascii="Calibri" w:eastAsia="Calibri" w:hAnsi="Calibri" w:cs="Calibri"/>
          <w:szCs w:val="24"/>
        </w:rPr>
        <w:t xml:space="preserve">Our campaign on urban gulls appears to have had a beneficial impact in terms of public response to the new breeding season. </w:t>
      </w:r>
    </w:p>
    <w:p w14:paraId="5D070FD2" w14:textId="77777777" w:rsidR="00AC04B6" w:rsidRPr="00AC04B6" w:rsidRDefault="00AC04B6" w:rsidP="00AC04B6">
      <w:pPr>
        <w:pStyle w:val="ListParagraph"/>
        <w:spacing w:line="360" w:lineRule="auto"/>
        <w:rPr>
          <w:rFonts w:ascii="Calibri" w:eastAsia="Calibri" w:hAnsi="Calibri" w:cs="Calibri"/>
          <w:szCs w:val="24"/>
        </w:rPr>
      </w:pPr>
    </w:p>
    <w:p w14:paraId="5A2E6D78" w14:textId="77777777" w:rsidR="00AC04B6" w:rsidRDefault="003D2CC0" w:rsidP="00AC04B6">
      <w:pPr>
        <w:pStyle w:val="ListParagraph"/>
        <w:numPr>
          <w:ilvl w:val="0"/>
          <w:numId w:val="1"/>
        </w:numPr>
        <w:spacing w:line="360" w:lineRule="auto"/>
        <w:ind w:left="357" w:hanging="357"/>
        <w:rPr>
          <w:rFonts w:ascii="Calibri" w:eastAsia="Calibri" w:hAnsi="Calibri" w:cs="Calibri"/>
          <w:szCs w:val="24"/>
        </w:rPr>
      </w:pPr>
      <w:r w:rsidRPr="00AC04B6">
        <w:rPr>
          <w:rFonts w:ascii="Calibri" w:eastAsia="Calibri" w:hAnsi="Calibri" w:cs="Calibri"/>
          <w:szCs w:val="24"/>
        </w:rPr>
        <w:t>Private sector finance has progressed well with the FIRNS round being delivered and the launch of the Nature Finance Exchange which elicited very positive feedback from a wide range of stakeholders.</w:t>
      </w:r>
    </w:p>
    <w:p w14:paraId="422A7EB1" w14:textId="77777777" w:rsidR="00AC04B6" w:rsidRPr="00AC04B6" w:rsidRDefault="00AC04B6" w:rsidP="00AC04B6">
      <w:pPr>
        <w:pStyle w:val="ListParagraph"/>
        <w:spacing w:line="360" w:lineRule="auto"/>
        <w:rPr>
          <w:rFonts w:ascii="Calibri" w:eastAsia="Calibri" w:hAnsi="Calibri" w:cs="Calibri"/>
          <w:szCs w:val="24"/>
        </w:rPr>
      </w:pPr>
    </w:p>
    <w:p w14:paraId="220A95CB" w14:textId="227E1669" w:rsidR="00D465A8" w:rsidRPr="00AC04B6" w:rsidRDefault="00D465A8" w:rsidP="00AC04B6">
      <w:pPr>
        <w:pStyle w:val="ListParagraph"/>
        <w:numPr>
          <w:ilvl w:val="0"/>
          <w:numId w:val="1"/>
        </w:numPr>
        <w:spacing w:line="360" w:lineRule="auto"/>
        <w:ind w:left="357" w:hanging="357"/>
        <w:rPr>
          <w:rFonts w:ascii="Calibri" w:eastAsia="Calibri" w:hAnsi="Calibri" w:cs="Calibri"/>
          <w:szCs w:val="24"/>
        </w:rPr>
      </w:pPr>
      <w:r w:rsidRPr="00AC04B6">
        <w:rPr>
          <w:rFonts w:ascii="Calibri" w:eastAsia="Calibri" w:hAnsi="Calibri" w:cs="Calibri"/>
          <w:szCs w:val="24"/>
        </w:rPr>
        <w:t>We received a credible offer for Kinloch Castle on Rum which is currently being considered.</w:t>
      </w:r>
    </w:p>
    <w:p w14:paraId="4233EE59" w14:textId="77777777" w:rsidR="006A1E71" w:rsidRPr="000C51B3" w:rsidRDefault="006A1E71" w:rsidP="00AC04B6">
      <w:pPr>
        <w:pStyle w:val="Heading2"/>
        <w:spacing w:line="360" w:lineRule="auto"/>
      </w:pPr>
      <w:r w:rsidRPr="000C51B3">
        <w:t xml:space="preserve">Challenges in the Quarter </w:t>
      </w:r>
    </w:p>
    <w:p w14:paraId="769EC998" w14:textId="77777777" w:rsidR="00AC04B6" w:rsidRDefault="006A1E71" w:rsidP="00AC04B6">
      <w:pPr>
        <w:pStyle w:val="ListParagraph"/>
        <w:numPr>
          <w:ilvl w:val="0"/>
          <w:numId w:val="1"/>
        </w:numPr>
        <w:spacing w:line="360" w:lineRule="auto"/>
        <w:ind w:left="357" w:hanging="357"/>
        <w:rPr>
          <w:rFonts w:ascii="Calibri" w:eastAsia="Calibri" w:hAnsi="Calibri" w:cs="Calibri"/>
          <w:szCs w:val="24"/>
        </w:rPr>
      </w:pPr>
      <w:r w:rsidRPr="000C51B3">
        <w:rPr>
          <w:rFonts w:ascii="Calibri" w:eastAsia="Calibri" w:hAnsi="Calibri" w:cs="Calibri"/>
          <w:szCs w:val="24"/>
        </w:rPr>
        <w:t>Peatland delivery experienced major slippage largely due to contractors and agents not delivering on their earlier delivery assurances. We have reviewed these issues carefully and have a robust plan in place to address future slippage.</w:t>
      </w:r>
    </w:p>
    <w:p w14:paraId="1B7A9431" w14:textId="77777777" w:rsidR="00AC04B6" w:rsidRDefault="00AC04B6" w:rsidP="00AC04B6">
      <w:pPr>
        <w:pStyle w:val="ListParagraph"/>
        <w:spacing w:line="360" w:lineRule="auto"/>
        <w:ind w:left="357"/>
        <w:rPr>
          <w:rFonts w:ascii="Calibri" w:eastAsia="Calibri" w:hAnsi="Calibri" w:cs="Calibri"/>
          <w:szCs w:val="24"/>
        </w:rPr>
      </w:pPr>
    </w:p>
    <w:p w14:paraId="4C477023" w14:textId="77777777" w:rsidR="00AC04B6" w:rsidRDefault="00385B5A" w:rsidP="00AC04B6">
      <w:pPr>
        <w:pStyle w:val="ListParagraph"/>
        <w:numPr>
          <w:ilvl w:val="0"/>
          <w:numId w:val="1"/>
        </w:numPr>
        <w:spacing w:line="360" w:lineRule="auto"/>
        <w:ind w:left="357" w:hanging="357"/>
        <w:rPr>
          <w:rFonts w:ascii="Calibri" w:eastAsia="Calibri" w:hAnsi="Calibri" w:cs="Calibri"/>
          <w:szCs w:val="24"/>
        </w:rPr>
      </w:pPr>
      <w:r w:rsidRPr="00AC04B6">
        <w:rPr>
          <w:rFonts w:ascii="Calibri" w:eastAsia="Calibri" w:hAnsi="Calibri" w:cs="Calibri"/>
          <w:szCs w:val="24"/>
        </w:rPr>
        <w:t>There is p</w:t>
      </w:r>
      <w:r w:rsidR="006A1E71" w:rsidRPr="00AC04B6">
        <w:rPr>
          <w:rFonts w:ascii="Calibri" w:eastAsia="Calibri" w:hAnsi="Calibri" w:cs="Calibri"/>
          <w:szCs w:val="24"/>
        </w:rPr>
        <w:t>ressure on the Biodiversity Metric team to ensure delivery of the draft tool in line with SG expectations and the project plan. We have agreed a risk-based approach to progress with consultation and publication of the tool.</w:t>
      </w:r>
    </w:p>
    <w:p w14:paraId="6BA5C1E2" w14:textId="77777777" w:rsidR="00AC04B6" w:rsidRPr="00AC04B6" w:rsidRDefault="00AC04B6" w:rsidP="00AC04B6">
      <w:pPr>
        <w:pStyle w:val="ListParagraph"/>
        <w:spacing w:line="360" w:lineRule="auto"/>
        <w:rPr>
          <w:rFonts w:ascii="Calibri" w:eastAsia="Calibri" w:hAnsi="Calibri" w:cs="Calibri"/>
          <w:szCs w:val="24"/>
        </w:rPr>
      </w:pPr>
    </w:p>
    <w:p w14:paraId="48A79A15" w14:textId="77777777" w:rsidR="00AC04B6" w:rsidRDefault="006A1E71" w:rsidP="00AC04B6">
      <w:pPr>
        <w:pStyle w:val="ListParagraph"/>
        <w:numPr>
          <w:ilvl w:val="0"/>
          <w:numId w:val="1"/>
        </w:numPr>
        <w:spacing w:line="360" w:lineRule="auto"/>
        <w:ind w:left="357" w:hanging="357"/>
        <w:rPr>
          <w:rFonts w:ascii="Calibri" w:eastAsia="Calibri" w:hAnsi="Calibri" w:cs="Calibri"/>
          <w:szCs w:val="24"/>
        </w:rPr>
      </w:pPr>
      <w:r w:rsidRPr="00AC04B6">
        <w:rPr>
          <w:rFonts w:ascii="Calibri" w:eastAsia="Calibri" w:hAnsi="Calibri" w:cs="Calibri"/>
          <w:szCs w:val="24"/>
        </w:rPr>
        <w:t>The increasing intensity of animal rights campaigns threaten</w:t>
      </w:r>
      <w:r w:rsidR="00FC19EF" w:rsidRPr="00AC04B6">
        <w:rPr>
          <w:rFonts w:ascii="Calibri" w:eastAsia="Calibri" w:hAnsi="Calibri" w:cs="Calibri"/>
          <w:szCs w:val="24"/>
        </w:rPr>
        <w:t>s</w:t>
      </w:r>
      <w:r w:rsidRPr="00AC04B6">
        <w:rPr>
          <w:rFonts w:ascii="Calibri" w:eastAsia="Calibri" w:hAnsi="Calibri" w:cs="Calibri"/>
          <w:szCs w:val="24"/>
        </w:rPr>
        <w:t xml:space="preserve"> our operations and </w:t>
      </w:r>
      <w:r w:rsidR="00B16353" w:rsidRPr="00AC04B6">
        <w:rPr>
          <w:rFonts w:ascii="Calibri" w:eastAsia="Calibri" w:hAnsi="Calibri" w:cs="Calibri"/>
          <w:szCs w:val="24"/>
        </w:rPr>
        <w:t>raises</w:t>
      </w:r>
      <w:r w:rsidRPr="00AC04B6">
        <w:rPr>
          <w:rFonts w:ascii="Calibri" w:eastAsia="Calibri" w:hAnsi="Calibri" w:cs="Calibri"/>
          <w:szCs w:val="24"/>
        </w:rPr>
        <w:t xml:space="preserve"> concerns to staff about their personal safety. This has been particularly demonstrated through the Anti-Guga hunt campaign. We have seen complaints and FOIs remain at much higher than usual levels due</w:t>
      </w:r>
      <w:r w:rsidR="00D465A8" w:rsidRPr="00AC04B6">
        <w:rPr>
          <w:rFonts w:ascii="Calibri" w:eastAsia="Calibri" w:hAnsi="Calibri" w:cs="Calibri"/>
          <w:szCs w:val="24"/>
        </w:rPr>
        <w:t xml:space="preserve"> to</w:t>
      </w:r>
      <w:r w:rsidRPr="00AC04B6">
        <w:rPr>
          <w:rFonts w:ascii="Calibri" w:eastAsia="Calibri" w:hAnsi="Calibri" w:cs="Calibri"/>
          <w:szCs w:val="24"/>
        </w:rPr>
        <w:t xml:space="preserve"> the Guga hunt.</w:t>
      </w:r>
    </w:p>
    <w:p w14:paraId="39CFBED4" w14:textId="77777777" w:rsidR="00AC04B6" w:rsidRPr="00AC04B6" w:rsidRDefault="00FC19EF" w:rsidP="00AC04B6">
      <w:pPr>
        <w:pStyle w:val="ListParagraph"/>
        <w:numPr>
          <w:ilvl w:val="0"/>
          <w:numId w:val="1"/>
        </w:numPr>
        <w:spacing w:line="360" w:lineRule="auto"/>
        <w:ind w:left="357" w:hanging="357"/>
        <w:rPr>
          <w:rFonts w:ascii="Calibri" w:eastAsia="Calibri" w:hAnsi="Calibri" w:cs="Calibri"/>
          <w:szCs w:val="24"/>
        </w:rPr>
      </w:pPr>
      <w:r w:rsidRPr="00AC04B6">
        <w:rPr>
          <w:rFonts w:ascii="Calibri" w:eastAsia="Calibri" w:hAnsi="Calibri" w:cs="Calibri"/>
          <w:szCs w:val="24"/>
        </w:rPr>
        <w:lastRenderedPageBreak/>
        <w:t>In light of the considerable expense involved in monitoring and data gathering we are reviewing how we gather data to ensure best value for money and avoid duplication. We recognise th</w:t>
      </w:r>
      <w:r w:rsidR="006A1E71" w:rsidRPr="00AC04B6">
        <w:rPr>
          <w:rFonts w:ascii="Calibri" w:eastAsia="Calibri" w:hAnsi="Calibri" w:cs="Calibri"/>
          <w:szCs w:val="24"/>
        </w:rPr>
        <w:t xml:space="preserve">ere are systemic issues relating to biodiversity monitoring which we </w:t>
      </w:r>
      <w:r w:rsidRPr="00AC04B6">
        <w:rPr>
          <w:rFonts w:ascii="Calibri" w:eastAsia="Calibri" w:hAnsi="Calibri" w:cs="Calibri"/>
          <w:szCs w:val="24"/>
        </w:rPr>
        <w:t>are working with partners to tackle.</w:t>
      </w:r>
      <w:r w:rsidR="003D2CC0" w:rsidRPr="00AC04B6">
        <w:rPr>
          <w:rFonts w:ascii="Calibri" w:eastAsia="Times New Roman" w:hAnsi="Calibri" w:cs="Calibri"/>
          <w:szCs w:val="24"/>
        </w:rPr>
        <w:t xml:space="preserve"> </w:t>
      </w:r>
    </w:p>
    <w:p w14:paraId="71D88F46" w14:textId="77777777" w:rsidR="00AC04B6" w:rsidRPr="00AC04B6" w:rsidRDefault="00AC04B6" w:rsidP="00AC04B6">
      <w:pPr>
        <w:pStyle w:val="ListParagraph"/>
        <w:spacing w:line="360" w:lineRule="auto"/>
        <w:rPr>
          <w:rFonts w:ascii="Calibri" w:eastAsia="Calibri" w:hAnsi="Calibri" w:cs="Calibri"/>
          <w:szCs w:val="24"/>
        </w:rPr>
      </w:pPr>
    </w:p>
    <w:p w14:paraId="65034A60" w14:textId="77777777" w:rsidR="00AC04B6" w:rsidRDefault="00385B5A" w:rsidP="00AC04B6">
      <w:pPr>
        <w:pStyle w:val="ListParagraph"/>
        <w:numPr>
          <w:ilvl w:val="0"/>
          <w:numId w:val="1"/>
        </w:numPr>
        <w:spacing w:line="360" w:lineRule="auto"/>
        <w:ind w:left="357" w:hanging="357"/>
        <w:rPr>
          <w:rFonts w:ascii="Calibri" w:eastAsia="Calibri" w:hAnsi="Calibri" w:cs="Calibri"/>
          <w:szCs w:val="24"/>
        </w:rPr>
      </w:pPr>
      <w:r w:rsidRPr="00AC04B6">
        <w:rPr>
          <w:rFonts w:ascii="Calibri" w:eastAsia="Calibri" w:hAnsi="Calibri" w:cs="Calibri"/>
          <w:szCs w:val="24"/>
        </w:rPr>
        <w:t>There is c</w:t>
      </w:r>
      <w:r w:rsidR="006A1E71" w:rsidRPr="00AC04B6">
        <w:rPr>
          <w:rFonts w:ascii="Calibri" w:eastAsia="Calibri" w:hAnsi="Calibri" w:cs="Calibri"/>
          <w:szCs w:val="24"/>
        </w:rPr>
        <w:t xml:space="preserve">ontinuing frustration at the slow pace of progress with the Single Scottish Estate review, and the impact </w:t>
      </w:r>
      <w:r w:rsidR="00B16353" w:rsidRPr="00AC04B6">
        <w:rPr>
          <w:rFonts w:ascii="Calibri" w:eastAsia="Calibri" w:hAnsi="Calibri" w:cs="Calibri"/>
          <w:szCs w:val="24"/>
        </w:rPr>
        <w:t>it</w:t>
      </w:r>
      <w:r w:rsidR="006A1E71" w:rsidRPr="00AC04B6">
        <w:rPr>
          <w:rFonts w:ascii="Calibri" w:eastAsia="Calibri" w:hAnsi="Calibri" w:cs="Calibri"/>
          <w:szCs w:val="24"/>
        </w:rPr>
        <w:t xml:space="preserve"> is having on making plans to rationalise our accommodation requirements in Inverness. </w:t>
      </w:r>
    </w:p>
    <w:p w14:paraId="4A4944C7" w14:textId="77777777" w:rsidR="00AC04B6" w:rsidRPr="00AC04B6" w:rsidRDefault="00AC04B6" w:rsidP="00AC04B6">
      <w:pPr>
        <w:pStyle w:val="ListParagraph"/>
        <w:spacing w:line="360" w:lineRule="auto"/>
        <w:rPr>
          <w:rFonts w:ascii="Calibri" w:eastAsia="Calibri" w:hAnsi="Calibri" w:cs="Calibri"/>
          <w:szCs w:val="24"/>
        </w:rPr>
      </w:pPr>
    </w:p>
    <w:p w14:paraId="2EA31B46" w14:textId="7443B853" w:rsidR="006A1E71" w:rsidRPr="00AC04B6" w:rsidRDefault="00385B5A" w:rsidP="00AC04B6">
      <w:pPr>
        <w:pStyle w:val="ListParagraph"/>
        <w:numPr>
          <w:ilvl w:val="0"/>
          <w:numId w:val="1"/>
        </w:numPr>
        <w:spacing w:line="360" w:lineRule="auto"/>
        <w:ind w:left="357" w:hanging="357"/>
        <w:rPr>
          <w:rFonts w:ascii="Calibri" w:eastAsia="Calibri" w:hAnsi="Calibri" w:cs="Calibri"/>
          <w:szCs w:val="24"/>
        </w:rPr>
      </w:pPr>
      <w:r w:rsidRPr="00AC04B6">
        <w:rPr>
          <w:rFonts w:ascii="Calibri" w:eastAsia="Calibri" w:hAnsi="Calibri" w:cs="Calibri"/>
          <w:szCs w:val="24"/>
        </w:rPr>
        <w:t>An a</w:t>
      </w:r>
      <w:r w:rsidR="006A1E71" w:rsidRPr="00AC04B6">
        <w:rPr>
          <w:rFonts w:ascii="Calibri" w:eastAsia="Calibri" w:hAnsi="Calibri" w:cs="Calibri"/>
          <w:szCs w:val="24"/>
        </w:rPr>
        <w:t xml:space="preserve">nalysis of our retirement profile and the recent pattern of retirements highlights an increasing numbers of key staff retiring and leaving experience gaps. </w:t>
      </w:r>
    </w:p>
    <w:p w14:paraId="425A1DBA" w14:textId="77777777" w:rsidR="006A1E71" w:rsidRPr="000C51B3" w:rsidRDefault="006A1E71" w:rsidP="00AC04B6">
      <w:pPr>
        <w:pStyle w:val="Heading2"/>
        <w:spacing w:line="360" w:lineRule="auto"/>
      </w:pPr>
      <w:r w:rsidRPr="000C51B3">
        <w:t xml:space="preserve">Forward Look </w:t>
      </w:r>
    </w:p>
    <w:p w14:paraId="1633457C" w14:textId="77777777" w:rsidR="006A1E71" w:rsidRDefault="006A1E71" w:rsidP="00AC04B6">
      <w:pPr>
        <w:pStyle w:val="ListParagraph"/>
        <w:numPr>
          <w:ilvl w:val="0"/>
          <w:numId w:val="1"/>
        </w:numPr>
        <w:spacing w:line="360" w:lineRule="auto"/>
        <w:ind w:left="357" w:hanging="357"/>
        <w:rPr>
          <w:rFonts w:ascii="Calibri" w:eastAsia="Calibri" w:hAnsi="Calibri" w:cs="Calibri"/>
          <w:szCs w:val="24"/>
        </w:rPr>
      </w:pPr>
      <w:r w:rsidRPr="000C51B3">
        <w:rPr>
          <w:rFonts w:ascii="Calibri" w:eastAsia="Calibri" w:hAnsi="Calibri" w:cs="Calibri"/>
          <w:szCs w:val="24"/>
        </w:rPr>
        <w:t>Work has been undertaken to review party manifestos and to consider various scenarios that follow on from the parliamentary elections. We will look forward to working with the new administration and making the case for nature to new and returning MSPs.</w:t>
      </w:r>
    </w:p>
    <w:p w14:paraId="07BF58B2" w14:textId="77777777" w:rsidR="00AC04B6" w:rsidRPr="000C51B3" w:rsidRDefault="00AC04B6" w:rsidP="00AC04B6">
      <w:pPr>
        <w:pStyle w:val="ListParagraph"/>
        <w:spacing w:line="360" w:lineRule="auto"/>
        <w:ind w:left="357"/>
        <w:rPr>
          <w:rFonts w:ascii="Calibri" w:eastAsia="Calibri" w:hAnsi="Calibri" w:cs="Calibri"/>
          <w:szCs w:val="24"/>
        </w:rPr>
      </w:pPr>
    </w:p>
    <w:p w14:paraId="6309DB18" w14:textId="77777777" w:rsidR="00AC04B6" w:rsidRDefault="006A1E71" w:rsidP="00AC04B6">
      <w:pPr>
        <w:pStyle w:val="ListParagraph"/>
        <w:numPr>
          <w:ilvl w:val="0"/>
          <w:numId w:val="1"/>
        </w:numPr>
        <w:spacing w:line="360" w:lineRule="auto"/>
        <w:ind w:left="357" w:hanging="357"/>
        <w:rPr>
          <w:rFonts w:ascii="Calibri" w:eastAsia="Calibri" w:hAnsi="Calibri" w:cs="Calibri"/>
          <w:szCs w:val="24"/>
        </w:rPr>
      </w:pPr>
      <w:r w:rsidRPr="000C51B3">
        <w:rPr>
          <w:rFonts w:ascii="Calibri" w:eastAsia="Calibri" w:hAnsi="Calibri" w:cs="Calibri"/>
          <w:szCs w:val="24"/>
        </w:rPr>
        <w:t>We will hold quarterly meetings of the Nature30 Assessment Panel working work with staff and partners to create a pipeline of new sites.</w:t>
      </w:r>
    </w:p>
    <w:p w14:paraId="0C271651" w14:textId="77777777" w:rsidR="00AC04B6" w:rsidRPr="00AC04B6" w:rsidRDefault="00AC04B6" w:rsidP="00AC04B6">
      <w:pPr>
        <w:pStyle w:val="ListParagraph"/>
        <w:spacing w:line="360" w:lineRule="auto"/>
        <w:rPr>
          <w:rFonts w:ascii="Calibri" w:eastAsia="Calibri" w:hAnsi="Calibri" w:cs="Calibri"/>
          <w:szCs w:val="24"/>
        </w:rPr>
      </w:pPr>
    </w:p>
    <w:p w14:paraId="1BA94B11" w14:textId="77777777" w:rsidR="00AC04B6" w:rsidRDefault="006A1E71" w:rsidP="00AC04B6">
      <w:pPr>
        <w:pStyle w:val="ListParagraph"/>
        <w:numPr>
          <w:ilvl w:val="0"/>
          <w:numId w:val="1"/>
        </w:numPr>
        <w:spacing w:line="360" w:lineRule="auto"/>
        <w:ind w:left="357" w:hanging="357"/>
        <w:rPr>
          <w:rFonts w:ascii="Calibri" w:eastAsia="Calibri" w:hAnsi="Calibri" w:cs="Calibri"/>
          <w:szCs w:val="24"/>
        </w:rPr>
      </w:pPr>
      <w:r w:rsidRPr="00AC04B6">
        <w:rPr>
          <w:rFonts w:ascii="Calibri" w:eastAsia="Calibri" w:hAnsi="Calibri" w:cs="Calibri"/>
          <w:szCs w:val="24"/>
        </w:rPr>
        <w:t>We will support the Scottish Government in the development of targets and monitoring for the Natural Environment Act.</w:t>
      </w:r>
    </w:p>
    <w:p w14:paraId="48B17AC1" w14:textId="77777777" w:rsidR="00AC04B6" w:rsidRPr="00AC04B6" w:rsidRDefault="00AC04B6" w:rsidP="00AC04B6">
      <w:pPr>
        <w:pStyle w:val="ListParagraph"/>
        <w:spacing w:line="360" w:lineRule="auto"/>
        <w:rPr>
          <w:rFonts w:ascii="Calibri" w:eastAsia="Calibri" w:hAnsi="Calibri" w:cs="Calibri"/>
          <w:szCs w:val="24"/>
        </w:rPr>
      </w:pPr>
    </w:p>
    <w:p w14:paraId="67E2266A" w14:textId="77777777" w:rsidR="00AC04B6" w:rsidRDefault="006A1E71" w:rsidP="00AC04B6">
      <w:pPr>
        <w:pStyle w:val="ListParagraph"/>
        <w:numPr>
          <w:ilvl w:val="0"/>
          <w:numId w:val="1"/>
        </w:numPr>
        <w:spacing w:line="360" w:lineRule="auto"/>
        <w:ind w:left="357" w:hanging="357"/>
        <w:rPr>
          <w:rFonts w:ascii="Calibri" w:eastAsia="Calibri" w:hAnsi="Calibri" w:cs="Calibri"/>
          <w:szCs w:val="24"/>
        </w:rPr>
      </w:pPr>
      <w:r w:rsidRPr="00AC04B6">
        <w:rPr>
          <w:rFonts w:ascii="Calibri" w:eastAsia="Calibri" w:hAnsi="Calibri" w:cs="Calibri"/>
          <w:szCs w:val="24"/>
        </w:rPr>
        <w:t>Addressing “technical debt” is an ongoing, multi-year process as current systems become legacy systems leading to technical obsolescence. A plan for adopting Scottish Government’s shared Amazon Web Services (AWS) platform will be developed.</w:t>
      </w:r>
    </w:p>
    <w:p w14:paraId="69E8A073" w14:textId="77777777" w:rsidR="00AC04B6" w:rsidRPr="00AC04B6" w:rsidRDefault="00AC04B6" w:rsidP="00AC04B6">
      <w:pPr>
        <w:pStyle w:val="ListParagraph"/>
        <w:spacing w:line="360" w:lineRule="auto"/>
        <w:rPr>
          <w:rFonts w:ascii="Calibri" w:eastAsia="Calibri" w:hAnsi="Calibri" w:cs="Calibri"/>
          <w:szCs w:val="24"/>
        </w:rPr>
      </w:pPr>
    </w:p>
    <w:p w14:paraId="2B8F9B84" w14:textId="55C65D49" w:rsidR="00977B59" w:rsidRDefault="006A1E71" w:rsidP="00977B59">
      <w:pPr>
        <w:pStyle w:val="ListParagraph"/>
        <w:numPr>
          <w:ilvl w:val="0"/>
          <w:numId w:val="1"/>
        </w:numPr>
        <w:spacing w:line="360" w:lineRule="auto"/>
        <w:ind w:left="357" w:hanging="357"/>
        <w:rPr>
          <w:rFonts w:ascii="Calibri" w:eastAsia="Calibri" w:hAnsi="Calibri" w:cs="Calibri"/>
          <w:szCs w:val="24"/>
        </w:rPr>
      </w:pPr>
      <w:r w:rsidRPr="00977B59">
        <w:rPr>
          <w:rFonts w:ascii="Calibri" w:eastAsia="Calibri" w:hAnsi="Calibri" w:cs="Calibri"/>
          <w:szCs w:val="24"/>
        </w:rPr>
        <w:t xml:space="preserve">Budgetary pressures are </w:t>
      </w:r>
      <w:r w:rsidR="00385B5A" w:rsidRPr="00977B59">
        <w:rPr>
          <w:rFonts w:ascii="Calibri" w:eastAsia="Calibri" w:hAnsi="Calibri" w:cs="Calibri"/>
          <w:szCs w:val="24"/>
        </w:rPr>
        <w:t>increasing</w:t>
      </w:r>
      <w:r w:rsidR="00B16353" w:rsidRPr="00977B59">
        <w:rPr>
          <w:rFonts w:ascii="Calibri" w:eastAsia="Calibri" w:hAnsi="Calibri" w:cs="Calibri"/>
          <w:szCs w:val="24"/>
        </w:rPr>
        <w:t>. It</w:t>
      </w:r>
      <w:r w:rsidRPr="00977B59">
        <w:rPr>
          <w:rFonts w:ascii="Calibri" w:eastAsia="Calibri" w:hAnsi="Calibri" w:cs="Calibri"/>
          <w:szCs w:val="24"/>
        </w:rPr>
        <w:t xml:space="preserve"> is likely that </w:t>
      </w:r>
      <w:r w:rsidR="00B16353" w:rsidRPr="00977B59">
        <w:rPr>
          <w:rFonts w:ascii="Calibri" w:eastAsia="Calibri" w:hAnsi="Calibri" w:cs="Calibri"/>
          <w:szCs w:val="24"/>
        </w:rPr>
        <w:t>we will need to continue to review our resource allocation and efficiency</w:t>
      </w:r>
      <w:r w:rsidRPr="00977B59">
        <w:rPr>
          <w:rFonts w:ascii="Calibri" w:eastAsia="Calibri" w:hAnsi="Calibri" w:cs="Calibri"/>
          <w:szCs w:val="24"/>
        </w:rPr>
        <w:t xml:space="preserve"> savings across both paybill and projects</w:t>
      </w:r>
      <w:r w:rsidR="00385B5A" w:rsidRPr="00977B59">
        <w:rPr>
          <w:rFonts w:ascii="Calibri" w:eastAsia="Calibri" w:hAnsi="Calibri" w:cs="Calibri"/>
          <w:szCs w:val="24"/>
        </w:rPr>
        <w:t xml:space="preserve"> to ensure that we retain our current balanced budget position</w:t>
      </w:r>
      <w:r w:rsidR="00D465A8" w:rsidRPr="00977B59">
        <w:rPr>
          <w:rFonts w:ascii="Calibri" w:eastAsia="Calibri" w:hAnsi="Calibri" w:cs="Calibri"/>
          <w:szCs w:val="24"/>
        </w:rPr>
        <w:t>,</w:t>
      </w:r>
      <w:r w:rsidR="00385B5A" w:rsidRPr="00977B59">
        <w:rPr>
          <w:rFonts w:ascii="Calibri" w:eastAsia="Calibri" w:hAnsi="Calibri" w:cs="Calibri"/>
          <w:szCs w:val="24"/>
        </w:rPr>
        <w:t xml:space="preserve"> particularly if new demands are placed upon us after the election</w:t>
      </w:r>
      <w:r w:rsidRPr="00977B59">
        <w:rPr>
          <w:rFonts w:ascii="Calibri" w:eastAsia="Calibri" w:hAnsi="Calibri" w:cs="Calibri"/>
          <w:szCs w:val="24"/>
        </w:rPr>
        <w:t xml:space="preserve">. There is also the ongoing risk of losing discretionary </w:t>
      </w:r>
      <w:r w:rsidR="00977B59" w:rsidRPr="00977B59">
        <w:rPr>
          <w:rFonts w:ascii="Calibri" w:eastAsia="Calibri" w:hAnsi="Calibri" w:cs="Calibri"/>
          <w:szCs w:val="24"/>
        </w:rPr>
        <w:t>and charitable relief on business rates on the remaining buildings we have that benefit from this.</w:t>
      </w:r>
    </w:p>
    <w:p w14:paraId="74544360" w14:textId="30AC3481" w:rsidR="006A1E71" w:rsidRPr="00AC04B6" w:rsidRDefault="006A1E71" w:rsidP="00AC04B6">
      <w:pPr>
        <w:pStyle w:val="ListParagraph"/>
        <w:numPr>
          <w:ilvl w:val="0"/>
          <w:numId w:val="1"/>
        </w:numPr>
        <w:spacing w:line="360" w:lineRule="auto"/>
        <w:ind w:left="357" w:hanging="357"/>
        <w:rPr>
          <w:rFonts w:ascii="Calibri" w:eastAsia="Calibri" w:hAnsi="Calibri" w:cs="Calibri"/>
          <w:szCs w:val="24"/>
        </w:rPr>
      </w:pPr>
      <w:r w:rsidRPr="00AC04B6">
        <w:rPr>
          <w:rFonts w:ascii="Calibri" w:eastAsia="Calibri" w:hAnsi="Calibri" w:cs="Calibri"/>
          <w:szCs w:val="24"/>
        </w:rPr>
        <w:lastRenderedPageBreak/>
        <w:t xml:space="preserve">Communications </w:t>
      </w:r>
      <w:r w:rsidR="00D465A8" w:rsidRPr="00AC04B6">
        <w:rPr>
          <w:rFonts w:ascii="Calibri" w:eastAsia="Calibri" w:hAnsi="Calibri" w:cs="Calibri"/>
          <w:szCs w:val="24"/>
        </w:rPr>
        <w:t xml:space="preserve">activity </w:t>
      </w:r>
      <w:r w:rsidRPr="00AC04B6">
        <w:rPr>
          <w:rFonts w:ascii="Calibri" w:eastAsia="Calibri" w:hAnsi="Calibri" w:cs="Calibri"/>
          <w:szCs w:val="24"/>
        </w:rPr>
        <w:t xml:space="preserve">will focus on MSP engagement, along with our public facing campaigns Make Space for Nature, SOAC and a new campaign focusing on young people. </w:t>
      </w:r>
    </w:p>
    <w:p w14:paraId="67B03A57" w14:textId="77777777" w:rsidR="00052694" w:rsidRPr="000C51B3" w:rsidRDefault="00052694" w:rsidP="00AC04B6">
      <w:pPr>
        <w:pStyle w:val="Heading2"/>
        <w:spacing w:line="360" w:lineRule="auto"/>
      </w:pPr>
      <w:r w:rsidRPr="000C51B3">
        <w:t>Operational Delivery Scorecard</w:t>
      </w:r>
    </w:p>
    <w:p w14:paraId="3D70E914" w14:textId="18D2C7BF" w:rsidR="00F15440" w:rsidRPr="00977B59" w:rsidRDefault="00052694" w:rsidP="003465A4">
      <w:pPr>
        <w:pStyle w:val="ListParagraph"/>
        <w:numPr>
          <w:ilvl w:val="0"/>
          <w:numId w:val="1"/>
        </w:numPr>
        <w:spacing w:line="360" w:lineRule="auto"/>
        <w:ind w:left="357" w:hanging="357"/>
        <w:rPr>
          <w:b/>
          <w:bCs/>
        </w:rPr>
      </w:pPr>
      <w:r w:rsidRPr="00977B59">
        <w:rPr>
          <w:rFonts w:ascii="Calibri" w:eastAsia="Calibri" w:hAnsi="Calibri" w:cs="Calibri"/>
          <w:b/>
          <w:bCs/>
          <w:i/>
          <w:iCs/>
          <w:szCs w:val="24"/>
        </w:rPr>
        <w:t>Figure 4</w:t>
      </w:r>
      <w:r w:rsidRPr="00977B59">
        <w:rPr>
          <w:rFonts w:ascii="Calibri" w:eastAsia="Calibri" w:hAnsi="Calibri" w:cs="Calibri"/>
          <w:szCs w:val="24"/>
        </w:rPr>
        <w:t xml:space="preserve"> shows the RAG status of delivery plans and their alignment with the 4 foundation blocks and internal transformation. Key highlights for the quarter are noted, and further details are provided in Appendix 4.</w:t>
      </w:r>
    </w:p>
    <w:tbl>
      <w:tblPr>
        <w:tblpPr w:leftFromText="180" w:rightFromText="180" w:vertAnchor="text" w:horzAnchor="margin" w:tblpY="-1"/>
        <w:tblW w:w="5265" w:type="pct"/>
        <w:tblLayout w:type="fixed"/>
        <w:tblCellMar>
          <w:left w:w="28" w:type="dxa"/>
          <w:right w:w="0" w:type="dxa"/>
        </w:tblCellMar>
        <w:tblLook w:val="04A0" w:firstRow="1" w:lastRow="0" w:firstColumn="1" w:lastColumn="0" w:noHBand="0" w:noVBand="1"/>
      </w:tblPr>
      <w:tblGrid>
        <w:gridCol w:w="989"/>
        <w:gridCol w:w="2133"/>
        <w:gridCol w:w="1839"/>
        <w:gridCol w:w="1700"/>
        <w:gridCol w:w="1419"/>
        <w:gridCol w:w="1419"/>
      </w:tblGrid>
      <w:tr w:rsidR="00977B59" w:rsidRPr="00977B59" w14:paraId="7D6B1E57" w14:textId="77777777" w:rsidTr="00977B59">
        <w:trPr>
          <w:trHeight w:val="290"/>
        </w:trPr>
        <w:tc>
          <w:tcPr>
            <w:tcW w:w="5000" w:type="pct"/>
            <w:gridSpan w:val="6"/>
            <w:tcBorders>
              <w:bottom w:val="single" w:sz="4" w:space="0" w:color="auto"/>
              <w:right w:val="single" w:sz="4" w:space="0" w:color="auto"/>
            </w:tcBorders>
            <w:vAlign w:val="bottom"/>
          </w:tcPr>
          <w:p w14:paraId="44B20B5F" w14:textId="7EA1CCFA" w:rsidR="00977B59" w:rsidRPr="00977B59" w:rsidRDefault="00977B59" w:rsidP="00977B59">
            <w:pPr>
              <w:pStyle w:val="NoSpacing"/>
              <w:rPr>
                <w:b/>
                <w:bCs/>
              </w:rPr>
            </w:pPr>
            <w:r w:rsidRPr="00F15440">
              <w:rPr>
                <w:b/>
                <w:bCs/>
              </w:rPr>
              <w:t>Figure 4: Operational Delivery Scorecard</w:t>
            </w:r>
          </w:p>
        </w:tc>
      </w:tr>
      <w:tr w:rsidR="00977B59" w:rsidRPr="00977B59" w14:paraId="5F09D940" w14:textId="77777777" w:rsidTr="00977B59">
        <w:trPr>
          <w:trHeight w:val="290"/>
        </w:trPr>
        <w:tc>
          <w:tcPr>
            <w:tcW w:w="520" w:type="pct"/>
            <w:tcBorders>
              <w:top w:val="single" w:sz="4" w:space="0" w:color="auto"/>
              <w:left w:val="single" w:sz="4" w:space="0" w:color="auto"/>
              <w:bottom w:val="single" w:sz="4" w:space="0" w:color="auto"/>
              <w:right w:val="single" w:sz="4" w:space="0" w:color="auto"/>
            </w:tcBorders>
            <w:textDirection w:val="btLr"/>
            <w:vAlign w:val="bottom"/>
            <w:hideMark/>
          </w:tcPr>
          <w:p w14:paraId="510CB6DD"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1123" w:type="pct"/>
            <w:tcBorders>
              <w:top w:val="single" w:sz="4" w:space="0" w:color="auto"/>
              <w:left w:val="single" w:sz="4" w:space="0" w:color="auto"/>
              <w:bottom w:val="single" w:sz="4" w:space="0" w:color="auto"/>
              <w:right w:val="single" w:sz="4" w:space="0" w:color="auto"/>
            </w:tcBorders>
            <w:vAlign w:val="bottom"/>
            <w:hideMark/>
          </w:tcPr>
          <w:p w14:paraId="6FD013E0"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1</w:t>
            </w:r>
          </w:p>
        </w:tc>
        <w:tc>
          <w:tcPr>
            <w:tcW w:w="968" w:type="pct"/>
            <w:tcBorders>
              <w:top w:val="single" w:sz="4" w:space="0" w:color="auto"/>
              <w:left w:val="single" w:sz="4" w:space="0" w:color="auto"/>
              <w:bottom w:val="single" w:sz="4" w:space="0" w:color="auto"/>
              <w:right w:val="single" w:sz="4" w:space="0" w:color="auto"/>
            </w:tcBorders>
            <w:vAlign w:val="bottom"/>
            <w:hideMark/>
          </w:tcPr>
          <w:p w14:paraId="1C975F2E"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2</w:t>
            </w:r>
          </w:p>
        </w:tc>
        <w:tc>
          <w:tcPr>
            <w:tcW w:w="895" w:type="pct"/>
            <w:tcBorders>
              <w:top w:val="single" w:sz="4" w:space="0" w:color="auto"/>
              <w:left w:val="single" w:sz="4" w:space="0" w:color="auto"/>
              <w:bottom w:val="single" w:sz="4" w:space="0" w:color="auto"/>
              <w:right w:val="single" w:sz="4" w:space="0" w:color="auto"/>
            </w:tcBorders>
            <w:vAlign w:val="bottom"/>
            <w:hideMark/>
          </w:tcPr>
          <w:p w14:paraId="762B2347"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3</w:t>
            </w:r>
          </w:p>
        </w:tc>
        <w:tc>
          <w:tcPr>
            <w:tcW w:w="747" w:type="pct"/>
            <w:tcBorders>
              <w:top w:val="single" w:sz="4" w:space="0" w:color="auto"/>
              <w:left w:val="single" w:sz="4" w:space="0" w:color="auto"/>
              <w:bottom w:val="single" w:sz="4" w:space="0" w:color="auto"/>
              <w:right w:val="single" w:sz="4" w:space="0" w:color="auto"/>
            </w:tcBorders>
            <w:vAlign w:val="bottom"/>
            <w:hideMark/>
          </w:tcPr>
          <w:p w14:paraId="6FF54424"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4</w:t>
            </w:r>
          </w:p>
        </w:tc>
        <w:tc>
          <w:tcPr>
            <w:tcW w:w="747" w:type="pct"/>
            <w:tcBorders>
              <w:top w:val="single" w:sz="4" w:space="0" w:color="auto"/>
              <w:left w:val="single" w:sz="4" w:space="0" w:color="auto"/>
              <w:bottom w:val="single" w:sz="4" w:space="0" w:color="auto"/>
              <w:right w:val="single" w:sz="4" w:space="0" w:color="auto"/>
            </w:tcBorders>
            <w:vAlign w:val="bottom"/>
            <w:hideMark/>
          </w:tcPr>
          <w:p w14:paraId="2F4401E7"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5</w:t>
            </w:r>
          </w:p>
        </w:tc>
      </w:tr>
      <w:tr w:rsidR="00977B59" w:rsidRPr="00977B59" w14:paraId="391306B5" w14:textId="77777777" w:rsidTr="00977B59">
        <w:trPr>
          <w:trHeight w:val="600"/>
        </w:trPr>
        <w:tc>
          <w:tcPr>
            <w:tcW w:w="520" w:type="pct"/>
            <w:tcBorders>
              <w:top w:val="single" w:sz="4" w:space="0" w:color="auto"/>
              <w:left w:val="single" w:sz="4" w:space="0" w:color="auto"/>
              <w:bottom w:val="single" w:sz="4" w:space="0" w:color="auto"/>
              <w:right w:val="single" w:sz="4" w:space="0" w:color="auto"/>
            </w:tcBorders>
            <w:vAlign w:val="bottom"/>
            <w:hideMark/>
          </w:tcPr>
          <w:p w14:paraId="17E06064" w14:textId="77777777" w:rsidR="00F15440" w:rsidRPr="00977B59" w:rsidRDefault="00F15440" w:rsidP="00E46DC2">
            <w:pPr>
              <w:spacing w:after="0" w:line="240" w:lineRule="auto"/>
              <w:rPr>
                <w:rFonts w:ascii="Calibri" w:eastAsia="Times New Roman" w:hAnsi="Calibri" w:cs="Calibri"/>
                <w:b/>
                <w:bCs/>
                <w:color w:val="000000"/>
                <w:sz w:val="21"/>
                <w:szCs w:val="21"/>
                <w:lang w:eastAsia="en-GB"/>
              </w:rPr>
            </w:pPr>
          </w:p>
        </w:tc>
        <w:tc>
          <w:tcPr>
            <w:tcW w:w="1123" w:type="pct"/>
            <w:tcBorders>
              <w:top w:val="single" w:sz="4" w:space="0" w:color="auto"/>
              <w:left w:val="single" w:sz="4" w:space="0" w:color="auto"/>
              <w:bottom w:val="single" w:sz="4" w:space="0" w:color="auto"/>
              <w:right w:val="single" w:sz="4" w:space="0" w:color="auto"/>
            </w:tcBorders>
            <w:vAlign w:val="center"/>
            <w:hideMark/>
          </w:tcPr>
          <w:p w14:paraId="15DEA4A3" w14:textId="77777777" w:rsidR="00F15440" w:rsidRPr="00977B59" w:rsidRDefault="00F15440" w:rsidP="00E46DC2">
            <w:pPr>
              <w:spacing w:after="0" w:line="240" w:lineRule="auto"/>
              <w:rPr>
                <w:rFonts w:ascii="Calibri" w:eastAsia="Times New Roman" w:hAnsi="Calibri" w:cs="Calibri"/>
                <w:b/>
                <w:bCs/>
                <w:color w:val="000000"/>
                <w:sz w:val="21"/>
                <w:szCs w:val="21"/>
                <w:lang w:eastAsia="en-GB"/>
              </w:rPr>
            </w:pPr>
            <w:r w:rsidRPr="00977B59">
              <w:rPr>
                <w:rFonts w:ascii="Calibri" w:eastAsia="Times New Roman" w:hAnsi="Calibri" w:cs="Calibri"/>
                <w:b/>
                <w:bCs/>
                <w:color w:val="000000"/>
                <w:sz w:val="21"/>
                <w:szCs w:val="21"/>
                <w:lang w:eastAsia="en-GB"/>
              </w:rPr>
              <w:t>Drive nature positive change</w:t>
            </w:r>
          </w:p>
        </w:tc>
        <w:tc>
          <w:tcPr>
            <w:tcW w:w="968" w:type="pct"/>
            <w:tcBorders>
              <w:top w:val="single" w:sz="4" w:space="0" w:color="auto"/>
              <w:left w:val="single" w:sz="4" w:space="0" w:color="auto"/>
              <w:bottom w:val="single" w:sz="4" w:space="0" w:color="auto"/>
              <w:right w:val="single" w:sz="4" w:space="0" w:color="auto"/>
            </w:tcBorders>
            <w:vAlign w:val="center"/>
            <w:hideMark/>
          </w:tcPr>
          <w:p w14:paraId="195EBF8F" w14:textId="77777777" w:rsidR="00F15440" w:rsidRPr="00977B59" w:rsidRDefault="00F15440" w:rsidP="00E46DC2">
            <w:pPr>
              <w:spacing w:after="0" w:line="240" w:lineRule="auto"/>
              <w:rPr>
                <w:rFonts w:ascii="Calibri" w:eastAsia="Times New Roman" w:hAnsi="Calibri" w:cs="Calibri"/>
                <w:b/>
                <w:bCs/>
                <w:color w:val="000000"/>
                <w:sz w:val="21"/>
                <w:szCs w:val="21"/>
                <w:lang w:eastAsia="en-GB"/>
              </w:rPr>
            </w:pPr>
            <w:r w:rsidRPr="00977B59">
              <w:rPr>
                <w:rFonts w:ascii="Calibri" w:eastAsia="Times New Roman" w:hAnsi="Calibri" w:cs="Calibri"/>
                <w:b/>
                <w:bCs/>
                <w:color w:val="000000"/>
                <w:sz w:val="21"/>
                <w:szCs w:val="21"/>
                <w:lang w:eastAsia="en-GB"/>
              </w:rPr>
              <w:t xml:space="preserve">Achieve30x30 </w:t>
            </w:r>
          </w:p>
        </w:tc>
        <w:tc>
          <w:tcPr>
            <w:tcW w:w="895" w:type="pct"/>
            <w:tcBorders>
              <w:top w:val="single" w:sz="4" w:space="0" w:color="auto"/>
              <w:left w:val="single" w:sz="4" w:space="0" w:color="auto"/>
              <w:bottom w:val="single" w:sz="4" w:space="0" w:color="auto"/>
              <w:right w:val="single" w:sz="4" w:space="0" w:color="auto"/>
            </w:tcBorders>
            <w:vAlign w:val="center"/>
            <w:hideMark/>
          </w:tcPr>
          <w:p w14:paraId="62E78938" w14:textId="77777777" w:rsidR="00F15440" w:rsidRPr="00977B59" w:rsidRDefault="00F15440" w:rsidP="00E46DC2">
            <w:pPr>
              <w:spacing w:after="0" w:line="240" w:lineRule="auto"/>
              <w:rPr>
                <w:rFonts w:ascii="Calibri" w:eastAsia="Times New Roman" w:hAnsi="Calibri" w:cs="Calibri"/>
                <w:b/>
                <w:bCs/>
                <w:color w:val="000000"/>
                <w:sz w:val="21"/>
                <w:szCs w:val="21"/>
                <w:lang w:eastAsia="en-GB"/>
              </w:rPr>
            </w:pPr>
            <w:r w:rsidRPr="00977B59">
              <w:rPr>
                <w:rFonts w:ascii="Calibri" w:eastAsia="Times New Roman" w:hAnsi="Calibri" w:cs="Calibri"/>
                <w:b/>
                <w:bCs/>
                <w:color w:val="000000"/>
                <w:sz w:val="21"/>
                <w:szCs w:val="21"/>
                <w:lang w:eastAsia="en-GB"/>
              </w:rPr>
              <w:t xml:space="preserve">Increase P&amp;PS investment </w:t>
            </w:r>
          </w:p>
        </w:tc>
        <w:tc>
          <w:tcPr>
            <w:tcW w:w="747" w:type="pct"/>
            <w:tcBorders>
              <w:top w:val="single" w:sz="4" w:space="0" w:color="auto"/>
              <w:left w:val="single" w:sz="4" w:space="0" w:color="auto"/>
              <w:bottom w:val="single" w:sz="4" w:space="0" w:color="auto"/>
              <w:right w:val="single" w:sz="4" w:space="0" w:color="auto"/>
            </w:tcBorders>
            <w:vAlign w:val="center"/>
            <w:hideMark/>
          </w:tcPr>
          <w:p w14:paraId="678812FE" w14:textId="77777777" w:rsidR="00F15440" w:rsidRPr="00977B59" w:rsidRDefault="00F15440" w:rsidP="00E46DC2">
            <w:pPr>
              <w:spacing w:after="0" w:line="240" w:lineRule="auto"/>
              <w:rPr>
                <w:rFonts w:ascii="Calibri" w:eastAsia="Times New Roman" w:hAnsi="Calibri" w:cs="Calibri"/>
                <w:b/>
                <w:bCs/>
                <w:color w:val="000000"/>
                <w:sz w:val="21"/>
                <w:szCs w:val="21"/>
                <w:lang w:eastAsia="en-GB"/>
              </w:rPr>
            </w:pPr>
            <w:r w:rsidRPr="00977B59">
              <w:rPr>
                <w:rFonts w:ascii="Calibri" w:eastAsia="Times New Roman" w:hAnsi="Calibri" w:cs="Calibri"/>
                <w:b/>
                <w:bCs/>
                <w:color w:val="000000"/>
                <w:sz w:val="21"/>
                <w:szCs w:val="21"/>
                <w:lang w:eastAsia="en-GB"/>
              </w:rPr>
              <w:t>Land &amp; wildlife management</w:t>
            </w:r>
          </w:p>
        </w:tc>
        <w:tc>
          <w:tcPr>
            <w:tcW w:w="747" w:type="pct"/>
            <w:tcBorders>
              <w:top w:val="single" w:sz="4" w:space="0" w:color="auto"/>
              <w:left w:val="single" w:sz="4" w:space="0" w:color="auto"/>
              <w:bottom w:val="single" w:sz="4" w:space="0" w:color="auto"/>
              <w:right w:val="single" w:sz="4" w:space="0" w:color="auto"/>
            </w:tcBorders>
            <w:vAlign w:val="center"/>
            <w:hideMark/>
          </w:tcPr>
          <w:p w14:paraId="6A4D7875" w14:textId="77777777" w:rsidR="00F15440" w:rsidRPr="00977B59" w:rsidRDefault="00F15440" w:rsidP="00E46DC2">
            <w:pPr>
              <w:spacing w:after="0" w:line="240" w:lineRule="auto"/>
              <w:rPr>
                <w:rFonts w:ascii="Calibri" w:eastAsia="Times New Roman" w:hAnsi="Calibri" w:cs="Calibri"/>
                <w:b/>
                <w:bCs/>
                <w:color w:val="000000"/>
                <w:sz w:val="21"/>
                <w:szCs w:val="21"/>
                <w:lang w:eastAsia="en-GB"/>
              </w:rPr>
            </w:pPr>
            <w:r w:rsidRPr="00977B59">
              <w:rPr>
                <w:rFonts w:ascii="Calibri" w:eastAsia="Times New Roman" w:hAnsi="Calibri" w:cs="Calibri"/>
                <w:b/>
                <w:bCs/>
                <w:color w:val="000000"/>
                <w:sz w:val="21"/>
                <w:szCs w:val="21"/>
                <w:lang w:eastAsia="en-GB"/>
              </w:rPr>
              <w:t xml:space="preserve">Transformation </w:t>
            </w:r>
          </w:p>
        </w:tc>
      </w:tr>
      <w:tr w:rsidR="00977B59" w:rsidRPr="00977B59" w14:paraId="08DA52F1" w14:textId="77777777" w:rsidTr="00977B59">
        <w:trPr>
          <w:trHeight w:val="290"/>
        </w:trPr>
        <w:tc>
          <w:tcPr>
            <w:tcW w:w="520"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29F51E4E" w14:textId="77777777" w:rsidR="00F15440" w:rsidRPr="00977B59" w:rsidRDefault="00F15440" w:rsidP="00E46DC2">
            <w:pPr>
              <w:spacing w:after="0" w:line="240" w:lineRule="auto"/>
              <w:rPr>
                <w:rFonts w:ascii="Calibri" w:eastAsia="Times New Roman" w:hAnsi="Calibri" w:cs="Calibri"/>
                <w:b/>
                <w:bCs/>
                <w:color w:val="000000"/>
                <w:sz w:val="21"/>
                <w:szCs w:val="21"/>
                <w:lang w:eastAsia="en-GB"/>
              </w:rPr>
            </w:pPr>
            <w:r w:rsidRPr="00977B59">
              <w:rPr>
                <w:rFonts w:ascii="Calibri" w:eastAsia="Times New Roman" w:hAnsi="Calibri" w:cs="Calibri"/>
                <w:b/>
                <w:bCs/>
                <w:color w:val="000000"/>
                <w:sz w:val="21"/>
                <w:szCs w:val="21"/>
                <w:lang w:eastAsia="en-GB"/>
              </w:rPr>
              <w:t>30x30</w:t>
            </w:r>
          </w:p>
        </w:tc>
        <w:tc>
          <w:tcPr>
            <w:tcW w:w="1123" w:type="pct"/>
            <w:tcBorders>
              <w:top w:val="single" w:sz="4" w:space="0" w:color="auto"/>
              <w:left w:val="single" w:sz="4" w:space="0" w:color="auto"/>
              <w:right w:val="single" w:sz="4" w:space="0" w:color="auto"/>
            </w:tcBorders>
            <w:shd w:val="clear" w:color="000000" w:fill="D0D0D0"/>
            <w:hideMark/>
          </w:tcPr>
          <w:p w14:paraId="3B9853ED"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968" w:type="pct"/>
            <w:tcBorders>
              <w:top w:val="single" w:sz="4" w:space="0" w:color="auto"/>
              <w:left w:val="single" w:sz="4" w:space="0" w:color="auto"/>
              <w:bottom w:val="single" w:sz="4" w:space="0" w:color="auto"/>
              <w:right w:val="single" w:sz="4" w:space="0" w:color="auto"/>
            </w:tcBorders>
            <w:shd w:val="clear" w:color="auto" w:fill="FFC000"/>
            <w:hideMark/>
          </w:tcPr>
          <w:p w14:paraId="5DD890C6"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hAnsi="Calibri" w:cs="Calibri"/>
                <w:sz w:val="21"/>
                <w:szCs w:val="21"/>
              </w:rPr>
              <w:t>Finalised arrangements for Nature30 Panel and recognition process</w:t>
            </w:r>
          </w:p>
        </w:tc>
        <w:tc>
          <w:tcPr>
            <w:tcW w:w="895" w:type="pct"/>
            <w:tcBorders>
              <w:top w:val="single" w:sz="4" w:space="0" w:color="auto"/>
              <w:left w:val="single" w:sz="4" w:space="0" w:color="auto"/>
            </w:tcBorders>
            <w:shd w:val="clear" w:color="000000" w:fill="D0D0D0"/>
            <w:hideMark/>
          </w:tcPr>
          <w:p w14:paraId="5836E86D"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747" w:type="pct"/>
            <w:tcBorders>
              <w:top w:val="single" w:sz="4" w:space="0" w:color="auto"/>
              <w:bottom w:val="single" w:sz="4" w:space="0" w:color="auto"/>
            </w:tcBorders>
            <w:shd w:val="clear" w:color="000000" w:fill="D0D0D0"/>
            <w:hideMark/>
          </w:tcPr>
          <w:p w14:paraId="4D7F7809"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747" w:type="pct"/>
            <w:tcBorders>
              <w:top w:val="single" w:sz="4" w:space="0" w:color="auto"/>
              <w:right w:val="single" w:sz="4" w:space="0" w:color="auto"/>
            </w:tcBorders>
            <w:shd w:val="clear" w:color="000000" w:fill="D0D0D0"/>
            <w:hideMark/>
          </w:tcPr>
          <w:p w14:paraId="2E2CD453"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r>
      <w:tr w:rsidR="00977B59" w:rsidRPr="00977B59" w14:paraId="78F48A2A" w14:textId="77777777" w:rsidTr="00977B59">
        <w:trPr>
          <w:trHeight w:val="520"/>
        </w:trPr>
        <w:tc>
          <w:tcPr>
            <w:tcW w:w="520" w:type="pct"/>
            <w:tcBorders>
              <w:top w:val="single" w:sz="4" w:space="0" w:color="auto"/>
              <w:left w:val="single" w:sz="4" w:space="0" w:color="auto"/>
              <w:bottom w:val="single" w:sz="4" w:space="0" w:color="auto"/>
              <w:right w:val="single" w:sz="4" w:space="0" w:color="auto"/>
            </w:tcBorders>
            <w:shd w:val="clear" w:color="auto" w:fill="DAF2D0"/>
            <w:vAlign w:val="center"/>
            <w:hideMark/>
          </w:tcPr>
          <w:p w14:paraId="3AAC9269" w14:textId="77777777" w:rsidR="00F15440" w:rsidRPr="00977B59" w:rsidRDefault="00F15440" w:rsidP="00E46DC2">
            <w:pPr>
              <w:spacing w:after="0" w:line="240" w:lineRule="auto"/>
              <w:rPr>
                <w:rFonts w:ascii="Calibri" w:eastAsia="Times New Roman" w:hAnsi="Calibri" w:cs="Calibri"/>
                <w:b/>
                <w:bCs/>
                <w:color w:val="000000"/>
                <w:sz w:val="21"/>
                <w:szCs w:val="21"/>
                <w:lang w:eastAsia="en-GB"/>
              </w:rPr>
            </w:pPr>
            <w:r w:rsidRPr="00977B59">
              <w:rPr>
                <w:rFonts w:ascii="Calibri" w:eastAsia="Times New Roman" w:hAnsi="Calibri" w:cs="Calibri"/>
                <w:b/>
                <w:bCs/>
                <w:color w:val="000000"/>
                <w:sz w:val="21"/>
                <w:szCs w:val="21"/>
                <w:lang w:eastAsia="en-GB"/>
              </w:rPr>
              <w:t xml:space="preserve">Manage deer </w:t>
            </w:r>
            <w:r w:rsidRPr="00977B59">
              <w:rPr>
                <w:rFonts w:ascii="Calibri" w:eastAsia="Times New Roman" w:hAnsi="Calibri" w:cs="Calibri"/>
                <w:b/>
                <w:bCs/>
                <w:color w:val="000000"/>
                <w:sz w:val="21"/>
                <w:szCs w:val="21"/>
                <w:lang w:eastAsia="en-GB"/>
              </w:rPr>
              <w:br/>
              <w:t>&amp; wildlife</w:t>
            </w:r>
          </w:p>
        </w:tc>
        <w:tc>
          <w:tcPr>
            <w:tcW w:w="1123" w:type="pct"/>
            <w:tcBorders>
              <w:left w:val="single" w:sz="4" w:space="0" w:color="auto"/>
            </w:tcBorders>
            <w:shd w:val="clear" w:color="000000" w:fill="D0D0D0"/>
            <w:hideMark/>
          </w:tcPr>
          <w:p w14:paraId="09799C17"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968" w:type="pct"/>
            <w:tcBorders>
              <w:top w:val="single" w:sz="4" w:space="0" w:color="auto"/>
            </w:tcBorders>
            <w:shd w:val="clear" w:color="000000" w:fill="D0D0D0"/>
            <w:hideMark/>
          </w:tcPr>
          <w:p w14:paraId="1965DEF2"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895" w:type="pct"/>
            <w:tcBorders>
              <w:bottom w:val="single" w:sz="4" w:space="0" w:color="auto"/>
              <w:right w:val="single" w:sz="4" w:space="0" w:color="auto"/>
            </w:tcBorders>
            <w:shd w:val="clear" w:color="000000" w:fill="D0D0D0"/>
            <w:hideMark/>
          </w:tcPr>
          <w:p w14:paraId="7426B36A"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747" w:type="pct"/>
            <w:tcBorders>
              <w:top w:val="single" w:sz="4" w:space="0" w:color="auto"/>
              <w:left w:val="single" w:sz="4" w:space="0" w:color="auto"/>
              <w:bottom w:val="single" w:sz="4" w:space="0" w:color="auto"/>
              <w:right w:val="single" w:sz="4" w:space="0" w:color="auto"/>
            </w:tcBorders>
            <w:shd w:val="clear" w:color="000000" w:fill="DAF2D0"/>
            <w:hideMark/>
          </w:tcPr>
          <w:p w14:paraId="0BBDF0FB"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Good progress on gulls, licensing developments and preparing for new deer powers</w:t>
            </w:r>
          </w:p>
        </w:tc>
        <w:tc>
          <w:tcPr>
            <w:tcW w:w="747" w:type="pct"/>
            <w:tcBorders>
              <w:left w:val="single" w:sz="4" w:space="0" w:color="auto"/>
              <w:right w:val="single" w:sz="4" w:space="0" w:color="auto"/>
            </w:tcBorders>
            <w:shd w:val="clear" w:color="000000" w:fill="D0D0D0"/>
            <w:hideMark/>
          </w:tcPr>
          <w:p w14:paraId="10D2903F"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r>
      <w:tr w:rsidR="00977B59" w:rsidRPr="00977B59" w14:paraId="649E3F90" w14:textId="77777777" w:rsidTr="00977B59">
        <w:trPr>
          <w:trHeight w:val="420"/>
        </w:trPr>
        <w:tc>
          <w:tcPr>
            <w:tcW w:w="520"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58655FD2" w14:textId="77777777" w:rsidR="00F15440" w:rsidRPr="00977B59" w:rsidRDefault="00F15440" w:rsidP="00E46DC2">
            <w:pPr>
              <w:spacing w:after="0" w:line="240" w:lineRule="auto"/>
              <w:rPr>
                <w:rFonts w:ascii="Calibri" w:eastAsia="Times New Roman" w:hAnsi="Calibri" w:cs="Calibri"/>
                <w:b/>
                <w:bCs/>
                <w:color w:val="000000"/>
                <w:sz w:val="21"/>
                <w:szCs w:val="21"/>
                <w:lang w:eastAsia="en-GB"/>
              </w:rPr>
            </w:pPr>
            <w:r w:rsidRPr="00977B59">
              <w:rPr>
                <w:rFonts w:ascii="Calibri" w:eastAsia="Times New Roman" w:hAnsi="Calibri" w:cs="Calibri"/>
                <w:b/>
                <w:bCs/>
                <w:color w:val="000000"/>
                <w:sz w:val="21"/>
                <w:szCs w:val="21"/>
                <w:lang w:eastAsia="en-GB"/>
              </w:rPr>
              <w:t>Planning &amp;reg.</w:t>
            </w:r>
          </w:p>
        </w:tc>
        <w:tc>
          <w:tcPr>
            <w:tcW w:w="1123" w:type="pct"/>
            <w:tcBorders>
              <w:left w:val="single" w:sz="4" w:space="0" w:color="auto"/>
              <w:bottom w:val="single" w:sz="4" w:space="0" w:color="auto"/>
            </w:tcBorders>
            <w:shd w:val="clear" w:color="000000" w:fill="D0D0D0"/>
            <w:hideMark/>
          </w:tcPr>
          <w:p w14:paraId="4419F127"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968" w:type="pct"/>
            <w:tcBorders>
              <w:right w:val="single" w:sz="4" w:space="0" w:color="auto"/>
            </w:tcBorders>
            <w:shd w:val="clear" w:color="000000" w:fill="D0D0D0"/>
            <w:hideMark/>
          </w:tcPr>
          <w:p w14:paraId="3245344B"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895" w:type="pct"/>
            <w:tcBorders>
              <w:top w:val="single" w:sz="4" w:space="0" w:color="auto"/>
              <w:left w:val="single" w:sz="4" w:space="0" w:color="auto"/>
              <w:bottom w:val="single" w:sz="4" w:space="0" w:color="auto"/>
              <w:right w:val="single" w:sz="4" w:space="0" w:color="auto"/>
            </w:tcBorders>
            <w:shd w:val="clear" w:color="auto" w:fill="FFC000"/>
            <w:hideMark/>
          </w:tcPr>
          <w:p w14:paraId="23F3F3E5"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Slippage in biodiversity metric timescale and continued pressure on casework team</w:t>
            </w:r>
          </w:p>
        </w:tc>
        <w:tc>
          <w:tcPr>
            <w:tcW w:w="747" w:type="pct"/>
            <w:tcBorders>
              <w:top w:val="single" w:sz="4" w:space="0" w:color="auto"/>
              <w:left w:val="single" w:sz="4" w:space="0" w:color="auto"/>
            </w:tcBorders>
            <w:shd w:val="clear" w:color="000000" w:fill="D0D0D0"/>
            <w:hideMark/>
          </w:tcPr>
          <w:p w14:paraId="60E05914"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747" w:type="pct"/>
            <w:tcBorders>
              <w:right w:val="single" w:sz="4" w:space="0" w:color="auto"/>
            </w:tcBorders>
            <w:shd w:val="clear" w:color="000000" w:fill="D0D0D0"/>
            <w:hideMark/>
          </w:tcPr>
          <w:p w14:paraId="19C639A5"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r>
      <w:tr w:rsidR="00977B59" w:rsidRPr="00977B59" w14:paraId="52262F7A" w14:textId="77777777" w:rsidTr="00977B59">
        <w:trPr>
          <w:trHeight w:val="420"/>
        </w:trPr>
        <w:tc>
          <w:tcPr>
            <w:tcW w:w="520" w:type="pct"/>
            <w:tcBorders>
              <w:top w:val="single" w:sz="4" w:space="0" w:color="auto"/>
              <w:left w:val="single" w:sz="4" w:space="0" w:color="auto"/>
              <w:bottom w:val="single" w:sz="4" w:space="0" w:color="auto"/>
              <w:right w:val="single" w:sz="4" w:space="0" w:color="auto"/>
            </w:tcBorders>
            <w:shd w:val="clear" w:color="000000" w:fill="DAF2D0"/>
            <w:vAlign w:val="center"/>
            <w:hideMark/>
          </w:tcPr>
          <w:p w14:paraId="25F9623D" w14:textId="77777777" w:rsidR="00F15440" w:rsidRPr="00977B59" w:rsidRDefault="00F15440" w:rsidP="00E46DC2">
            <w:pPr>
              <w:spacing w:after="0" w:line="240" w:lineRule="auto"/>
              <w:rPr>
                <w:rFonts w:ascii="Calibri" w:eastAsia="Times New Roman" w:hAnsi="Calibri" w:cs="Calibri"/>
                <w:b/>
                <w:bCs/>
                <w:color w:val="000000"/>
                <w:sz w:val="21"/>
                <w:szCs w:val="21"/>
                <w:lang w:eastAsia="en-GB"/>
              </w:rPr>
            </w:pPr>
            <w:r w:rsidRPr="00977B59">
              <w:rPr>
                <w:rFonts w:ascii="Calibri" w:eastAsia="Times New Roman" w:hAnsi="Calibri" w:cs="Calibri"/>
                <w:b/>
                <w:bCs/>
                <w:color w:val="000000"/>
                <w:sz w:val="21"/>
                <w:szCs w:val="21"/>
                <w:lang w:eastAsia="en-GB"/>
              </w:rPr>
              <w:t>Marine trans.</w:t>
            </w:r>
          </w:p>
        </w:tc>
        <w:tc>
          <w:tcPr>
            <w:tcW w:w="1123" w:type="pct"/>
            <w:tcBorders>
              <w:top w:val="single" w:sz="4" w:space="0" w:color="auto"/>
              <w:left w:val="single" w:sz="4" w:space="0" w:color="auto"/>
              <w:bottom w:val="single" w:sz="4" w:space="0" w:color="auto"/>
              <w:right w:val="single" w:sz="4" w:space="0" w:color="auto"/>
            </w:tcBorders>
            <w:shd w:val="clear" w:color="000000" w:fill="DAF2D0"/>
            <w:hideMark/>
          </w:tcPr>
          <w:p w14:paraId="6B3A795A"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Seabird conservation action plan team in place</w:t>
            </w:r>
          </w:p>
        </w:tc>
        <w:tc>
          <w:tcPr>
            <w:tcW w:w="968" w:type="pct"/>
            <w:tcBorders>
              <w:left w:val="single" w:sz="4" w:space="0" w:color="auto"/>
              <w:right w:val="single" w:sz="4" w:space="0" w:color="auto"/>
            </w:tcBorders>
            <w:shd w:val="clear" w:color="000000" w:fill="D0D0D0"/>
            <w:hideMark/>
          </w:tcPr>
          <w:p w14:paraId="3D4E5E91"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895" w:type="pct"/>
            <w:tcBorders>
              <w:top w:val="single" w:sz="4" w:space="0" w:color="auto"/>
              <w:left w:val="single" w:sz="4" w:space="0" w:color="auto"/>
              <w:bottom w:val="single" w:sz="4" w:space="0" w:color="auto"/>
              <w:right w:val="single" w:sz="4" w:space="0" w:color="auto"/>
            </w:tcBorders>
            <w:shd w:val="clear" w:color="000000" w:fill="DAF2D0"/>
            <w:hideMark/>
          </w:tcPr>
          <w:p w14:paraId="028EB7AC"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Offshore wind cost recovery process rolled out</w:t>
            </w:r>
          </w:p>
        </w:tc>
        <w:tc>
          <w:tcPr>
            <w:tcW w:w="747" w:type="pct"/>
            <w:tcBorders>
              <w:left w:val="single" w:sz="4" w:space="0" w:color="auto"/>
            </w:tcBorders>
            <w:shd w:val="clear" w:color="000000" w:fill="D0D0D0"/>
            <w:hideMark/>
          </w:tcPr>
          <w:p w14:paraId="3828F08A"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747" w:type="pct"/>
            <w:tcBorders>
              <w:right w:val="single" w:sz="4" w:space="0" w:color="auto"/>
            </w:tcBorders>
            <w:shd w:val="clear" w:color="000000" w:fill="D0D0D0"/>
            <w:hideMark/>
          </w:tcPr>
          <w:p w14:paraId="15A0BAAD"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r>
      <w:tr w:rsidR="00977B59" w:rsidRPr="00977B59" w14:paraId="30C64036" w14:textId="77777777" w:rsidTr="00977B59">
        <w:trPr>
          <w:trHeight w:val="420"/>
        </w:trPr>
        <w:tc>
          <w:tcPr>
            <w:tcW w:w="520"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1DF830BE" w14:textId="77777777" w:rsidR="00F15440" w:rsidRPr="00977B59" w:rsidRDefault="00F15440" w:rsidP="00E46DC2">
            <w:pPr>
              <w:spacing w:after="0" w:line="240" w:lineRule="auto"/>
              <w:rPr>
                <w:rFonts w:ascii="Calibri" w:eastAsia="Times New Roman" w:hAnsi="Calibri" w:cs="Calibri"/>
                <w:b/>
                <w:bCs/>
                <w:color w:val="000000"/>
                <w:sz w:val="21"/>
                <w:szCs w:val="21"/>
                <w:lang w:eastAsia="en-GB"/>
              </w:rPr>
            </w:pPr>
            <w:r w:rsidRPr="00977B59">
              <w:rPr>
                <w:rFonts w:ascii="Calibri" w:eastAsia="Times New Roman" w:hAnsi="Calibri" w:cs="Calibri"/>
                <w:b/>
                <w:bCs/>
                <w:color w:val="000000"/>
                <w:sz w:val="21"/>
                <w:szCs w:val="21"/>
                <w:lang w:eastAsia="en-GB"/>
              </w:rPr>
              <w:t>Peatland</w:t>
            </w:r>
          </w:p>
        </w:tc>
        <w:tc>
          <w:tcPr>
            <w:tcW w:w="1123" w:type="pct"/>
            <w:tcBorders>
              <w:top w:val="single" w:sz="4" w:space="0" w:color="auto"/>
              <w:left w:val="single" w:sz="4" w:space="0" w:color="auto"/>
              <w:bottom w:val="single" w:sz="4" w:space="0" w:color="auto"/>
              <w:right w:val="single" w:sz="4" w:space="0" w:color="auto"/>
            </w:tcBorders>
            <w:shd w:val="clear" w:color="auto" w:fill="FFC000"/>
            <w:hideMark/>
          </w:tcPr>
          <w:p w14:paraId="55729F32"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On track to deliver just over 10,000ha of peatland, short of our stretch target to deliver 12,000ha</w:t>
            </w:r>
          </w:p>
        </w:tc>
        <w:tc>
          <w:tcPr>
            <w:tcW w:w="968" w:type="pct"/>
            <w:tcBorders>
              <w:left w:val="single" w:sz="4" w:space="0" w:color="auto"/>
            </w:tcBorders>
            <w:shd w:val="clear" w:color="000000" w:fill="D0D0D0"/>
            <w:hideMark/>
          </w:tcPr>
          <w:p w14:paraId="29522785"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895" w:type="pct"/>
            <w:tcBorders>
              <w:top w:val="single" w:sz="4" w:space="0" w:color="auto"/>
            </w:tcBorders>
            <w:shd w:val="clear" w:color="000000" w:fill="D0D0D0"/>
            <w:hideMark/>
          </w:tcPr>
          <w:p w14:paraId="4FC2D170"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747" w:type="pct"/>
            <w:shd w:val="clear" w:color="000000" w:fill="D0D0D0"/>
            <w:hideMark/>
          </w:tcPr>
          <w:p w14:paraId="7FE99165"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747" w:type="pct"/>
            <w:tcBorders>
              <w:right w:val="single" w:sz="4" w:space="0" w:color="auto"/>
            </w:tcBorders>
            <w:shd w:val="clear" w:color="000000" w:fill="D0D0D0"/>
            <w:hideMark/>
          </w:tcPr>
          <w:p w14:paraId="3E7BDC7B"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r>
      <w:tr w:rsidR="00977B59" w:rsidRPr="00977B59" w14:paraId="7AF53679" w14:textId="77777777" w:rsidTr="00977B59">
        <w:trPr>
          <w:trHeight w:val="420"/>
        </w:trPr>
        <w:tc>
          <w:tcPr>
            <w:tcW w:w="520" w:type="pct"/>
            <w:tcBorders>
              <w:top w:val="single" w:sz="4" w:space="0" w:color="auto"/>
              <w:left w:val="single" w:sz="4" w:space="0" w:color="auto"/>
              <w:bottom w:val="single" w:sz="4" w:space="0" w:color="auto"/>
              <w:right w:val="single" w:sz="4" w:space="0" w:color="auto"/>
            </w:tcBorders>
            <w:shd w:val="clear" w:color="000000" w:fill="DAF2D0"/>
            <w:vAlign w:val="center"/>
            <w:hideMark/>
          </w:tcPr>
          <w:p w14:paraId="409A362D" w14:textId="77777777" w:rsidR="00F15440" w:rsidRPr="00977B59" w:rsidRDefault="00F15440" w:rsidP="00E46DC2">
            <w:pPr>
              <w:spacing w:after="0" w:line="240" w:lineRule="auto"/>
              <w:rPr>
                <w:rFonts w:ascii="Calibri" w:eastAsia="Times New Roman" w:hAnsi="Calibri" w:cs="Calibri"/>
                <w:b/>
                <w:bCs/>
                <w:color w:val="000000"/>
                <w:sz w:val="21"/>
                <w:szCs w:val="21"/>
                <w:lang w:eastAsia="en-GB"/>
              </w:rPr>
            </w:pPr>
            <w:r w:rsidRPr="00977B59">
              <w:rPr>
                <w:rFonts w:ascii="Calibri" w:eastAsia="Times New Roman" w:hAnsi="Calibri" w:cs="Calibri"/>
                <w:b/>
                <w:bCs/>
                <w:color w:val="000000"/>
                <w:sz w:val="21"/>
                <w:szCs w:val="21"/>
                <w:lang w:eastAsia="en-GB"/>
              </w:rPr>
              <w:t>Transform Ag.</w:t>
            </w:r>
          </w:p>
        </w:tc>
        <w:tc>
          <w:tcPr>
            <w:tcW w:w="1123" w:type="pct"/>
            <w:tcBorders>
              <w:top w:val="single" w:sz="4" w:space="0" w:color="auto"/>
              <w:left w:val="single" w:sz="4" w:space="0" w:color="auto"/>
              <w:bottom w:val="single" w:sz="4" w:space="0" w:color="auto"/>
              <w:right w:val="single" w:sz="4" w:space="0" w:color="auto"/>
            </w:tcBorders>
            <w:shd w:val="clear" w:color="auto" w:fill="DAF2D0"/>
            <w:hideMark/>
          </w:tcPr>
          <w:p w14:paraId="771D3F06"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Over 1000 farmers and crofters engaged in Farm BioScot tool</w:t>
            </w:r>
          </w:p>
        </w:tc>
        <w:tc>
          <w:tcPr>
            <w:tcW w:w="968" w:type="pct"/>
            <w:tcBorders>
              <w:left w:val="single" w:sz="4" w:space="0" w:color="auto"/>
            </w:tcBorders>
            <w:shd w:val="clear" w:color="000000" w:fill="D0D0D0"/>
            <w:hideMark/>
          </w:tcPr>
          <w:p w14:paraId="3807D1DA"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895" w:type="pct"/>
            <w:tcBorders>
              <w:bottom w:val="single" w:sz="4" w:space="0" w:color="auto"/>
            </w:tcBorders>
            <w:shd w:val="clear" w:color="000000" w:fill="D0D0D0"/>
            <w:hideMark/>
          </w:tcPr>
          <w:p w14:paraId="1F0A57A9"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747" w:type="pct"/>
            <w:shd w:val="clear" w:color="000000" w:fill="D0D0D0"/>
            <w:hideMark/>
          </w:tcPr>
          <w:p w14:paraId="6AD1C276"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747" w:type="pct"/>
            <w:tcBorders>
              <w:right w:val="single" w:sz="4" w:space="0" w:color="auto"/>
            </w:tcBorders>
            <w:shd w:val="clear" w:color="000000" w:fill="D0D0D0"/>
            <w:hideMark/>
          </w:tcPr>
          <w:p w14:paraId="0C1E216E"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r>
      <w:tr w:rsidR="00977B59" w:rsidRPr="00977B59" w14:paraId="119086B3" w14:textId="77777777" w:rsidTr="00977B59">
        <w:trPr>
          <w:trHeight w:val="420"/>
        </w:trPr>
        <w:tc>
          <w:tcPr>
            <w:tcW w:w="520" w:type="pct"/>
            <w:tcBorders>
              <w:top w:val="single" w:sz="4" w:space="0" w:color="auto"/>
              <w:left w:val="single" w:sz="4" w:space="0" w:color="auto"/>
              <w:bottom w:val="single" w:sz="4" w:space="0" w:color="auto"/>
              <w:right w:val="single" w:sz="4" w:space="0" w:color="auto"/>
            </w:tcBorders>
            <w:shd w:val="clear" w:color="auto" w:fill="DAF2D0"/>
            <w:vAlign w:val="center"/>
            <w:hideMark/>
          </w:tcPr>
          <w:p w14:paraId="2C37C508" w14:textId="77777777" w:rsidR="00F15440" w:rsidRPr="00977B59" w:rsidRDefault="00F15440" w:rsidP="00E46DC2">
            <w:pPr>
              <w:spacing w:after="0" w:line="240" w:lineRule="auto"/>
              <w:rPr>
                <w:rFonts w:ascii="Calibri" w:eastAsia="Times New Roman" w:hAnsi="Calibri" w:cs="Calibri"/>
                <w:b/>
                <w:bCs/>
                <w:color w:val="000000"/>
                <w:sz w:val="21"/>
                <w:szCs w:val="21"/>
                <w:lang w:eastAsia="en-GB"/>
              </w:rPr>
            </w:pPr>
            <w:r w:rsidRPr="00977B59">
              <w:rPr>
                <w:rFonts w:ascii="Calibri" w:eastAsia="Times New Roman" w:hAnsi="Calibri" w:cs="Calibri"/>
                <w:b/>
                <w:bCs/>
                <w:color w:val="000000"/>
                <w:sz w:val="21"/>
                <w:szCs w:val="21"/>
                <w:lang w:eastAsia="en-GB"/>
              </w:rPr>
              <w:t>Private sector inv.</w:t>
            </w:r>
          </w:p>
        </w:tc>
        <w:tc>
          <w:tcPr>
            <w:tcW w:w="1123" w:type="pct"/>
            <w:tcBorders>
              <w:top w:val="single" w:sz="4" w:space="0" w:color="auto"/>
              <w:left w:val="single" w:sz="4" w:space="0" w:color="auto"/>
              <w:bottom w:val="single" w:sz="4" w:space="0" w:color="auto"/>
            </w:tcBorders>
            <w:shd w:val="clear" w:color="000000" w:fill="D0D0D0"/>
            <w:hideMark/>
          </w:tcPr>
          <w:p w14:paraId="728E8E28"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968" w:type="pct"/>
            <w:tcBorders>
              <w:right w:val="single" w:sz="4" w:space="0" w:color="auto"/>
            </w:tcBorders>
            <w:shd w:val="clear" w:color="000000" w:fill="D0D0D0"/>
            <w:hideMark/>
          </w:tcPr>
          <w:p w14:paraId="61F094F5"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895" w:type="pct"/>
            <w:tcBorders>
              <w:top w:val="single" w:sz="4" w:space="0" w:color="auto"/>
              <w:left w:val="single" w:sz="4" w:space="0" w:color="auto"/>
              <w:bottom w:val="single" w:sz="4" w:space="0" w:color="auto"/>
              <w:right w:val="single" w:sz="4" w:space="0" w:color="auto"/>
            </w:tcBorders>
            <w:shd w:val="clear" w:color="auto" w:fill="DAF2D0"/>
            <w:hideMark/>
          </w:tcPr>
          <w:p w14:paraId="658F61BB"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Launch of Nature Finance Exchange at stakeholder event</w:t>
            </w:r>
          </w:p>
        </w:tc>
        <w:tc>
          <w:tcPr>
            <w:tcW w:w="747" w:type="pct"/>
            <w:tcBorders>
              <w:left w:val="single" w:sz="4" w:space="0" w:color="auto"/>
            </w:tcBorders>
            <w:shd w:val="clear" w:color="000000" w:fill="D0D0D0"/>
            <w:hideMark/>
          </w:tcPr>
          <w:p w14:paraId="48A51DE5"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747" w:type="pct"/>
            <w:tcBorders>
              <w:right w:val="single" w:sz="4" w:space="0" w:color="auto"/>
            </w:tcBorders>
            <w:shd w:val="clear" w:color="000000" w:fill="D0D0D0"/>
            <w:hideMark/>
          </w:tcPr>
          <w:p w14:paraId="0178C7AA"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r>
      <w:tr w:rsidR="00977B59" w:rsidRPr="00977B59" w14:paraId="1D5A562F" w14:textId="77777777" w:rsidTr="00977B59">
        <w:trPr>
          <w:trHeight w:val="290"/>
        </w:trPr>
        <w:tc>
          <w:tcPr>
            <w:tcW w:w="520" w:type="pct"/>
            <w:tcBorders>
              <w:top w:val="single" w:sz="4" w:space="0" w:color="auto"/>
              <w:left w:val="single" w:sz="4" w:space="0" w:color="auto"/>
              <w:bottom w:val="single" w:sz="4" w:space="0" w:color="auto"/>
              <w:right w:val="single" w:sz="4" w:space="0" w:color="auto"/>
            </w:tcBorders>
            <w:shd w:val="clear" w:color="000000" w:fill="DAF2D0"/>
            <w:vAlign w:val="center"/>
            <w:hideMark/>
          </w:tcPr>
          <w:p w14:paraId="708C2E82" w14:textId="77777777" w:rsidR="00F15440" w:rsidRPr="00977B59" w:rsidRDefault="00F15440" w:rsidP="00E46DC2">
            <w:pPr>
              <w:spacing w:after="0" w:line="240" w:lineRule="auto"/>
              <w:rPr>
                <w:rFonts w:ascii="Calibri" w:eastAsia="Times New Roman" w:hAnsi="Calibri" w:cs="Calibri"/>
                <w:b/>
                <w:bCs/>
                <w:color w:val="000000"/>
                <w:sz w:val="21"/>
                <w:szCs w:val="21"/>
                <w:lang w:eastAsia="en-GB"/>
              </w:rPr>
            </w:pPr>
            <w:r w:rsidRPr="00977B59">
              <w:rPr>
                <w:rFonts w:ascii="Calibri" w:eastAsia="Times New Roman" w:hAnsi="Calibri" w:cs="Calibri"/>
                <w:b/>
                <w:bCs/>
                <w:color w:val="000000"/>
                <w:sz w:val="21"/>
                <w:szCs w:val="21"/>
                <w:lang w:eastAsia="en-GB"/>
              </w:rPr>
              <w:t>Natural capital</w:t>
            </w:r>
          </w:p>
        </w:tc>
        <w:tc>
          <w:tcPr>
            <w:tcW w:w="1123" w:type="pct"/>
            <w:tcBorders>
              <w:top w:val="single" w:sz="4" w:space="0" w:color="auto"/>
              <w:left w:val="single" w:sz="4" w:space="0" w:color="auto"/>
              <w:bottom w:val="single" w:sz="4" w:space="0" w:color="auto"/>
              <w:right w:val="single" w:sz="4" w:space="0" w:color="auto"/>
            </w:tcBorders>
            <w:shd w:val="clear" w:color="000000" w:fill="DAF2D0"/>
            <w:hideMark/>
          </w:tcPr>
          <w:p w14:paraId="4CE12062"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Completed write up for Ecosystem Restoration Code Competent Mode'</w:t>
            </w:r>
          </w:p>
        </w:tc>
        <w:tc>
          <w:tcPr>
            <w:tcW w:w="968" w:type="pct"/>
            <w:tcBorders>
              <w:left w:val="single" w:sz="4" w:space="0" w:color="auto"/>
            </w:tcBorders>
            <w:shd w:val="clear" w:color="000000" w:fill="D0D0D0"/>
            <w:hideMark/>
          </w:tcPr>
          <w:p w14:paraId="73A42817"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895" w:type="pct"/>
            <w:tcBorders>
              <w:top w:val="single" w:sz="4" w:space="0" w:color="auto"/>
            </w:tcBorders>
            <w:shd w:val="clear" w:color="000000" w:fill="D0D0D0"/>
            <w:hideMark/>
          </w:tcPr>
          <w:p w14:paraId="7BA2E80C"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747" w:type="pct"/>
            <w:shd w:val="clear" w:color="000000" w:fill="D0D0D0"/>
            <w:hideMark/>
          </w:tcPr>
          <w:p w14:paraId="33AD1191"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747" w:type="pct"/>
            <w:tcBorders>
              <w:bottom w:val="single" w:sz="4" w:space="0" w:color="auto"/>
              <w:right w:val="single" w:sz="4" w:space="0" w:color="auto"/>
            </w:tcBorders>
            <w:shd w:val="clear" w:color="000000" w:fill="D0D0D0"/>
            <w:hideMark/>
          </w:tcPr>
          <w:p w14:paraId="1187AF3C"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r>
      <w:tr w:rsidR="00977B59" w:rsidRPr="00977B59" w14:paraId="0A0BD1C6" w14:textId="77777777" w:rsidTr="00977B59">
        <w:trPr>
          <w:trHeight w:val="290"/>
        </w:trPr>
        <w:tc>
          <w:tcPr>
            <w:tcW w:w="520" w:type="pct"/>
            <w:tcBorders>
              <w:top w:val="single" w:sz="4" w:space="0" w:color="auto"/>
              <w:left w:val="single" w:sz="4" w:space="0" w:color="auto"/>
              <w:bottom w:val="single" w:sz="4" w:space="0" w:color="auto"/>
              <w:right w:val="single" w:sz="4" w:space="0" w:color="auto"/>
            </w:tcBorders>
            <w:shd w:val="clear" w:color="000000" w:fill="DAF2D0"/>
            <w:vAlign w:val="center"/>
            <w:hideMark/>
          </w:tcPr>
          <w:p w14:paraId="2DA90432" w14:textId="77777777" w:rsidR="00F15440" w:rsidRPr="00977B59" w:rsidRDefault="00F15440" w:rsidP="00E46DC2">
            <w:pPr>
              <w:spacing w:after="0" w:line="240" w:lineRule="auto"/>
              <w:rPr>
                <w:rFonts w:ascii="Calibri" w:eastAsia="Times New Roman" w:hAnsi="Calibri" w:cs="Calibri"/>
                <w:b/>
                <w:bCs/>
                <w:color w:val="000000"/>
                <w:sz w:val="21"/>
                <w:szCs w:val="21"/>
                <w:lang w:eastAsia="en-GB"/>
              </w:rPr>
            </w:pPr>
            <w:r w:rsidRPr="00977B59">
              <w:rPr>
                <w:rFonts w:ascii="Calibri" w:eastAsia="Times New Roman" w:hAnsi="Calibri" w:cs="Calibri"/>
                <w:b/>
                <w:bCs/>
                <w:color w:val="000000"/>
                <w:sz w:val="21"/>
                <w:szCs w:val="21"/>
                <w:lang w:eastAsia="en-GB"/>
              </w:rPr>
              <w:t>NWW</w:t>
            </w:r>
          </w:p>
        </w:tc>
        <w:tc>
          <w:tcPr>
            <w:tcW w:w="1123" w:type="pct"/>
            <w:tcBorders>
              <w:top w:val="single" w:sz="4" w:space="0" w:color="auto"/>
              <w:left w:val="single" w:sz="4" w:space="0" w:color="auto"/>
              <w:bottom w:val="single" w:sz="4" w:space="0" w:color="auto"/>
            </w:tcBorders>
            <w:shd w:val="clear" w:color="000000" w:fill="D0D0D0"/>
            <w:hideMark/>
          </w:tcPr>
          <w:p w14:paraId="4812B1B4"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968" w:type="pct"/>
            <w:tcBorders>
              <w:bottom w:val="single" w:sz="4" w:space="0" w:color="auto"/>
            </w:tcBorders>
            <w:shd w:val="clear" w:color="000000" w:fill="D0D0D0"/>
            <w:hideMark/>
          </w:tcPr>
          <w:p w14:paraId="1038216F"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895" w:type="pct"/>
            <w:tcBorders>
              <w:bottom w:val="single" w:sz="4" w:space="0" w:color="auto"/>
            </w:tcBorders>
            <w:shd w:val="clear" w:color="000000" w:fill="D0D0D0"/>
            <w:hideMark/>
          </w:tcPr>
          <w:p w14:paraId="54674709"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747" w:type="pct"/>
            <w:tcBorders>
              <w:bottom w:val="single" w:sz="4" w:space="0" w:color="auto"/>
              <w:right w:val="single" w:sz="4" w:space="0" w:color="auto"/>
            </w:tcBorders>
            <w:shd w:val="clear" w:color="000000" w:fill="D0D0D0"/>
            <w:hideMark/>
          </w:tcPr>
          <w:p w14:paraId="191D0874"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 </w:t>
            </w:r>
          </w:p>
        </w:tc>
        <w:tc>
          <w:tcPr>
            <w:tcW w:w="747" w:type="pct"/>
            <w:tcBorders>
              <w:top w:val="single" w:sz="4" w:space="0" w:color="auto"/>
              <w:left w:val="single" w:sz="4" w:space="0" w:color="auto"/>
              <w:bottom w:val="single" w:sz="4" w:space="0" w:color="auto"/>
              <w:right w:val="single" w:sz="4" w:space="0" w:color="auto"/>
            </w:tcBorders>
            <w:shd w:val="clear" w:color="000000" w:fill="DAF2D0"/>
            <w:hideMark/>
          </w:tcPr>
          <w:p w14:paraId="09D9F800" w14:textId="77777777" w:rsidR="00F15440" w:rsidRPr="00977B59" w:rsidRDefault="00F15440" w:rsidP="00E46DC2">
            <w:pPr>
              <w:spacing w:after="0" w:line="240" w:lineRule="auto"/>
              <w:rPr>
                <w:rFonts w:ascii="Calibri" w:eastAsia="Times New Roman" w:hAnsi="Calibri" w:cs="Calibri"/>
                <w:color w:val="000000"/>
                <w:sz w:val="21"/>
                <w:szCs w:val="21"/>
                <w:lang w:eastAsia="en-GB"/>
              </w:rPr>
            </w:pPr>
            <w:r w:rsidRPr="00977B59">
              <w:rPr>
                <w:rFonts w:ascii="Calibri" w:eastAsia="Times New Roman" w:hAnsi="Calibri" w:cs="Calibri"/>
                <w:color w:val="000000"/>
                <w:sz w:val="21"/>
                <w:szCs w:val="21"/>
                <w:lang w:eastAsia="en-GB"/>
              </w:rPr>
              <w:t>Corp Plan launch</w:t>
            </w:r>
          </w:p>
        </w:tc>
      </w:tr>
    </w:tbl>
    <w:p w14:paraId="41BECE23" w14:textId="77777777" w:rsidR="00977B59" w:rsidRDefault="00977B59">
      <w:pPr>
        <w:rPr>
          <w:rFonts w:ascii="Calibri" w:eastAsia="Calibri" w:hAnsi="Calibri" w:cs="Calibri"/>
          <w:b/>
          <w:szCs w:val="26"/>
        </w:rPr>
      </w:pPr>
      <w:r>
        <w:rPr>
          <w:rFonts w:eastAsia="Calibri"/>
        </w:rPr>
        <w:br w:type="page"/>
      </w:r>
    </w:p>
    <w:p w14:paraId="2F206DA4" w14:textId="2BD35750" w:rsidR="005E2BE8" w:rsidRPr="00977B59" w:rsidRDefault="005E2BE8" w:rsidP="00977B59">
      <w:pPr>
        <w:pStyle w:val="Heading2"/>
        <w:rPr>
          <w:rFonts w:eastAsia="Calibri"/>
        </w:rPr>
      </w:pPr>
      <w:r w:rsidRPr="000C51B3">
        <w:rPr>
          <w:rFonts w:eastAsia="Calibri"/>
        </w:rPr>
        <w:lastRenderedPageBreak/>
        <w:t>Figure 5 Longer Term Delivery Assessment</w:t>
      </w:r>
    </w:p>
    <w:tbl>
      <w:tblPr>
        <w:tblpPr w:leftFromText="180" w:rightFromText="180" w:vertAnchor="text" w:horzAnchor="margin" w:tblpY="-1"/>
        <w:tblW w:w="5000" w:type="pct"/>
        <w:tblLook w:val="04A0" w:firstRow="1" w:lastRow="0" w:firstColumn="1" w:lastColumn="0" w:noHBand="0" w:noVBand="1"/>
      </w:tblPr>
      <w:tblGrid>
        <w:gridCol w:w="1426"/>
        <w:gridCol w:w="1426"/>
        <w:gridCol w:w="1427"/>
        <w:gridCol w:w="1429"/>
        <w:gridCol w:w="1540"/>
        <w:gridCol w:w="1768"/>
      </w:tblGrid>
      <w:tr w:rsidR="005E2BE8" w:rsidRPr="000C51B3" w14:paraId="5D546745" w14:textId="77777777" w:rsidTr="00CE181B">
        <w:trPr>
          <w:trHeight w:val="290"/>
        </w:trPr>
        <w:tc>
          <w:tcPr>
            <w:tcW w:w="832" w:type="pct"/>
            <w:tcBorders>
              <w:top w:val="single" w:sz="4" w:space="0" w:color="auto"/>
              <w:left w:val="single" w:sz="4" w:space="0" w:color="auto"/>
              <w:bottom w:val="single" w:sz="4" w:space="0" w:color="auto"/>
              <w:right w:val="single" w:sz="4" w:space="0" w:color="auto"/>
            </w:tcBorders>
            <w:textDirection w:val="btLr"/>
            <w:vAlign w:val="bottom"/>
            <w:hideMark/>
          </w:tcPr>
          <w:p w14:paraId="0A1AEE72" w14:textId="77777777" w:rsidR="005E2BE8" w:rsidRPr="000C51B3" w:rsidRDefault="005E2BE8" w:rsidP="00CE181B">
            <w:pPr>
              <w:spacing w:after="0" w:line="240" w:lineRule="auto"/>
              <w:rPr>
                <w:rFonts w:ascii="Calibri" w:eastAsia="Times New Roman" w:hAnsi="Calibri" w:cs="Calibri"/>
                <w:color w:val="000000"/>
                <w:sz w:val="22"/>
                <w:lang w:eastAsia="en-GB"/>
              </w:rPr>
            </w:pPr>
            <w:r w:rsidRPr="000C51B3">
              <w:rPr>
                <w:rFonts w:ascii="Calibri" w:eastAsia="Times New Roman" w:hAnsi="Calibri" w:cs="Calibri"/>
                <w:color w:val="000000"/>
                <w:sz w:val="22"/>
                <w:lang w:eastAsia="en-GB"/>
              </w:rPr>
              <w:t> </w:t>
            </w:r>
          </w:p>
        </w:tc>
        <w:tc>
          <w:tcPr>
            <w:tcW w:w="832" w:type="pct"/>
            <w:tcBorders>
              <w:top w:val="single" w:sz="4" w:space="0" w:color="auto"/>
              <w:left w:val="nil"/>
              <w:bottom w:val="single" w:sz="4" w:space="0" w:color="auto"/>
              <w:right w:val="single" w:sz="4" w:space="0" w:color="auto"/>
            </w:tcBorders>
            <w:vAlign w:val="bottom"/>
            <w:hideMark/>
          </w:tcPr>
          <w:p w14:paraId="463A31ED" w14:textId="77777777" w:rsidR="005E2BE8" w:rsidRPr="000C51B3" w:rsidRDefault="005E2BE8" w:rsidP="00CE181B">
            <w:pPr>
              <w:spacing w:after="0" w:line="240" w:lineRule="auto"/>
              <w:rPr>
                <w:rFonts w:ascii="Calibri" w:eastAsia="Times New Roman" w:hAnsi="Calibri" w:cs="Calibri"/>
                <w:color w:val="000000"/>
                <w:sz w:val="22"/>
                <w:lang w:eastAsia="en-GB"/>
              </w:rPr>
            </w:pPr>
            <w:r w:rsidRPr="000C51B3">
              <w:rPr>
                <w:rFonts w:ascii="Calibri" w:eastAsia="Times New Roman" w:hAnsi="Calibri" w:cs="Calibri"/>
                <w:color w:val="000000"/>
                <w:sz w:val="22"/>
                <w:lang w:eastAsia="en-GB"/>
              </w:rPr>
              <w:t>1</w:t>
            </w:r>
          </w:p>
        </w:tc>
        <w:tc>
          <w:tcPr>
            <w:tcW w:w="832" w:type="pct"/>
            <w:tcBorders>
              <w:top w:val="single" w:sz="4" w:space="0" w:color="auto"/>
              <w:left w:val="nil"/>
              <w:bottom w:val="single" w:sz="4" w:space="0" w:color="auto"/>
              <w:right w:val="single" w:sz="4" w:space="0" w:color="auto"/>
            </w:tcBorders>
            <w:vAlign w:val="bottom"/>
            <w:hideMark/>
          </w:tcPr>
          <w:p w14:paraId="419A38E0" w14:textId="77777777" w:rsidR="005E2BE8" w:rsidRPr="000C51B3" w:rsidRDefault="005E2BE8" w:rsidP="00CE181B">
            <w:pPr>
              <w:spacing w:after="0" w:line="240" w:lineRule="auto"/>
              <w:rPr>
                <w:rFonts w:ascii="Calibri" w:eastAsia="Times New Roman" w:hAnsi="Calibri" w:cs="Calibri"/>
                <w:color w:val="000000"/>
                <w:sz w:val="22"/>
                <w:lang w:eastAsia="en-GB"/>
              </w:rPr>
            </w:pPr>
            <w:r w:rsidRPr="000C51B3">
              <w:rPr>
                <w:rFonts w:ascii="Calibri" w:eastAsia="Times New Roman" w:hAnsi="Calibri" w:cs="Calibri"/>
                <w:color w:val="000000"/>
                <w:sz w:val="22"/>
                <w:lang w:eastAsia="en-GB"/>
              </w:rPr>
              <w:t>2</w:t>
            </w:r>
          </w:p>
        </w:tc>
        <w:tc>
          <w:tcPr>
            <w:tcW w:w="833" w:type="pct"/>
            <w:tcBorders>
              <w:top w:val="single" w:sz="4" w:space="0" w:color="auto"/>
              <w:left w:val="nil"/>
              <w:bottom w:val="single" w:sz="4" w:space="0" w:color="auto"/>
              <w:right w:val="single" w:sz="4" w:space="0" w:color="auto"/>
            </w:tcBorders>
            <w:vAlign w:val="bottom"/>
            <w:hideMark/>
          </w:tcPr>
          <w:p w14:paraId="5484B2CE" w14:textId="77777777" w:rsidR="005E2BE8" w:rsidRPr="000C51B3" w:rsidRDefault="005E2BE8" w:rsidP="00CE181B">
            <w:pPr>
              <w:spacing w:after="0" w:line="240" w:lineRule="auto"/>
              <w:rPr>
                <w:rFonts w:ascii="Calibri" w:eastAsia="Times New Roman" w:hAnsi="Calibri" w:cs="Calibri"/>
                <w:color w:val="000000"/>
                <w:sz w:val="22"/>
                <w:lang w:eastAsia="en-GB"/>
              </w:rPr>
            </w:pPr>
            <w:r w:rsidRPr="000C51B3">
              <w:rPr>
                <w:rFonts w:ascii="Calibri" w:eastAsia="Times New Roman" w:hAnsi="Calibri" w:cs="Calibri"/>
                <w:color w:val="000000"/>
                <w:sz w:val="22"/>
                <w:lang w:eastAsia="en-GB"/>
              </w:rPr>
              <w:t>3</w:t>
            </w:r>
          </w:p>
        </w:tc>
        <w:tc>
          <w:tcPr>
            <w:tcW w:w="833" w:type="pct"/>
            <w:tcBorders>
              <w:top w:val="single" w:sz="4" w:space="0" w:color="auto"/>
              <w:left w:val="nil"/>
              <w:bottom w:val="single" w:sz="4" w:space="0" w:color="auto"/>
              <w:right w:val="single" w:sz="4" w:space="0" w:color="auto"/>
            </w:tcBorders>
            <w:vAlign w:val="bottom"/>
            <w:hideMark/>
          </w:tcPr>
          <w:p w14:paraId="01CC62FB" w14:textId="77777777" w:rsidR="005E2BE8" w:rsidRPr="000C51B3" w:rsidRDefault="005E2BE8" w:rsidP="00CE181B">
            <w:pPr>
              <w:spacing w:after="0" w:line="240" w:lineRule="auto"/>
              <w:rPr>
                <w:rFonts w:ascii="Calibri" w:eastAsia="Times New Roman" w:hAnsi="Calibri" w:cs="Calibri"/>
                <w:color w:val="000000"/>
                <w:sz w:val="22"/>
                <w:lang w:eastAsia="en-GB"/>
              </w:rPr>
            </w:pPr>
            <w:r w:rsidRPr="000C51B3">
              <w:rPr>
                <w:rFonts w:ascii="Calibri" w:eastAsia="Times New Roman" w:hAnsi="Calibri" w:cs="Calibri"/>
                <w:color w:val="000000"/>
                <w:sz w:val="22"/>
                <w:lang w:eastAsia="en-GB"/>
              </w:rPr>
              <w:t>4</w:t>
            </w:r>
          </w:p>
        </w:tc>
        <w:tc>
          <w:tcPr>
            <w:tcW w:w="837" w:type="pct"/>
            <w:tcBorders>
              <w:top w:val="single" w:sz="4" w:space="0" w:color="auto"/>
              <w:left w:val="nil"/>
              <w:bottom w:val="single" w:sz="4" w:space="0" w:color="auto"/>
              <w:right w:val="single" w:sz="4" w:space="0" w:color="auto"/>
            </w:tcBorders>
            <w:vAlign w:val="bottom"/>
            <w:hideMark/>
          </w:tcPr>
          <w:p w14:paraId="18FDD801" w14:textId="77777777" w:rsidR="005E2BE8" w:rsidRPr="000C51B3" w:rsidRDefault="005E2BE8" w:rsidP="00CE181B">
            <w:pPr>
              <w:spacing w:after="0" w:line="240" w:lineRule="auto"/>
              <w:rPr>
                <w:rFonts w:ascii="Calibri" w:eastAsia="Times New Roman" w:hAnsi="Calibri" w:cs="Calibri"/>
                <w:color w:val="000000"/>
                <w:sz w:val="22"/>
                <w:lang w:eastAsia="en-GB"/>
              </w:rPr>
            </w:pPr>
            <w:r w:rsidRPr="000C51B3">
              <w:rPr>
                <w:rFonts w:ascii="Calibri" w:eastAsia="Times New Roman" w:hAnsi="Calibri" w:cs="Calibri"/>
                <w:color w:val="000000"/>
                <w:sz w:val="22"/>
                <w:lang w:eastAsia="en-GB"/>
              </w:rPr>
              <w:t>5</w:t>
            </w:r>
          </w:p>
        </w:tc>
      </w:tr>
      <w:tr w:rsidR="005E2BE8" w:rsidRPr="000C51B3" w14:paraId="7D73BE48" w14:textId="77777777" w:rsidTr="00CE181B">
        <w:trPr>
          <w:trHeight w:val="600"/>
        </w:trPr>
        <w:tc>
          <w:tcPr>
            <w:tcW w:w="832" w:type="pct"/>
            <w:tcBorders>
              <w:top w:val="nil"/>
              <w:left w:val="single" w:sz="4" w:space="0" w:color="auto"/>
              <w:bottom w:val="single" w:sz="4" w:space="0" w:color="auto"/>
              <w:right w:val="single" w:sz="4" w:space="0" w:color="auto"/>
            </w:tcBorders>
            <w:vAlign w:val="bottom"/>
            <w:hideMark/>
          </w:tcPr>
          <w:p w14:paraId="0A0AA8CC" w14:textId="77777777" w:rsidR="005E2BE8" w:rsidRPr="000C51B3" w:rsidRDefault="005E2BE8" w:rsidP="00CE181B">
            <w:pPr>
              <w:spacing w:after="0" w:line="240" w:lineRule="auto"/>
              <w:rPr>
                <w:rFonts w:ascii="Calibri" w:eastAsia="Times New Roman" w:hAnsi="Calibri" w:cs="Calibri"/>
                <w:b/>
                <w:bCs/>
                <w:color w:val="000000"/>
                <w:szCs w:val="24"/>
                <w:lang w:eastAsia="en-GB"/>
              </w:rPr>
            </w:pPr>
          </w:p>
        </w:tc>
        <w:tc>
          <w:tcPr>
            <w:tcW w:w="832" w:type="pct"/>
            <w:tcBorders>
              <w:top w:val="nil"/>
              <w:left w:val="nil"/>
              <w:bottom w:val="single" w:sz="4" w:space="0" w:color="auto"/>
              <w:right w:val="nil"/>
            </w:tcBorders>
            <w:vAlign w:val="center"/>
            <w:hideMark/>
          </w:tcPr>
          <w:p w14:paraId="55FA4EB5" w14:textId="77777777" w:rsidR="005E2BE8" w:rsidRPr="000C51B3" w:rsidRDefault="005E2BE8" w:rsidP="00CE181B">
            <w:pPr>
              <w:spacing w:after="0" w:line="240" w:lineRule="auto"/>
              <w:rPr>
                <w:rFonts w:ascii="Calibri" w:eastAsia="Times New Roman" w:hAnsi="Calibri" w:cs="Calibri"/>
                <w:b/>
                <w:bCs/>
                <w:color w:val="000000"/>
                <w:szCs w:val="24"/>
                <w:lang w:eastAsia="en-GB"/>
              </w:rPr>
            </w:pPr>
            <w:r w:rsidRPr="000C51B3">
              <w:rPr>
                <w:rFonts w:ascii="Calibri" w:eastAsia="Times New Roman" w:hAnsi="Calibri" w:cs="Calibri"/>
                <w:b/>
                <w:bCs/>
                <w:color w:val="000000"/>
                <w:szCs w:val="24"/>
                <w:lang w:eastAsia="en-GB"/>
              </w:rPr>
              <w:t>Drive nature positive change</w:t>
            </w:r>
          </w:p>
        </w:tc>
        <w:tc>
          <w:tcPr>
            <w:tcW w:w="832" w:type="pct"/>
            <w:tcBorders>
              <w:top w:val="nil"/>
              <w:left w:val="single" w:sz="4" w:space="0" w:color="auto"/>
              <w:bottom w:val="single" w:sz="4" w:space="0" w:color="auto"/>
              <w:right w:val="nil"/>
            </w:tcBorders>
            <w:vAlign w:val="center"/>
            <w:hideMark/>
          </w:tcPr>
          <w:p w14:paraId="7EAA6338" w14:textId="77777777" w:rsidR="005E2BE8" w:rsidRPr="000C51B3" w:rsidRDefault="005E2BE8" w:rsidP="00CE181B">
            <w:pPr>
              <w:spacing w:after="0" w:line="240" w:lineRule="auto"/>
              <w:rPr>
                <w:rFonts w:ascii="Calibri" w:eastAsia="Times New Roman" w:hAnsi="Calibri" w:cs="Calibri"/>
                <w:b/>
                <w:bCs/>
                <w:color w:val="000000"/>
                <w:szCs w:val="24"/>
                <w:lang w:eastAsia="en-GB"/>
              </w:rPr>
            </w:pPr>
            <w:r w:rsidRPr="000C51B3">
              <w:rPr>
                <w:rFonts w:ascii="Calibri" w:eastAsia="Times New Roman" w:hAnsi="Calibri" w:cs="Calibri"/>
                <w:b/>
                <w:bCs/>
                <w:color w:val="000000"/>
                <w:szCs w:val="24"/>
                <w:lang w:eastAsia="en-GB"/>
              </w:rPr>
              <w:t>Achieve</w:t>
            </w:r>
          </w:p>
          <w:p w14:paraId="69AD6A01" w14:textId="77777777" w:rsidR="005E2BE8" w:rsidRPr="000C51B3" w:rsidRDefault="005E2BE8" w:rsidP="00CE181B">
            <w:pPr>
              <w:spacing w:after="0" w:line="240" w:lineRule="auto"/>
              <w:rPr>
                <w:rFonts w:ascii="Calibri" w:eastAsia="Times New Roman" w:hAnsi="Calibri" w:cs="Calibri"/>
                <w:b/>
                <w:bCs/>
                <w:color w:val="000000"/>
                <w:szCs w:val="24"/>
                <w:lang w:eastAsia="en-GB"/>
              </w:rPr>
            </w:pPr>
            <w:r w:rsidRPr="000C51B3">
              <w:rPr>
                <w:rFonts w:ascii="Calibri" w:eastAsia="Times New Roman" w:hAnsi="Calibri" w:cs="Calibri"/>
                <w:b/>
                <w:bCs/>
                <w:color w:val="000000"/>
                <w:szCs w:val="24"/>
                <w:lang w:eastAsia="en-GB"/>
              </w:rPr>
              <w:t xml:space="preserve">30x30 </w:t>
            </w:r>
          </w:p>
        </w:tc>
        <w:tc>
          <w:tcPr>
            <w:tcW w:w="833" w:type="pct"/>
            <w:tcBorders>
              <w:top w:val="nil"/>
              <w:left w:val="single" w:sz="4" w:space="0" w:color="auto"/>
              <w:bottom w:val="single" w:sz="4" w:space="0" w:color="auto"/>
              <w:right w:val="nil"/>
            </w:tcBorders>
            <w:vAlign w:val="center"/>
            <w:hideMark/>
          </w:tcPr>
          <w:p w14:paraId="3CC8A292" w14:textId="77777777" w:rsidR="005E2BE8" w:rsidRPr="000C51B3" w:rsidRDefault="005E2BE8" w:rsidP="00CE181B">
            <w:pPr>
              <w:spacing w:after="0" w:line="240" w:lineRule="auto"/>
              <w:rPr>
                <w:rFonts w:ascii="Calibri" w:eastAsia="Times New Roman" w:hAnsi="Calibri" w:cs="Calibri"/>
                <w:b/>
                <w:bCs/>
                <w:color w:val="000000"/>
                <w:szCs w:val="24"/>
                <w:lang w:eastAsia="en-GB"/>
              </w:rPr>
            </w:pPr>
            <w:r w:rsidRPr="000C51B3">
              <w:rPr>
                <w:rFonts w:ascii="Calibri" w:eastAsia="Times New Roman" w:hAnsi="Calibri" w:cs="Calibri"/>
                <w:b/>
                <w:bCs/>
                <w:color w:val="000000"/>
                <w:szCs w:val="24"/>
                <w:lang w:eastAsia="en-GB"/>
              </w:rPr>
              <w:t xml:space="preserve">Increase P&amp;PS investment </w:t>
            </w:r>
          </w:p>
        </w:tc>
        <w:tc>
          <w:tcPr>
            <w:tcW w:w="833" w:type="pct"/>
            <w:tcBorders>
              <w:top w:val="nil"/>
              <w:left w:val="single" w:sz="4" w:space="0" w:color="auto"/>
              <w:bottom w:val="single" w:sz="4" w:space="0" w:color="auto"/>
              <w:right w:val="nil"/>
            </w:tcBorders>
            <w:vAlign w:val="center"/>
            <w:hideMark/>
          </w:tcPr>
          <w:p w14:paraId="78119EB1" w14:textId="77777777" w:rsidR="005E2BE8" w:rsidRPr="000C51B3" w:rsidRDefault="005E2BE8" w:rsidP="00CE181B">
            <w:pPr>
              <w:spacing w:after="0" w:line="240" w:lineRule="auto"/>
              <w:rPr>
                <w:rFonts w:ascii="Calibri" w:eastAsia="Times New Roman" w:hAnsi="Calibri" w:cs="Calibri"/>
                <w:b/>
                <w:bCs/>
                <w:color w:val="000000"/>
                <w:szCs w:val="24"/>
                <w:lang w:eastAsia="en-GB"/>
              </w:rPr>
            </w:pPr>
            <w:r w:rsidRPr="000C51B3">
              <w:rPr>
                <w:rFonts w:ascii="Calibri" w:eastAsia="Times New Roman" w:hAnsi="Calibri" w:cs="Calibri"/>
                <w:b/>
                <w:bCs/>
                <w:color w:val="000000"/>
                <w:szCs w:val="24"/>
                <w:lang w:eastAsia="en-GB"/>
              </w:rPr>
              <w:t>Land &amp; wildlife management</w:t>
            </w:r>
          </w:p>
        </w:tc>
        <w:tc>
          <w:tcPr>
            <w:tcW w:w="837" w:type="pct"/>
            <w:tcBorders>
              <w:top w:val="nil"/>
              <w:left w:val="single" w:sz="4" w:space="0" w:color="auto"/>
              <w:bottom w:val="single" w:sz="4" w:space="0" w:color="auto"/>
              <w:right w:val="single" w:sz="4" w:space="0" w:color="auto"/>
            </w:tcBorders>
            <w:vAlign w:val="center"/>
            <w:hideMark/>
          </w:tcPr>
          <w:p w14:paraId="5701DC78" w14:textId="77777777" w:rsidR="005E2BE8" w:rsidRPr="000C51B3" w:rsidRDefault="005E2BE8" w:rsidP="00CE181B">
            <w:pPr>
              <w:spacing w:after="0" w:line="240" w:lineRule="auto"/>
              <w:rPr>
                <w:rFonts w:ascii="Calibri" w:eastAsia="Times New Roman" w:hAnsi="Calibri" w:cs="Calibri"/>
                <w:b/>
                <w:bCs/>
                <w:color w:val="000000"/>
                <w:szCs w:val="24"/>
                <w:lang w:eastAsia="en-GB"/>
              </w:rPr>
            </w:pPr>
            <w:r w:rsidRPr="000C51B3">
              <w:rPr>
                <w:rFonts w:ascii="Calibri" w:eastAsia="Times New Roman" w:hAnsi="Calibri" w:cs="Calibri"/>
                <w:b/>
                <w:bCs/>
                <w:color w:val="000000"/>
                <w:szCs w:val="24"/>
                <w:lang w:eastAsia="en-GB"/>
              </w:rPr>
              <w:t xml:space="preserve">Transformation </w:t>
            </w:r>
          </w:p>
        </w:tc>
      </w:tr>
      <w:tr w:rsidR="005E2BE8" w:rsidRPr="000C51B3" w14:paraId="0B0DEDBF" w14:textId="77777777" w:rsidTr="00CE181B">
        <w:trPr>
          <w:trHeight w:val="290"/>
        </w:trPr>
        <w:tc>
          <w:tcPr>
            <w:tcW w:w="832" w:type="pct"/>
            <w:tcBorders>
              <w:top w:val="nil"/>
              <w:left w:val="single" w:sz="4" w:space="0" w:color="auto"/>
              <w:bottom w:val="single" w:sz="4" w:space="0" w:color="auto"/>
              <w:right w:val="nil"/>
            </w:tcBorders>
            <w:shd w:val="clear" w:color="auto" w:fill="FFC000"/>
            <w:vAlign w:val="center"/>
            <w:hideMark/>
          </w:tcPr>
          <w:p w14:paraId="5C57D66D" w14:textId="77777777" w:rsidR="005E2BE8" w:rsidRPr="000C51B3" w:rsidRDefault="005E2BE8" w:rsidP="00CE181B">
            <w:pPr>
              <w:spacing w:after="0" w:line="240" w:lineRule="auto"/>
              <w:rPr>
                <w:rFonts w:ascii="Calibri" w:eastAsia="Times New Roman" w:hAnsi="Calibri" w:cs="Calibri"/>
                <w:b/>
                <w:bCs/>
                <w:color w:val="000000"/>
                <w:szCs w:val="24"/>
                <w:lang w:eastAsia="en-GB"/>
              </w:rPr>
            </w:pPr>
            <w:r w:rsidRPr="000C51B3">
              <w:rPr>
                <w:rFonts w:ascii="Calibri" w:eastAsia="Times New Roman" w:hAnsi="Calibri" w:cs="Calibri"/>
                <w:b/>
                <w:bCs/>
                <w:color w:val="000000"/>
                <w:szCs w:val="24"/>
                <w:lang w:eastAsia="en-GB"/>
              </w:rPr>
              <w:t>30x30</w:t>
            </w:r>
          </w:p>
        </w:tc>
        <w:tc>
          <w:tcPr>
            <w:tcW w:w="832" w:type="pct"/>
            <w:tcBorders>
              <w:top w:val="nil"/>
              <w:left w:val="single" w:sz="4" w:space="0" w:color="auto"/>
              <w:bottom w:val="nil"/>
              <w:right w:val="nil"/>
            </w:tcBorders>
            <w:shd w:val="clear" w:color="000000" w:fill="D0D0D0"/>
            <w:hideMark/>
          </w:tcPr>
          <w:p w14:paraId="30CA009F"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c>
          <w:tcPr>
            <w:tcW w:w="832" w:type="pct"/>
            <w:tcBorders>
              <w:top w:val="nil"/>
              <w:left w:val="single" w:sz="4" w:space="0" w:color="auto"/>
              <w:bottom w:val="single" w:sz="4" w:space="0" w:color="auto"/>
              <w:right w:val="single" w:sz="4" w:space="0" w:color="auto"/>
            </w:tcBorders>
            <w:shd w:val="clear" w:color="auto" w:fill="FFC000"/>
            <w:hideMark/>
          </w:tcPr>
          <w:p w14:paraId="50869240" w14:textId="77777777" w:rsidR="005E2BE8" w:rsidRPr="00977B59" w:rsidRDefault="005E2BE8" w:rsidP="00CE181B">
            <w:pPr>
              <w:spacing w:after="0" w:line="240" w:lineRule="auto"/>
              <w:jc w:val="center"/>
              <w:rPr>
                <w:rFonts w:ascii="Calibri" w:eastAsia="Times New Roman" w:hAnsi="Calibri" w:cs="Calibri"/>
                <w:b/>
                <w:bCs/>
                <w:color w:val="000000"/>
                <w:sz w:val="22"/>
                <w:lang w:eastAsia="en-GB"/>
              </w:rPr>
            </w:pPr>
            <w:r w:rsidRPr="00977B59">
              <w:rPr>
                <w:rFonts w:ascii="Calibri" w:eastAsia="Times New Roman" w:hAnsi="Calibri" w:cs="Calibri"/>
                <w:b/>
                <w:bCs/>
                <w:color w:val="000000"/>
                <w:sz w:val="22"/>
                <w:lang w:eastAsia="en-GB"/>
              </w:rPr>
              <w:t>AMBER</w:t>
            </w:r>
          </w:p>
        </w:tc>
        <w:tc>
          <w:tcPr>
            <w:tcW w:w="833" w:type="pct"/>
            <w:tcBorders>
              <w:top w:val="nil"/>
              <w:left w:val="nil"/>
              <w:bottom w:val="nil"/>
            </w:tcBorders>
            <w:shd w:val="clear" w:color="000000" w:fill="D0D0D0"/>
            <w:hideMark/>
          </w:tcPr>
          <w:p w14:paraId="55A58DD2"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c>
          <w:tcPr>
            <w:tcW w:w="833" w:type="pct"/>
            <w:tcBorders>
              <w:top w:val="single" w:sz="4" w:space="0" w:color="auto"/>
              <w:bottom w:val="single" w:sz="4" w:space="0" w:color="auto"/>
              <w:right w:val="nil"/>
            </w:tcBorders>
            <w:shd w:val="clear" w:color="000000" w:fill="D0D0D0"/>
            <w:hideMark/>
          </w:tcPr>
          <w:p w14:paraId="4B3E92B2"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c>
          <w:tcPr>
            <w:tcW w:w="837" w:type="pct"/>
            <w:tcBorders>
              <w:top w:val="nil"/>
              <w:left w:val="nil"/>
              <w:bottom w:val="nil"/>
              <w:right w:val="single" w:sz="4" w:space="0" w:color="auto"/>
            </w:tcBorders>
            <w:shd w:val="clear" w:color="000000" w:fill="D0D0D0"/>
            <w:hideMark/>
          </w:tcPr>
          <w:p w14:paraId="3A8E9599"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r>
      <w:tr w:rsidR="005E2BE8" w:rsidRPr="000C51B3" w14:paraId="3CB63B75" w14:textId="77777777" w:rsidTr="00CE181B">
        <w:trPr>
          <w:trHeight w:val="520"/>
        </w:trPr>
        <w:tc>
          <w:tcPr>
            <w:tcW w:w="832" w:type="pct"/>
            <w:tcBorders>
              <w:top w:val="nil"/>
              <w:left w:val="single" w:sz="4" w:space="0" w:color="auto"/>
              <w:bottom w:val="single" w:sz="4" w:space="0" w:color="auto"/>
              <w:right w:val="nil"/>
            </w:tcBorders>
            <w:shd w:val="clear" w:color="auto" w:fill="FFC000"/>
            <w:vAlign w:val="center"/>
            <w:hideMark/>
          </w:tcPr>
          <w:p w14:paraId="30665FBA" w14:textId="77777777" w:rsidR="005E2BE8" w:rsidRPr="000C51B3" w:rsidRDefault="005E2BE8" w:rsidP="00CE181B">
            <w:pPr>
              <w:spacing w:after="0" w:line="240" w:lineRule="auto"/>
              <w:rPr>
                <w:rFonts w:ascii="Calibri" w:eastAsia="Times New Roman" w:hAnsi="Calibri" w:cs="Calibri"/>
                <w:b/>
                <w:bCs/>
                <w:color w:val="000000"/>
                <w:szCs w:val="24"/>
                <w:lang w:eastAsia="en-GB"/>
              </w:rPr>
            </w:pPr>
            <w:r w:rsidRPr="000C51B3">
              <w:rPr>
                <w:rFonts w:ascii="Calibri" w:eastAsia="Times New Roman" w:hAnsi="Calibri" w:cs="Calibri"/>
                <w:b/>
                <w:bCs/>
                <w:color w:val="000000"/>
                <w:szCs w:val="24"/>
                <w:lang w:eastAsia="en-GB"/>
              </w:rPr>
              <w:t xml:space="preserve">Manage deer </w:t>
            </w:r>
            <w:r w:rsidRPr="000C51B3">
              <w:rPr>
                <w:rFonts w:ascii="Calibri" w:eastAsia="Times New Roman" w:hAnsi="Calibri" w:cs="Calibri"/>
                <w:b/>
                <w:bCs/>
                <w:color w:val="000000"/>
                <w:szCs w:val="24"/>
                <w:lang w:eastAsia="en-GB"/>
              </w:rPr>
              <w:br/>
              <w:t>&amp; wildlife</w:t>
            </w:r>
          </w:p>
        </w:tc>
        <w:tc>
          <w:tcPr>
            <w:tcW w:w="832" w:type="pct"/>
            <w:tcBorders>
              <w:top w:val="nil"/>
              <w:left w:val="single" w:sz="4" w:space="0" w:color="auto"/>
              <w:bottom w:val="nil"/>
              <w:right w:val="nil"/>
            </w:tcBorders>
            <w:shd w:val="clear" w:color="000000" w:fill="D0D0D0"/>
            <w:hideMark/>
          </w:tcPr>
          <w:p w14:paraId="627323E8"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c>
          <w:tcPr>
            <w:tcW w:w="832" w:type="pct"/>
            <w:tcBorders>
              <w:top w:val="nil"/>
              <w:left w:val="nil"/>
              <w:bottom w:val="nil"/>
              <w:right w:val="nil"/>
            </w:tcBorders>
            <w:shd w:val="clear" w:color="000000" w:fill="D0D0D0"/>
            <w:hideMark/>
          </w:tcPr>
          <w:p w14:paraId="7635641A"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c>
          <w:tcPr>
            <w:tcW w:w="833" w:type="pct"/>
            <w:tcBorders>
              <w:top w:val="nil"/>
              <w:left w:val="nil"/>
              <w:bottom w:val="nil"/>
              <w:right w:val="nil"/>
            </w:tcBorders>
            <w:shd w:val="clear" w:color="000000" w:fill="D0D0D0"/>
            <w:hideMark/>
          </w:tcPr>
          <w:p w14:paraId="794E3E11"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c>
          <w:tcPr>
            <w:tcW w:w="833" w:type="pct"/>
            <w:tcBorders>
              <w:top w:val="single" w:sz="4" w:space="0" w:color="auto"/>
              <w:left w:val="single" w:sz="4" w:space="0" w:color="auto"/>
              <w:bottom w:val="single" w:sz="4" w:space="0" w:color="auto"/>
              <w:right w:val="single" w:sz="4" w:space="0" w:color="auto"/>
            </w:tcBorders>
            <w:shd w:val="clear" w:color="auto" w:fill="FFC000"/>
          </w:tcPr>
          <w:p w14:paraId="49AFFF7F"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b/>
                <w:bCs/>
                <w:color w:val="000000"/>
                <w:sz w:val="22"/>
                <w:lang w:eastAsia="en-GB"/>
              </w:rPr>
              <w:t>AMBER</w:t>
            </w:r>
          </w:p>
        </w:tc>
        <w:tc>
          <w:tcPr>
            <w:tcW w:w="837" w:type="pct"/>
            <w:tcBorders>
              <w:top w:val="nil"/>
              <w:left w:val="nil"/>
              <w:bottom w:val="nil"/>
              <w:right w:val="single" w:sz="4" w:space="0" w:color="auto"/>
            </w:tcBorders>
            <w:shd w:val="clear" w:color="000000" w:fill="D0D0D0"/>
            <w:hideMark/>
          </w:tcPr>
          <w:p w14:paraId="7FE98592"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r>
      <w:tr w:rsidR="005E2BE8" w:rsidRPr="000C51B3" w14:paraId="2217E437" w14:textId="77777777" w:rsidTr="00CE181B">
        <w:trPr>
          <w:trHeight w:val="420"/>
        </w:trPr>
        <w:tc>
          <w:tcPr>
            <w:tcW w:w="832" w:type="pct"/>
            <w:tcBorders>
              <w:top w:val="nil"/>
              <w:left w:val="single" w:sz="4" w:space="0" w:color="auto"/>
              <w:bottom w:val="single" w:sz="4" w:space="0" w:color="auto"/>
              <w:right w:val="nil"/>
            </w:tcBorders>
            <w:shd w:val="clear" w:color="auto" w:fill="FFC000"/>
            <w:vAlign w:val="center"/>
            <w:hideMark/>
          </w:tcPr>
          <w:p w14:paraId="3613D670" w14:textId="77777777" w:rsidR="005E2BE8" w:rsidRPr="000C51B3" w:rsidRDefault="005E2BE8" w:rsidP="00CE181B">
            <w:pPr>
              <w:spacing w:after="0" w:line="240" w:lineRule="auto"/>
              <w:rPr>
                <w:rFonts w:ascii="Calibri" w:eastAsia="Times New Roman" w:hAnsi="Calibri" w:cs="Calibri"/>
                <w:b/>
                <w:bCs/>
                <w:color w:val="000000"/>
                <w:szCs w:val="24"/>
                <w:lang w:eastAsia="en-GB"/>
              </w:rPr>
            </w:pPr>
            <w:r w:rsidRPr="000C51B3">
              <w:rPr>
                <w:rFonts w:ascii="Calibri" w:eastAsia="Times New Roman" w:hAnsi="Calibri" w:cs="Calibri"/>
                <w:b/>
                <w:bCs/>
                <w:color w:val="000000"/>
                <w:szCs w:val="24"/>
                <w:shd w:val="clear" w:color="auto" w:fill="FFC000"/>
                <w:lang w:eastAsia="en-GB"/>
              </w:rPr>
              <w:t>Planning &amp;reg</w:t>
            </w:r>
            <w:r w:rsidRPr="000C51B3">
              <w:rPr>
                <w:rFonts w:ascii="Calibri" w:eastAsia="Times New Roman" w:hAnsi="Calibri" w:cs="Calibri"/>
                <w:b/>
                <w:bCs/>
                <w:color w:val="000000"/>
                <w:szCs w:val="24"/>
                <w:lang w:eastAsia="en-GB"/>
              </w:rPr>
              <w:t>.</w:t>
            </w:r>
          </w:p>
        </w:tc>
        <w:tc>
          <w:tcPr>
            <w:tcW w:w="832" w:type="pct"/>
            <w:tcBorders>
              <w:top w:val="nil"/>
              <w:left w:val="single" w:sz="4" w:space="0" w:color="auto"/>
              <w:bottom w:val="nil"/>
              <w:right w:val="nil"/>
            </w:tcBorders>
            <w:shd w:val="clear" w:color="000000" w:fill="D0D0D0"/>
            <w:hideMark/>
          </w:tcPr>
          <w:p w14:paraId="321665D9"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c>
          <w:tcPr>
            <w:tcW w:w="832" w:type="pct"/>
            <w:tcBorders>
              <w:top w:val="nil"/>
              <w:left w:val="nil"/>
              <w:bottom w:val="nil"/>
              <w:right w:val="nil"/>
            </w:tcBorders>
            <w:shd w:val="clear" w:color="000000" w:fill="D0D0D0"/>
            <w:hideMark/>
          </w:tcPr>
          <w:p w14:paraId="204E0389"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c>
          <w:tcPr>
            <w:tcW w:w="833" w:type="pct"/>
            <w:tcBorders>
              <w:top w:val="single" w:sz="4" w:space="0" w:color="auto"/>
              <w:left w:val="single" w:sz="4" w:space="0" w:color="auto"/>
              <w:bottom w:val="single" w:sz="4" w:space="0" w:color="auto"/>
              <w:right w:val="single" w:sz="4" w:space="0" w:color="auto"/>
            </w:tcBorders>
            <w:shd w:val="clear" w:color="auto" w:fill="FFC000"/>
            <w:hideMark/>
          </w:tcPr>
          <w:p w14:paraId="6BEA601B"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b/>
                <w:bCs/>
                <w:color w:val="000000"/>
                <w:sz w:val="22"/>
                <w:lang w:eastAsia="en-GB"/>
              </w:rPr>
              <w:t>AMBER</w:t>
            </w:r>
          </w:p>
        </w:tc>
        <w:tc>
          <w:tcPr>
            <w:tcW w:w="833" w:type="pct"/>
            <w:tcBorders>
              <w:top w:val="nil"/>
              <w:left w:val="nil"/>
              <w:bottom w:val="nil"/>
              <w:right w:val="nil"/>
            </w:tcBorders>
            <w:shd w:val="clear" w:color="000000" w:fill="D0D0D0"/>
            <w:hideMark/>
          </w:tcPr>
          <w:p w14:paraId="1975D4A3"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c>
          <w:tcPr>
            <w:tcW w:w="837" w:type="pct"/>
            <w:tcBorders>
              <w:top w:val="nil"/>
              <w:left w:val="nil"/>
              <w:bottom w:val="nil"/>
              <w:right w:val="single" w:sz="4" w:space="0" w:color="auto"/>
            </w:tcBorders>
            <w:shd w:val="clear" w:color="000000" w:fill="D0D0D0"/>
            <w:hideMark/>
          </w:tcPr>
          <w:p w14:paraId="586B292F"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r>
      <w:tr w:rsidR="005E2BE8" w:rsidRPr="000C51B3" w14:paraId="333DDF65" w14:textId="77777777" w:rsidTr="00CE181B">
        <w:trPr>
          <w:trHeight w:val="420"/>
        </w:trPr>
        <w:tc>
          <w:tcPr>
            <w:tcW w:w="832" w:type="pct"/>
            <w:tcBorders>
              <w:top w:val="nil"/>
              <w:left w:val="single" w:sz="4" w:space="0" w:color="auto"/>
              <w:bottom w:val="single" w:sz="4" w:space="0" w:color="auto"/>
              <w:right w:val="nil"/>
            </w:tcBorders>
            <w:shd w:val="clear" w:color="auto" w:fill="D6E3BC" w:themeFill="accent3" w:themeFillTint="66"/>
            <w:vAlign w:val="center"/>
            <w:hideMark/>
          </w:tcPr>
          <w:p w14:paraId="099ADA4A" w14:textId="77777777" w:rsidR="005E2BE8" w:rsidRPr="000C51B3" w:rsidRDefault="005E2BE8" w:rsidP="00CE181B">
            <w:pPr>
              <w:spacing w:after="0" w:line="240" w:lineRule="auto"/>
              <w:rPr>
                <w:rFonts w:ascii="Calibri" w:eastAsia="Times New Roman" w:hAnsi="Calibri" w:cs="Calibri"/>
                <w:b/>
                <w:bCs/>
                <w:color w:val="000000"/>
                <w:szCs w:val="24"/>
                <w:lang w:eastAsia="en-GB"/>
              </w:rPr>
            </w:pPr>
            <w:r w:rsidRPr="000C51B3">
              <w:rPr>
                <w:rFonts w:ascii="Calibri" w:eastAsia="Times New Roman" w:hAnsi="Calibri" w:cs="Calibri"/>
                <w:b/>
                <w:bCs/>
                <w:color w:val="000000"/>
                <w:szCs w:val="24"/>
                <w:lang w:eastAsia="en-GB"/>
              </w:rPr>
              <w:t>Marine trans.</w:t>
            </w:r>
          </w:p>
        </w:tc>
        <w:tc>
          <w:tcPr>
            <w:tcW w:w="832"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4B5073A" w14:textId="77777777" w:rsidR="005E2BE8" w:rsidRPr="00977B59" w:rsidRDefault="005E2BE8" w:rsidP="00CE181B">
            <w:pPr>
              <w:spacing w:after="0" w:line="240" w:lineRule="auto"/>
              <w:jc w:val="center"/>
              <w:rPr>
                <w:rFonts w:ascii="Calibri" w:eastAsia="Times New Roman" w:hAnsi="Calibri" w:cs="Calibri"/>
                <w:b/>
                <w:bCs/>
                <w:color w:val="000000"/>
                <w:sz w:val="22"/>
                <w:lang w:eastAsia="en-GB"/>
              </w:rPr>
            </w:pPr>
            <w:r w:rsidRPr="00977B59">
              <w:rPr>
                <w:rFonts w:ascii="Calibri" w:eastAsia="Times New Roman" w:hAnsi="Calibri" w:cs="Calibri"/>
                <w:b/>
                <w:bCs/>
                <w:color w:val="000000"/>
                <w:sz w:val="22"/>
                <w:lang w:eastAsia="en-GB"/>
              </w:rPr>
              <w:t>GREEN</w:t>
            </w:r>
          </w:p>
        </w:tc>
        <w:tc>
          <w:tcPr>
            <w:tcW w:w="832" w:type="pct"/>
            <w:tcBorders>
              <w:top w:val="nil"/>
              <w:left w:val="nil"/>
              <w:bottom w:val="nil"/>
              <w:right w:val="nil"/>
            </w:tcBorders>
            <w:shd w:val="clear" w:color="000000" w:fill="D0D0D0"/>
            <w:hideMark/>
          </w:tcPr>
          <w:p w14:paraId="7FE2F456"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c>
          <w:tcPr>
            <w:tcW w:w="833" w:type="pct"/>
            <w:tcBorders>
              <w:top w:val="nil"/>
              <w:left w:val="single" w:sz="4" w:space="0" w:color="auto"/>
              <w:bottom w:val="single" w:sz="4" w:space="0" w:color="auto"/>
              <w:right w:val="single" w:sz="4" w:space="0" w:color="auto"/>
            </w:tcBorders>
            <w:shd w:val="clear" w:color="auto" w:fill="D6E3BC" w:themeFill="accent3" w:themeFillTint="66"/>
            <w:hideMark/>
          </w:tcPr>
          <w:p w14:paraId="40C49741"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b/>
                <w:bCs/>
                <w:color w:val="000000"/>
                <w:sz w:val="22"/>
                <w:lang w:eastAsia="en-GB"/>
              </w:rPr>
              <w:t>GREEN</w:t>
            </w:r>
          </w:p>
        </w:tc>
        <w:tc>
          <w:tcPr>
            <w:tcW w:w="833" w:type="pct"/>
            <w:tcBorders>
              <w:top w:val="nil"/>
              <w:left w:val="nil"/>
              <w:bottom w:val="nil"/>
              <w:right w:val="nil"/>
            </w:tcBorders>
            <w:shd w:val="clear" w:color="000000" w:fill="D0D0D0"/>
            <w:hideMark/>
          </w:tcPr>
          <w:p w14:paraId="50EB76F3"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c>
          <w:tcPr>
            <w:tcW w:w="837" w:type="pct"/>
            <w:tcBorders>
              <w:top w:val="nil"/>
              <w:left w:val="nil"/>
              <w:bottom w:val="nil"/>
              <w:right w:val="single" w:sz="4" w:space="0" w:color="auto"/>
            </w:tcBorders>
            <w:shd w:val="clear" w:color="000000" w:fill="D0D0D0"/>
            <w:hideMark/>
          </w:tcPr>
          <w:p w14:paraId="743F160D"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r>
      <w:tr w:rsidR="005E2BE8" w:rsidRPr="000C51B3" w14:paraId="759EC3FE" w14:textId="77777777" w:rsidTr="00CE181B">
        <w:trPr>
          <w:trHeight w:val="420"/>
        </w:trPr>
        <w:tc>
          <w:tcPr>
            <w:tcW w:w="832" w:type="pct"/>
            <w:tcBorders>
              <w:top w:val="nil"/>
              <w:left w:val="single" w:sz="4" w:space="0" w:color="auto"/>
              <w:bottom w:val="single" w:sz="4" w:space="0" w:color="auto"/>
              <w:right w:val="nil"/>
            </w:tcBorders>
            <w:shd w:val="clear" w:color="auto" w:fill="FFC000"/>
            <w:vAlign w:val="center"/>
            <w:hideMark/>
          </w:tcPr>
          <w:p w14:paraId="67AFE41B" w14:textId="77777777" w:rsidR="005E2BE8" w:rsidRPr="000C51B3" w:rsidRDefault="005E2BE8" w:rsidP="00CE181B">
            <w:pPr>
              <w:spacing w:after="0" w:line="240" w:lineRule="auto"/>
              <w:rPr>
                <w:rFonts w:ascii="Calibri" w:eastAsia="Times New Roman" w:hAnsi="Calibri" w:cs="Calibri"/>
                <w:b/>
                <w:bCs/>
                <w:color w:val="000000"/>
                <w:szCs w:val="24"/>
                <w:lang w:eastAsia="en-GB"/>
              </w:rPr>
            </w:pPr>
            <w:r w:rsidRPr="000C51B3">
              <w:rPr>
                <w:rFonts w:ascii="Calibri" w:eastAsia="Times New Roman" w:hAnsi="Calibri" w:cs="Calibri"/>
                <w:b/>
                <w:bCs/>
                <w:color w:val="000000"/>
                <w:szCs w:val="24"/>
                <w:lang w:eastAsia="en-GB"/>
              </w:rPr>
              <w:t>Peatland</w:t>
            </w:r>
          </w:p>
        </w:tc>
        <w:tc>
          <w:tcPr>
            <w:tcW w:w="832" w:type="pct"/>
            <w:tcBorders>
              <w:top w:val="nil"/>
              <w:left w:val="single" w:sz="4" w:space="0" w:color="auto"/>
              <w:bottom w:val="single" w:sz="4" w:space="0" w:color="auto"/>
              <w:right w:val="single" w:sz="4" w:space="0" w:color="auto"/>
            </w:tcBorders>
            <w:shd w:val="clear" w:color="auto" w:fill="FFC000"/>
            <w:hideMark/>
          </w:tcPr>
          <w:p w14:paraId="61CEC569" w14:textId="77777777" w:rsidR="005E2BE8" w:rsidRPr="00977B59" w:rsidRDefault="005E2BE8" w:rsidP="00CE181B">
            <w:pPr>
              <w:spacing w:after="0" w:line="240" w:lineRule="auto"/>
              <w:jc w:val="center"/>
              <w:rPr>
                <w:rFonts w:ascii="Calibri" w:eastAsia="Times New Roman" w:hAnsi="Calibri" w:cs="Calibri"/>
                <w:b/>
                <w:bCs/>
                <w:color w:val="000000"/>
                <w:sz w:val="22"/>
                <w:lang w:eastAsia="en-GB"/>
              </w:rPr>
            </w:pPr>
            <w:r w:rsidRPr="00977B59">
              <w:rPr>
                <w:rFonts w:ascii="Calibri" w:eastAsia="Times New Roman" w:hAnsi="Calibri" w:cs="Calibri"/>
                <w:b/>
                <w:bCs/>
                <w:color w:val="000000"/>
                <w:sz w:val="22"/>
                <w:lang w:eastAsia="en-GB"/>
              </w:rPr>
              <w:t>AMBER</w:t>
            </w:r>
          </w:p>
        </w:tc>
        <w:tc>
          <w:tcPr>
            <w:tcW w:w="832" w:type="pct"/>
            <w:tcBorders>
              <w:top w:val="nil"/>
              <w:left w:val="nil"/>
              <w:bottom w:val="nil"/>
              <w:right w:val="nil"/>
            </w:tcBorders>
            <w:shd w:val="clear" w:color="000000" w:fill="D0D0D0"/>
            <w:hideMark/>
          </w:tcPr>
          <w:p w14:paraId="547832AC"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c>
          <w:tcPr>
            <w:tcW w:w="833" w:type="pct"/>
            <w:tcBorders>
              <w:top w:val="nil"/>
              <w:left w:val="nil"/>
              <w:bottom w:val="nil"/>
              <w:right w:val="nil"/>
            </w:tcBorders>
            <w:shd w:val="clear" w:color="000000" w:fill="D0D0D0"/>
            <w:hideMark/>
          </w:tcPr>
          <w:p w14:paraId="223CCF0C"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p>
        </w:tc>
        <w:tc>
          <w:tcPr>
            <w:tcW w:w="833" w:type="pct"/>
            <w:tcBorders>
              <w:top w:val="nil"/>
              <w:left w:val="nil"/>
              <w:bottom w:val="nil"/>
              <w:right w:val="nil"/>
            </w:tcBorders>
            <w:shd w:val="clear" w:color="000000" w:fill="D0D0D0"/>
            <w:hideMark/>
          </w:tcPr>
          <w:p w14:paraId="11DFBBAE"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c>
          <w:tcPr>
            <w:tcW w:w="837" w:type="pct"/>
            <w:tcBorders>
              <w:top w:val="nil"/>
              <w:left w:val="nil"/>
              <w:bottom w:val="nil"/>
              <w:right w:val="single" w:sz="4" w:space="0" w:color="auto"/>
            </w:tcBorders>
            <w:shd w:val="clear" w:color="000000" w:fill="D0D0D0"/>
            <w:hideMark/>
          </w:tcPr>
          <w:p w14:paraId="4F2FBE27"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r>
      <w:tr w:rsidR="005E2BE8" w:rsidRPr="000C51B3" w14:paraId="369CE6F9" w14:textId="77777777" w:rsidTr="00CE181B">
        <w:trPr>
          <w:trHeight w:val="420"/>
        </w:trPr>
        <w:tc>
          <w:tcPr>
            <w:tcW w:w="832" w:type="pct"/>
            <w:tcBorders>
              <w:top w:val="nil"/>
              <w:left w:val="single" w:sz="4" w:space="0" w:color="auto"/>
              <w:bottom w:val="single" w:sz="4" w:space="0" w:color="auto"/>
              <w:right w:val="nil"/>
            </w:tcBorders>
            <w:shd w:val="clear" w:color="auto" w:fill="FFC000"/>
            <w:vAlign w:val="center"/>
            <w:hideMark/>
          </w:tcPr>
          <w:p w14:paraId="66D1E1B4" w14:textId="77777777" w:rsidR="005E2BE8" w:rsidRPr="000C51B3" w:rsidRDefault="005E2BE8" w:rsidP="00CE181B">
            <w:pPr>
              <w:spacing w:after="0" w:line="240" w:lineRule="auto"/>
              <w:rPr>
                <w:rFonts w:ascii="Calibri" w:eastAsia="Times New Roman" w:hAnsi="Calibri" w:cs="Calibri"/>
                <w:b/>
                <w:bCs/>
                <w:color w:val="000000"/>
                <w:szCs w:val="24"/>
                <w:lang w:eastAsia="en-GB"/>
              </w:rPr>
            </w:pPr>
            <w:r w:rsidRPr="000C51B3">
              <w:rPr>
                <w:rFonts w:ascii="Calibri" w:eastAsia="Times New Roman" w:hAnsi="Calibri" w:cs="Calibri"/>
                <w:b/>
                <w:bCs/>
                <w:color w:val="000000"/>
                <w:szCs w:val="24"/>
                <w:lang w:eastAsia="en-GB"/>
              </w:rPr>
              <w:t>Transform Ag.</w:t>
            </w:r>
          </w:p>
        </w:tc>
        <w:tc>
          <w:tcPr>
            <w:tcW w:w="832" w:type="pct"/>
            <w:tcBorders>
              <w:top w:val="nil"/>
              <w:left w:val="single" w:sz="4" w:space="0" w:color="auto"/>
              <w:bottom w:val="single" w:sz="4" w:space="0" w:color="auto"/>
              <w:right w:val="single" w:sz="4" w:space="0" w:color="auto"/>
            </w:tcBorders>
            <w:shd w:val="clear" w:color="auto" w:fill="FFC000"/>
            <w:hideMark/>
          </w:tcPr>
          <w:p w14:paraId="1CCCAF1A"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b/>
                <w:bCs/>
                <w:color w:val="000000"/>
                <w:sz w:val="22"/>
                <w:lang w:eastAsia="en-GB"/>
              </w:rPr>
              <w:t>AMBER</w:t>
            </w:r>
          </w:p>
        </w:tc>
        <w:tc>
          <w:tcPr>
            <w:tcW w:w="832" w:type="pct"/>
            <w:tcBorders>
              <w:top w:val="nil"/>
              <w:left w:val="nil"/>
              <w:bottom w:val="nil"/>
              <w:right w:val="nil"/>
            </w:tcBorders>
            <w:shd w:val="clear" w:color="000000" w:fill="D0D0D0"/>
            <w:hideMark/>
          </w:tcPr>
          <w:p w14:paraId="736643D2"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c>
          <w:tcPr>
            <w:tcW w:w="833" w:type="pct"/>
            <w:tcBorders>
              <w:top w:val="nil"/>
              <w:left w:val="nil"/>
              <w:bottom w:val="nil"/>
              <w:right w:val="nil"/>
            </w:tcBorders>
            <w:shd w:val="clear" w:color="000000" w:fill="D0D0D0"/>
            <w:hideMark/>
          </w:tcPr>
          <w:p w14:paraId="3544C527"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p>
        </w:tc>
        <w:tc>
          <w:tcPr>
            <w:tcW w:w="833" w:type="pct"/>
            <w:tcBorders>
              <w:top w:val="nil"/>
              <w:left w:val="nil"/>
              <w:bottom w:val="nil"/>
              <w:right w:val="nil"/>
            </w:tcBorders>
            <w:shd w:val="clear" w:color="000000" w:fill="D0D0D0"/>
            <w:hideMark/>
          </w:tcPr>
          <w:p w14:paraId="2A4C385E"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c>
          <w:tcPr>
            <w:tcW w:w="837" w:type="pct"/>
            <w:tcBorders>
              <w:top w:val="nil"/>
              <w:left w:val="nil"/>
              <w:bottom w:val="nil"/>
              <w:right w:val="single" w:sz="4" w:space="0" w:color="auto"/>
            </w:tcBorders>
            <w:shd w:val="clear" w:color="000000" w:fill="D0D0D0"/>
            <w:hideMark/>
          </w:tcPr>
          <w:p w14:paraId="491B47C3"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r>
      <w:tr w:rsidR="005E2BE8" w:rsidRPr="000C51B3" w14:paraId="3C153B09" w14:textId="77777777" w:rsidTr="00CE181B">
        <w:trPr>
          <w:trHeight w:val="420"/>
        </w:trPr>
        <w:tc>
          <w:tcPr>
            <w:tcW w:w="832" w:type="pct"/>
            <w:tcBorders>
              <w:top w:val="nil"/>
              <w:left w:val="single" w:sz="4" w:space="0" w:color="auto"/>
              <w:bottom w:val="single" w:sz="4" w:space="0" w:color="auto"/>
              <w:right w:val="nil"/>
            </w:tcBorders>
            <w:shd w:val="clear" w:color="auto" w:fill="FFC000"/>
            <w:vAlign w:val="center"/>
            <w:hideMark/>
          </w:tcPr>
          <w:p w14:paraId="3C559DD9" w14:textId="77777777" w:rsidR="005E2BE8" w:rsidRPr="000C51B3" w:rsidRDefault="005E2BE8" w:rsidP="00CE181B">
            <w:pPr>
              <w:spacing w:after="0" w:line="240" w:lineRule="auto"/>
              <w:rPr>
                <w:rFonts w:ascii="Calibri" w:eastAsia="Times New Roman" w:hAnsi="Calibri" w:cs="Calibri"/>
                <w:b/>
                <w:bCs/>
                <w:color w:val="000000"/>
                <w:szCs w:val="24"/>
                <w:lang w:eastAsia="en-GB"/>
              </w:rPr>
            </w:pPr>
            <w:r w:rsidRPr="000C51B3">
              <w:rPr>
                <w:rFonts w:ascii="Calibri" w:eastAsia="Times New Roman" w:hAnsi="Calibri" w:cs="Calibri"/>
                <w:b/>
                <w:bCs/>
                <w:color w:val="000000"/>
                <w:szCs w:val="24"/>
                <w:lang w:eastAsia="en-GB"/>
              </w:rPr>
              <w:t>Private sector inv.</w:t>
            </w:r>
          </w:p>
        </w:tc>
        <w:tc>
          <w:tcPr>
            <w:tcW w:w="832" w:type="pct"/>
            <w:tcBorders>
              <w:top w:val="nil"/>
              <w:left w:val="single" w:sz="4" w:space="0" w:color="auto"/>
              <w:bottom w:val="nil"/>
              <w:right w:val="nil"/>
            </w:tcBorders>
            <w:shd w:val="clear" w:color="000000" w:fill="D0D0D0"/>
            <w:hideMark/>
          </w:tcPr>
          <w:p w14:paraId="3B955AEF"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c>
          <w:tcPr>
            <w:tcW w:w="832" w:type="pct"/>
            <w:tcBorders>
              <w:top w:val="nil"/>
              <w:left w:val="nil"/>
              <w:bottom w:val="nil"/>
              <w:right w:val="nil"/>
            </w:tcBorders>
            <w:shd w:val="clear" w:color="000000" w:fill="D0D0D0"/>
            <w:hideMark/>
          </w:tcPr>
          <w:p w14:paraId="6BCE5924"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c>
          <w:tcPr>
            <w:tcW w:w="833" w:type="pct"/>
            <w:tcBorders>
              <w:top w:val="single" w:sz="4" w:space="0" w:color="auto"/>
              <w:left w:val="single" w:sz="4" w:space="0" w:color="auto"/>
              <w:bottom w:val="single" w:sz="4" w:space="0" w:color="auto"/>
              <w:right w:val="single" w:sz="4" w:space="0" w:color="auto"/>
            </w:tcBorders>
            <w:shd w:val="clear" w:color="auto" w:fill="FFC000"/>
            <w:hideMark/>
          </w:tcPr>
          <w:p w14:paraId="663E9D82" w14:textId="77777777" w:rsidR="005E2BE8" w:rsidRPr="00977B59" w:rsidRDefault="005E2BE8" w:rsidP="00CE181B">
            <w:pPr>
              <w:spacing w:after="0" w:line="240" w:lineRule="auto"/>
              <w:jc w:val="center"/>
              <w:rPr>
                <w:rFonts w:ascii="Calibri" w:eastAsia="Times New Roman" w:hAnsi="Calibri" w:cs="Calibri"/>
                <w:color w:val="FF0000"/>
                <w:sz w:val="22"/>
                <w:lang w:eastAsia="en-GB"/>
              </w:rPr>
            </w:pPr>
            <w:r w:rsidRPr="00977B59">
              <w:rPr>
                <w:rFonts w:ascii="Calibri" w:eastAsia="Times New Roman" w:hAnsi="Calibri" w:cs="Calibri"/>
                <w:b/>
                <w:bCs/>
                <w:color w:val="000000"/>
                <w:sz w:val="22"/>
                <w:lang w:eastAsia="en-GB"/>
              </w:rPr>
              <w:t>AMBER</w:t>
            </w:r>
          </w:p>
        </w:tc>
        <w:tc>
          <w:tcPr>
            <w:tcW w:w="833" w:type="pct"/>
            <w:tcBorders>
              <w:top w:val="nil"/>
              <w:left w:val="nil"/>
              <w:bottom w:val="nil"/>
              <w:right w:val="nil"/>
            </w:tcBorders>
            <w:shd w:val="clear" w:color="000000" w:fill="D0D0D0"/>
            <w:hideMark/>
          </w:tcPr>
          <w:p w14:paraId="0B2D5F91"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c>
          <w:tcPr>
            <w:tcW w:w="837" w:type="pct"/>
            <w:tcBorders>
              <w:top w:val="nil"/>
              <w:left w:val="nil"/>
              <w:bottom w:val="nil"/>
              <w:right w:val="single" w:sz="4" w:space="0" w:color="auto"/>
            </w:tcBorders>
            <w:shd w:val="clear" w:color="000000" w:fill="D0D0D0"/>
            <w:hideMark/>
          </w:tcPr>
          <w:p w14:paraId="66B80142"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r>
      <w:tr w:rsidR="005E2BE8" w:rsidRPr="000C51B3" w14:paraId="2F0CBE60" w14:textId="77777777" w:rsidTr="00CE181B">
        <w:trPr>
          <w:trHeight w:val="290"/>
        </w:trPr>
        <w:tc>
          <w:tcPr>
            <w:tcW w:w="832" w:type="pct"/>
            <w:tcBorders>
              <w:top w:val="nil"/>
              <w:left w:val="single" w:sz="4" w:space="0" w:color="auto"/>
              <w:bottom w:val="single" w:sz="4" w:space="0" w:color="auto"/>
              <w:right w:val="nil"/>
            </w:tcBorders>
            <w:shd w:val="clear" w:color="auto" w:fill="FFC000"/>
            <w:vAlign w:val="center"/>
            <w:hideMark/>
          </w:tcPr>
          <w:p w14:paraId="15869DFE" w14:textId="77777777" w:rsidR="005E2BE8" w:rsidRPr="000C51B3" w:rsidRDefault="005E2BE8" w:rsidP="00CE181B">
            <w:pPr>
              <w:spacing w:after="0" w:line="240" w:lineRule="auto"/>
              <w:rPr>
                <w:rFonts w:ascii="Calibri" w:eastAsia="Times New Roman" w:hAnsi="Calibri" w:cs="Calibri"/>
                <w:b/>
                <w:bCs/>
                <w:color w:val="000000"/>
                <w:szCs w:val="24"/>
                <w:lang w:eastAsia="en-GB"/>
              </w:rPr>
            </w:pPr>
            <w:r w:rsidRPr="000C51B3">
              <w:rPr>
                <w:rFonts w:ascii="Calibri" w:eastAsia="Times New Roman" w:hAnsi="Calibri" w:cs="Calibri"/>
                <w:b/>
                <w:bCs/>
                <w:color w:val="000000"/>
                <w:szCs w:val="24"/>
                <w:lang w:eastAsia="en-GB"/>
              </w:rPr>
              <w:t>Natural capital</w:t>
            </w:r>
          </w:p>
        </w:tc>
        <w:tc>
          <w:tcPr>
            <w:tcW w:w="832" w:type="pct"/>
            <w:tcBorders>
              <w:top w:val="single" w:sz="4" w:space="0" w:color="auto"/>
              <w:left w:val="single" w:sz="4" w:space="0" w:color="auto"/>
              <w:bottom w:val="single" w:sz="4" w:space="0" w:color="auto"/>
              <w:right w:val="single" w:sz="4" w:space="0" w:color="auto"/>
            </w:tcBorders>
            <w:shd w:val="clear" w:color="auto" w:fill="FFC000"/>
            <w:hideMark/>
          </w:tcPr>
          <w:p w14:paraId="6867C4F4"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b/>
                <w:bCs/>
                <w:color w:val="000000"/>
                <w:sz w:val="22"/>
                <w:lang w:eastAsia="en-GB"/>
              </w:rPr>
              <w:t>AMBER</w:t>
            </w:r>
          </w:p>
        </w:tc>
        <w:tc>
          <w:tcPr>
            <w:tcW w:w="832" w:type="pct"/>
            <w:tcBorders>
              <w:top w:val="nil"/>
              <w:left w:val="nil"/>
              <w:bottom w:val="nil"/>
              <w:right w:val="nil"/>
            </w:tcBorders>
            <w:shd w:val="clear" w:color="000000" w:fill="D0D0D0"/>
            <w:hideMark/>
          </w:tcPr>
          <w:p w14:paraId="6FFBC0DE"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c>
          <w:tcPr>
            <w:tcW w:w="833" w:type="pct"/>
            <w:tcBorders>
              <w:top w:val="nil"/>
              <w:left w:val="nil"/>
              <w:bottom w:val="nil"/>
              <w:right w:val="nil"/>
            </w:tcBorders>
            <w:shd w:val="clear" w:color="000000" w:fill="D0D0D0"/>
            <w:hideMark/>
          </w:tcPr>
          <w:p w14:paraId="28230AFF"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c>
          <w:tcPr>
            <w:tcW w:w="833" w:type="pct"/>
            <w:tcBorders>
              <w:top w:val="nil"/>
              <w:left w:val="nil"/>
              <w:bottom w:val="nil"/>
              <w:right w:val="nil"/>
            </w:tcBorders>
            <w:shd w:val="clear" w:color="000000" w:fill="D0D0D0"/>
            <w:hideMark/>
          </w:tcPr>
          <w:p w14:paraId="6369A656"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c>
          <w:tcPr>
            <w:tcW w:w="837" w:type="pct"/>
            <w:tcBorders>
              <w:top w:val="nil"/>
              <w:left w:val="nil"/>
              <w:bottom w:val="nil"/>
              <w:right w:val="single" w:sz="4" w:space="0" w:color="auto"/>
            </w:tcBorders>
            <w:shd w:val="clear" w:color="000000" w:fill="D0D0D0"/>
            <w:hideMark/>
          </w:tcPr>
          <w:p w14:paraId="671F18F1"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r>
      <w:tr w:rsidR="005E2BE8" w:rsidRPr="000C51B3" w14:paraId="689FEF1E" w14:textId="77777777" w:rsidTr="00CE181B">
        <w:trPr>
          <w:trHeight w:val="290"/>
        </w:trPr>
        <w:tc>
          <w:tcPr>
            <w:tcW w:w="832" w:type="pct"/>
            <w:tcBorders>
              <w:top w:val="nil"/>
              <w:left w:val="single" w:sz="4" w:space="0" w:color="auto"/>
              <w:bottom w:val="single" w:sz="4" w:space="0" w:color="auto"/>
              <w:right w:val="nil"/>
            </w:tcBorders>
            <w:shd w:val="clear" w:color="auto" w:fill="FFC000"/>
            <w:vAlign w:val="center"/>
            <w:hideMark/>
          </w:tcPr>
          <w:p w14:paraId="16F04723" w14:textId="77777777" w:rsidR="005E2BE8" w:rsidRPr="000C51B3" w:rsidRDefault="005E2BE8" w:rsidP="00CE181B">
            <w:pPr>
              <w:spacing w:after="0" w:line="240" w:lineRule="auto"/>
              <w:rPr>
                <w:rFonts w:ascii="Calibri" w:eastAsia="Times New Roman" w:hAnsi="Calibri" w:cs="Calibri"/>
                <w:b/>
                <w:bCs/>
                <w:color w:val="000000"/>
                <w:szCs w:val="24"/>
                <w:lang w:eastAsia="en-GB"/>
              </w:rPr>
            </w:pPr>
            <w:r w:rsidRPr="000C51B3">
              <w:rPr>
                <w:rFonts w:ascii="Calibri" w:eastAsia="Times New Roman" w:hAnsi="Calibri" w:cs="Calibri"/>
                <w:b/>
                <w:bCs/>
                <w:color w:val="000000"/>
                <w:szCs w:val="24"/>
                <w:lang w:eastAsia="en-GB"/>
              </w:rPr>
              <w:t>NWW</w:t>
            </w:r>
          </w:p>
        </w:tc>
        <w:tc>
          <w:tcPr>
            <w:tcW w:w="832" w:type="pct"/>
            <w:tcBorders>
              <w:top w:val="nil"/>
              <w:left w:val="single" w:sz="4" w:space="0" w:color="auto"/>
              <w:bottom w:val="single" w:sz="4" w:space="0" w:color="auto"/>
              <w:right w:val="nil"/>
            </w:tcBorders>
            <w:shd w:val="clear" w:color="000000" w:fill="D0D0D0"/>
            <w:hideMark/>
          </w:tcPr>
          <w:p w14:paraId="1AE5D086"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c>
          <w:tcPr>
            <w:tcW w:w="832" w:type="pct"/>
            <w:tcBorders>
              <w:top w:val="nil"/>
              <w:left w:val="nil"/>
              <w:bottom w:val="single" w:sz="4" w:space="0" w:color="auto"/>
              <w:right w:val="nil"/>
            </w:tcBorders>
            <w:shd w:val="clear" w:color="000000" w:fill="D0D0D0"/>
            <w:hideMark/>
          </w:tcPr>
          <w:p w14:paraId="7D7D711A"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c>
          <w:tcPr>
            <w:tcW w:w="833" w:type="pct"/>
            <w:tcBorders>
              <w:top w:val="nil"/>
              <w:left w:val="nil"/>
              <w:bottom w:val="single" w:sz="4" w:space="0" w:color="auto"/>
              <w:right w:val="nil"/>
            </w:tcBorders>
            <w:shd w:val="clear" w:color="000000" w:fill="D0D0D0"/>
            <w:hideMark/>
          </w:tcPr>
          <w:p w14:paraId="5068FD23"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c>
          <w:tcPr>
            <w:tcW w:w="833" w:type="pct"/>
            <w:tcBorders>
              <w:top w:val="nil"/>
              <w:left w:val="nil"/>
              <w:bottom w:val="single" w:sz="4" w:space="0" w:color="auto"/>
              <w:right w:val="nil"/>
            </w:tcBorders>
            <w:shd w:val="clear" w:color="000000" w:fill="D0D0D0"/>
            <w:hideMark/>
          </w:tcPr>
          <w:p w14:paraId="66C409F2"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color w:val="000000"/>
                <w:sz w:val="22"/>
                <w:lang w:eastAsia="en-GB"/>
              </w:rPr>
              <w:t>-</w:t>
            </w:r>
          </w:p>
        </w:tc>
        <w:tc>
          <w:tcPr>
            <w:tcW w:w="837" w:type="pct"/>
            <w:tcBorders>
              <w:top w:val="single" w:sz="4" w:space="0" w:color="auto"/>
              <w:left w:val="single" w:sz="4" w:space="0" w:color="auto"/>
              <w:bottom w:val="single" w:sz="4" w:space="0" w:color="auto"/>
              <w:right w:val="single" w:sz="4" w:space="0" w:color="auto"/>
            </w:tcBorders>
            <w:shd w:val="clear" w:color="auto" w:fill="FFC000"/>
            <w:hideMark/>
          </w:tcPr>
          <w:p w14:paraId="09BE67C7" w14:textId="77777777" w:rsidR="005E2BE8" w:rsidRPr="00977B59" w:rsidRDefault="005E2BE8" w:rsidP="00CE181B">
            <w:pPr>
              <w:spacing w:after="0" w:line="240" w:lineRule="auto"/>
              <w:jc w:val="center"/>
              <w:rPr>
                <w:rFonts w:ascii="Calibri" w:eastAsia="Times New Roman" w:hAnsi="Calibri" w:cs="Calibri"/>
                <w:color w:val="000000"/>
                <w:sz w:val="22"/>
                <w:lang w:eastAsia="en-GB"/>
              </w:rPr>
            </w:pPr>
            <w:r w:rsidRPr="00977B59">
              <w:rPr>
                <w:rFonts w:ascii="Calibri" w:eastAsia="Times New Roman" w:hAnsi="Calibri" w:cs="Calibri"/>
                <w:b/>
                <w:bCs/>
                <w:color w:val="000000"/>
                <w:sz w:val="22"/>
                <w:lang w:eastAsia="en-GB"/>
              </w:rPr>
              <w:t>AMBER</w:t>
            </w:r>
          </w:p>
        </w:tc>
      </w:tr>
    </w:tbl>
    <w:p w14:paraId="5AA54A15" w14:textId="77777777" w:rsidR="005E2BE8" w:rsidRPr="000C51B3" w:rsidRDefault="005E2BE8" w:rsidP="005E2BE8">
      <w:pPr>
        <w:rPr>
          <w:rFonts w:ascii="Calibri" w:hAnsi="Calibri" w:cs="Calibri"/>
        </w:rPr>
      </w:pPr>
    </w:p>
    <w:p w14:paraId="1217EEF5" w14:textId="46312EB5" w:rsidR="005E2BE8" w:rsidRPr="00977B59" w:rsidRDefault="005E2BE8" w:rsidP="00977B59">
      <w:pPr>
        <w:pStyle w:val="Heading2"/>
        <w:numPr>
          <w:ilvl w:val="0"/>
          <w:numId w:val="1"/>
        </w:numPr>
        <w:spacing w:line="360" w:lineRule="auto"/>
        <w:rPr>
          <w:b w:val="0"/>
          <w:bCs/>
        </w:rPr>
      </w:pPr>
      <w:r w:rsidRPr="00977B59">
        <w:rPr>
          <w:b w:val="0"/>
          <w:bCs/>
        </w:rPr>
        <w:t>Context for RAG ratings:</w:t>
      </w:r>
    </w:p>
    <w:p w14:paraId="3B36F2FD" w14:textId="61D4067A" w:rsidR="005E2BE8" w:rsidRPr="000C51B3" w:rsidRDefault="00A27078" w:rsidP="00977B59">
      <w:pPr>
        <w:numPr>
          <w:ilvl w:val="0"/>
          <w:numId w:val="13"/>
        </w:numPr>
        <w:spacing w:line="360" w:lineRule="auto"/>
        <w:rPr>
          <w:rFonts w:ascii="Calibri" w:hAnsi="Calibri" w:cs="Calibri"/>
        </w:rPr>
      </w:pPr>
      <w:r w:rsidRPr="000C51B3">
        <w:rPr>
          <w:rFonts w:ascii="Calibri" w:hAnsi="Calibri" w:cs="Calibri"/>
          <w:b/>
          <w:bCs/>
        </w:rPr>
        <w:t>30x30</w:t>
      </w:r>
      <w:r w:rsidRPr="000C51B3">
        <w:rPr>
          <w:rFonts w:ascii="Calibri" w:hAnsi="Calibri" w:cs="Calibri"/>
        </w:rPr>
        <w:t> –we are at the early stages and will learn from experience. The rating may be escalated to red if things don’t move forward at the pace necessary, due to lack of incentives or buy in from land managers.  The finalisation of arrangements for the Nature30 Panel has been a significant step forward.</w:t>
      </w:r>
    </w:p>
    <w:p w14:paraId="4614A069" w14:textId="7003B780" w:rsidR="005E2BE8" w:rsidRPr="000C51B3" w:rsidRDefault="005E2BE8" w:rsidP="00977B59">
      <w:pPr>
        <w:numPr>
          <w:ilvl w:val="0"/>
          <w:numId w:val="13"/>
        </w:numPr>
        <w:spacing w:line="360" w:lineRule="auto"/>
        <w:rPr>
          <w:rFonts w:ascii="Calibri" w:hAnsi="Calibri" w:cs="Calibri"/>
        </w:rPr>
      </w:pPr>
      <w:r w:rsidRPr="000C51B3">
        <w:rPr>
          <w:rFonts w:ascii="Calibri" w:hAnsi="Calibri" w:cs="Calibri"/>
          <w:b/>
          <w:bCs/>
        </w:rPr>
        <w:t>Marine</w:t>
      </w:r>
      <w:r w:rsidRPr="000C51B3">
        <w:rPr>
          <w:rFonts w:ascii="Calibri" w:hAnsi="Calibri" w:cs="Calibri"/>
        </w:rPr>
        <w:t xml:space="preserve"> – planned delivery for the next 2 years is on track, but a lot of activity is led by Marine Directorate</w:t>
      </w:r>
      <w:r w:rsidR="006A1E71" w:rsidRPr="000C51B3">
        <w:rPr>
          <w:rFonts w:ascii="Calibri" w:hAnsi="Calibri" w:cs="Calibri"/>
        </w:rPr>
        <w:t>,</w:t>
      </w:r>
      <w:r w:rsidRPr="000C51B3">
        <w:rPr>
          <w:rFonts w:ascii="Calibri" w:hAnsi="Calibri" w:cs="Calibri"/>
        </w:rPr>
        <w:t xml:space="preserve"> with our support</w:t>
      </w:r>
      <w:r w:rsidR="006A1E71" w:rsidRPr="000C51B3">
        <w:rPr>
          <w:rFonts w:ascii="Calibri" w:hAnsi="Calibri" w:cs="Calibri"/>
        </w:rPr>
        <w:t>,</w:t>
      </w:r>
      <w:r w:rsidRPr="000C51B3">
        <w:rPr>
          <w:rFonts w:ascii="Calibri" w:hAnsi="Calibri" w:cs="Calibri"/>
        </w:rPr>
        <w:t xml:space="preserve"> so there can be slippage outwith our control. </w:t>
      </w:r>
    </w:p>
    <w:p w14:paraId="7F2FCF34" w14:textId="2D5FA8A7" w:rsidR="00F842F6" w:rsidRPr="000C51B3" w:rsidRDefault="00F842F6" w:rsidP="00977B59">
      <w:pPr>
        <w:numPr>
          <w:ilvl w:val="0"/>
          <w:numId w:val="13"/>
        </w:numPr>
        <w:spacing w:line="360" w:lineRule="auto"/>
        <w:rPr>
          <w:rFonts w:ascii="Calibri" w:hAnsi="Calibri" w:cs="Calibri"/>
        </w:rPr>
      </w:pPr>
      <w:r w:rsidRPr="000C51B3">
        <w:rPr>
          <w:rFonts w:ascii="Calibri" w:hAnsi="Calibri" w:cs="Calibri"/>
          <w:b/>
          <w:bCs/>
        </w:rPr>
        <w:t xml:space="preserve">Deer </w:t>
      </w:r>
      <w:r w:rsidR="002412BB" w:rsidRPr="000C51B3">
        <w:rPr>
          <w:rFonts w:ascii="Calibri" w:hAnsi="Calibri" w:cs="Calibri"/>
          <w:b/>
          <w:bCs/>
        </w:rPr>
        <w:t>and</w:t>
      </w:r>
      <w:r w:rsidRPr="000C51B3">
        <w:rPr>
          <w:rFonts w:ascii="Calibri" w:hAnsi="Calibri" w:cs="Calibri"/>
          <w:b/>
          <w:bCs/>
        </w:rPr>
        <w:t xml:space="preserve"> WM</w:t>
      </w:r>
      <w:r w:rsidRPr="000C51B3">
        <w:rPr>
          <w:rFonts w:ascii="Calibri" w:hAnsi="Calibri" w:cs="Calibri"/>
        </w:rPr>
        <w:t xml:space="preserve"> – Change from red to amber due to greater clarity coming from the Natural Environment Act on the new policy and powers for us to intervene. Positive engagement over gull management measures. The rating remains amber recognising the challenge of the overall resource implications required to reduce deer numbers, and to manage stakeholder expectations across a range of species management issues.</w:t>
      </w:r>
    </w:p>
    <w:p w14:paraId="682D01FD" w14:textId="36555A6F" w:rsidR="00F842F6" w:rsidRPr="000C51B3" w:rsidRDefault="00F842F6" w:rsidP="00977B59">
      <w:pPr>
        <w:numPr>
          <w:ilvl w:val="0"/>
          <w:numId w:val="13"/>
        </w:numPr>
        <w:spacing w:line="360" w:lineRule="auto"/>
        <w:rPr>
          <w:rFonts w:ascii="Calibri" w:hAnsi="Calibri" w:cs="Calibri"/>
        </w:rPr>
      </w:pPr>
      <w:r w:rsidRPr="000C51B3">
        <w:rPr>
          <w:rFonts w:ascii="Calibri" w:hAnsi="Calibri" w:cs="Calibri"/>
          <w:b/>
          <w:bCs/>
        </w:rPr>
        <w:lastRenderedPageBreak/>
        <w:t>Private sector investment</w:t>
      </w:r>
      <w:r w:rsidRPr="000C51B3">
        <w:rPr>
          <w:rFonts w:ascii="Calibri" w:hAnsi="Calibri" w:cs="Calibri"/>
        </w:rPr>
        <w:t xml:space="preserve"> – Change from red to amber. We made good progress in Q4 with the launch of the Ecosystem Restoration Code (ERC) and Nature Exchange. Positive stakeholder engagement in both these mechanisms. The rating remains amber given future uncertainty over market confidence in the private investment sector.  </w:t>
      </w:r>
    </w:p>
    <w:p w14:paraId="21B229BE" w14:textId="037B204E" w:rsidR="00F842F6" w:rsidRPr="000C51B3" w:rsidRDefault="00F842F6" w:rsidP="00977B59">
      <w:pPr>
        <w:numPr>
          <w:ilvl w:val="0"/>
          <w:numId w:val="13"/>
        </w:numPr>
        <w:spacing w:line="360" w:lineRule="auto"/>
        <w:rPr>
          <w:rFonts w:ascii="Calibri" w:hAnsi="Calibri" w:cs="Calibri"/>
        </w:rPr>
      </w:pPr>
      <w:r w:rsidRPr="000C51B3">
        <w:rPr>
          <w:rFonts w:ascii="Calibri" w:hAnsi="Calibri" w:cs="Calibri"/>
          <w:b/>
          <w:bCs/>
        </w:rPr>
        <w:t>Peatland</w:t>
      </w:r>
      <w:r w:rsidRPr="000C51B3">
        <w:rPr>
          <w:rFonts w:ascii="Calibri" w:hAnsi="Calibri" w:cs="Calibri"/>
        </w:rPr>
        <w:t xml:space="preserve"> – change from green to amber - the outlook on meeting ambitions in the Climate Change Plan to deliver a 10% increase year on year by 2030 remains challenging.</w:t>
      </w:r>
    </w:p>
    <w:p w14:paraId="46B53258" w14:textId="3A1C5005" w:rsidR="00DB017B" w:rsidRPr="000C51B3" w:rsidRDefault="00DB017B" w:rsidP="00C03356">
      <w:pPr>
        <w:pStyle w:val="ListParagraph"/>
        <w:numPr>
          <w:ilvl w:val="0"/>
          <w:numId w:val="1"/>
        </w:numPr>
        <w:spacing w:before="240"/>
        <w:rPr>
          <w:rFonts w:ascii="Calibri" w:eastAsia="Times New Roman" w:hAnsi="Calibri" w:cs="Calibri"/>
          <w:sz w:val="28"/>
          <w:szCs w:val="28"/>
        </w:rPr>
      </w:pPr>
      <w:r w:rsidRPr="000C51B3">
        <w:rPr>
          <w:rFonts w:ascii="Calibri" w:hAnsi="Calibri" w:cs="Calibri"/>
        </w:rPr>
        <w:br w:type="page"/>
      </w:r>
    </w:p>
    <w:p w14:paraId="63E01AB8" w14:textId="77777777" w:rsidR="009A7229" w:rsidRPr="000C51B3" w:rsidRDefault="009A7229">
      <w:pPr>
        <w:pStyle w:val="ListParagraph"/>
        <w:numPr>
          <w:ilvl w:val="0"/>
          <w:numId w:val="5"/>
        </w:numPr>
        <w:rPr>
          <w:rFonts w:ascii="Calibri" w:hAnsi="Calibri" w:cs="Calibri"/>
        </w:rPr>
        <w:sectPr w:rsidR="009A7229" w:rsidRPr="000C51B3" w:rsidSect="00977B59">
          <w:headerReference w:type="default" r:id="rId13"/>
          <w:pgSz w:w="11906" w:h="16838" w:code="9"/>
          <w:pgMar w:top="1440" w:right="1440" w:bottom="993" w:left="1440" w:header="567" w:footer="709" w:gutter="0"/>
          <w:cols w:space="708"/>
          <w:docGrid w:linePitch="360"/>
        </w:sectPr>
      </w:pPr>
      <w:bookmarkStart w:id="1" w:name="_Hlk211507053"/>
    </w:p>
    <w:bookmarkEnd w:id="1"/>
    <w:p w14:paraId="1FED882D" w14:textId="4C703163" w:rsidR="00590568" w:rsidRPr="00977B59" w:rsidRDefault="00B0014B" w:rsidP="00977B59">
      <w:pPr>
        <w:pStyle w:val="Heading1"/>
        <w:rPr>
          <w:rFonts w:eastAsiaTheme="minorHAnsi"/>
        </w:rPr>
      </w:pPr>
      <w:r w:rsidRPr="00977B59">
        <w:rPr>
          <w:rFonts w:eastAsiaTheme="minorHAnsi"/>
        </w:rPr>
        <w:lastRenderedPageBreak/>
        <w:t>A</w:t>
      </w:r>
      <w:r w:rsidR="00AD2E4D" w:rsidRPr="00977B59">
        <w:rPr>
          <w:rFonts w:eastAsiaTheme="minorHAnsi"/>
        </w:rPr>
        <w:t>ppendi</w:t>
      </w:r>
      <w:r w:rsidRPr="00977B59">
        <w:rPr>
          <w:rFonts w:eastAsiaTheme="minorHAnsi"/>
        </w:rPr>
        <w:t xml:space="preserve">x 1 - </w:t>
      </w:r>
      <w:r w:rsidR="007B5077" w:rsidRPr="00977B59">
        <w:rPr>
          <w:rFonts w:eastAsiaTheme="minorHAnsi"/>
        </w:rPr>
        <w:t xml:space="preserve">People </w:t>
      </w:r>
      <w:r w:rsidR="00E81E84" w:rsidRPr="00977B59">
        <w:rPr>
          <w:rFonts w:eastAsiaTheme="minorHAnsi"/>
        </w:rPr>
        <w:t>Report</w:t>
      </w:r>
      <w:r w:rsidR="007F2ED9" w:rsidRPr="00977B59">
        <w:rPr>
          <w:rFonts w:eastAsiaTheme="minorHAnsi"/>
        </w:rPr>
        <w:t xml:space="preserve"> </w:t>
      </w:r>
    </w:p>
    <w:p w14:paraId="22542914" w14:textId="613EA9D9" w:rsidR="00AF1E52" w:rsidRPr="000C51B3" w:rsidRDefault="00CB3355" w:rsidP="00977B59">
      <w:pPr>
        <w:pStyle w:val="Heading2"/>
      </w:pPr>
      <w:r w:rsidRPr="000C51B3">
        <w:t>Headcount</w:t>
      </w:r>
    </w:p>
    <w:p w14:paraId="04DF472A" w14:textId="5E111D0B" w:rsidR="00AF1E52" w:rsidRPr="000C51B3" w:rsidRDefault="00AF1E52" w:rsidP="00126D6E">
      <w:pPr>
        <w:pStyle w:val="ListParagraph"/>
        <w:numPr>
          <w:ilvl w:val="0"/>
          <w:numId w:val="12"/>
        </w:numPr>
        <w:spacing w:before="120" w:after="0" w:line="240" w:lineRule="auto"/>
        <w:contextualSpacing w:val="0"/>
        <w:rPr>
          <w:rFonts w:ascii="Calibri" w:hAnsi="Calibri" w:cs="Calibri"/>
        </w:rPr>
      </w:pPr>
      <w:r w:rsidRPr="000C51B3">
        <w:rPr>
          <w:rFonts w:ascii="Calibri" w:hAnsi="Calibri" w:cs="Calibri"/>
        </w:rPr>
        <w:t xml:space="preserve">Total headcount and FTE remain steady (Fig. 1a), indicating a stable workforce position. </w:t>
      </w:r>
      <w:r w:rsidR="00052694" w:rsidRPr="000C51B3">
        <w:rPr>
          <w:rFonts w:ascii="Calibri" w:hAnsi="Calibri" w:cs="Calibri"/>
        </w:rPr>
        <w:t>We c</w:t>
      </w:r>
      <w:r w:rsidRPr="000C51B3">
        <w:rPr>
          <w:rFonts w:ascii="Calibri" w:hAnsi="Calibri" w:cs="Calibri"/>
        </w:rPr>
        <w:t>ontinue to monitor variations in workforce data to ensure stability is maintained.</w:t>
      </w:r>
      <w:r w:rsidRPr="000C51B3">
        <w:rPr>
          <w:rFonts w:ascii="Calibri" w:hAnsi="Calibri" w:cs="Calibri"/>
          <w:i/>
          <w:iCs/>
        </w:rPr>
        <w:t xml:space="preserve"> </w:t>
      </w:r>
    </w:p>
    <w:p w14:paraId="4E44DC9B" w14:textId="77777777" w:rsidR="00F071B2" w:rsidRPr="000C51B3" w:rsidRDefault="00F071B2" w:rsidP="00B35EA5">
      <w:pPr>
        <w:rPr>
          <w:rFonts w:ascii="Calibri" w:hAnsi="Calibri" w:cs="Calibri"/>
          <w:color w:val="56554B"/>
          <w:sz w:val="20"/>
          <w:szCs w:val="20"/>
        </w:rPr>
      </w:pPr>
    </w:p>
    <w:p w14:paraId="0C0A8482" w14:textId="62FBCF2F" w:rsidR="006A4DD5" w:rsidRPr="000C51B3" w:rsidRDefault="006A4DD5" w:rsidP="00EE5C66">
      <w:pPr>
        <w:ind w:left="426"/>
        <w:rPr>
          <w:rFonts w:ascii="Calibri" w:hAnsi="Calibri" w:cs="Calibri"/>
          <w:color w:val="56554B"/>
          <w:sz w:val="20"/>
          <w:szCs w:val="20"/>
        </w:rPr>
      </w:pPr>
      <w:r w:rsidRPr="000C51B3">
        <w:rPr>
          <w:rFonts w:ascii="Calibri" w:hAnsi="Calibri" w:cs="Calibri"/>
          <w:noProof/>
          <w:color w:val="56554B"/>
          <w:sz w:val="20"/>
          <w:szCs w:val="20"/>
        </w:rPr>
        <w:drawing>
          <wp:anchor distT="0" distB="0" distL="114300" distR="114300" simplePos="0" relativeHeight="251842560" behindDoc="0" locked="0" layoutInCell="1" allowOverlap="1" wp14:anchorId="59BAB287" wp14:editId="49538223">
            <wp:simplePos x="0" y="0"/>
            <wp:positionH relativeFrom="margin">
              <wp:posOffset>247650</wp:posOffset>
            </wp:positionH>
            <wp:positionV relativeFrom="paragraph">
              <wp:posOffset>405130</wp:posOffset>
            </wp:positionV>
            <wp:extent cx="5391150" cy="1880870"/>
            <wp:effectExtent l="19050" t="19050" r="19050" b="24130"/>
            <wp:wrapTopAndBottom/>
            <wp:docPr id="2" name="image1.png" descr="Graph showing Total headcount and FTE remain steady (Fig. 1a), indicating a stable workforce position">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Graph showing Total headcount and FTE remain steady (Fig. 1a), indicating a stable workforce position">
                      <a:extLst>
                        <a:ext uri="{FF2B5EF4-FFF2-40B4-BE49-F238E27FC236}">
                          <a16:creationId xmlns:a16="http://schemas.microsoft.com/office/drawing/2014/main" id="{00000000-0008-0000-0000-000002000000}"/>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391150" cy="1880870"/>
                    </a:xfrm>
                    <a:prstGeom prst="rect">
                      <a:avLst/>
                    </a:prstGeom>
                    <a:ln w="6350">
                      <a:solidFill>
                        <a:schemeClr val="tx1"/>
                      </a:solidFill>
                    </a:ln>
                  </pic:spPr>
                </pic:pic>
              </a:graphicData>
            </a:graphic>
            <wp14:sizeRelH relativeFrom="margin">
              <wp14:pctWidth>0</wp14:pctWidth>
            </wp14:sizeRelH>
            <wp14:sizeRelV relativeFrom="margin">
              <wp14:pctHeight>0</wp14:pctHeight>
            </wp14:sizeRelV>
          </wp:anchor>
        </w:drawing>
      </w:r>
      <w:r w:rsidRPr="000C51B3">
        <w:rPr>
          <w:rFonts w:ascii="Calibri" w:hAnsi="Calibri" w:cs="Calibri"/>
          <w:color w:val="56554B"/>
          <w:sz w:val="20"/>
          <w:szCs w:val="20"/>
        </w:rPr>
        <w:t>Figure 1a: change in organisational headcount (blue line) and FTE (green line) per quarter over the past 3 years.</w:t>
      </w:r>
    </w:p>
    <w:p w14:paraId="0033D712" w14:textId="77B7EADA" w:rsidR="00B35EA5" w:rsidRPr="000C51B3" w:rsidRDefault="00B35EA5" w:rsidP="00B35EA5">
      <w:pPr>
        <w:spacing w:before="120" w:after="0" w:line="240" w:lineRule="auto"/>
        <w:rPr>
          <w:rFonts w:ascii="Calibri" w:hAnsi="Calibri" w:cs="Calibri"/>
        </w:rPr>
      </w:pPr>
    </w:p>
    <w:p w14:paraId="0A8A324A" w14:textId="51908D3D" w:rsidR="006A4DD5" w:rsidRDefault="006A4DD5">
      <w:pPr>
        <w:pStyle w:val="ListParagraph"/>
        <w:numPr>
          <w:ilvl w:val="0"/>
          <w:numId w:val="12"/>
        </w:numPr>
        <w:spacing w:before="120" w:after="0" w:line="240" w:lineRule="auto"/>
        <w:contextualSpacing w:val="0"/>
        <w:rPr>
          <w:rFonts w:ascii="Calibri" w:hAnsi="Calibri" w:cs="Calibri"/>
        </w:rPr>
      </w:pPr>
      <w:r w:rsidRPr="000C51B3">
        <w:rPr>
          <w:rFonts w:ascii="Calibri" w:hAnsi="Calibri" w:cs="Calibri"/>
        </w:rPr>
        <w:t>The workforce is 62% female, but women remain under-represented in older age groups and at senior grades</w:t>
      </w:r>
      <w:r w:rsidR="0084629B" w:rsidRPr="000C51B3">
        <w:rPr>
          <w:rFonts w:ascii="Calibri" w:hAnsi="Calibri" w:cs="Calibri"/>
        </w:rPr>
        <w:t>.</w:t>
      </w:r>
      <w:r w:rsidRPr="000C51B3">
        <w:rPr>
          <w:rFonts w:ascii="Calibri" w:hAnsi="Calibri" w:cs="Calibri"/>
        </w:rPr>
        <w:t xml:space="preserve"> The gender pay gap was 7.3% in January 202</w:t>
      </w:r>
      <w:r w:rsidR="00186510" w:rsidRPr="000C51B3">
        <w:rPr>
          <w:rFonts w:ascii="Calibri" w:hAnsi="Calibri" w:cs="Calibri"/>
        </w:rPr>
        <w:t>6</w:t>
      </w:r>
      <w:r w:rsidRPr="000C51B3">
        <w:rPr>
          <w:rFonts w:ascii="Calibri" w:hAnsi="Calibri" w:cs="Calibri"/>
        </w:rPr>
        <w:t xml:space="preserve">, a reduction of 0.2% since April 2023. This improvement is linked to initiatives including the Women into Leadership programme, targeted support through the </w:t>
      </w:r>
      <w:r w:rsidR="004405D6" w:rsidRPr="000C51B3">
        <w:rPr>
          <w:rFonts w:ascii="Calibri" w:hAnsi="Calibri" w:cs="Calibri"/>
        </w:rPr>
        <w:t>W</w:t>
      </w:r>
      <w:r w:rsidRPr="000C51B3">
        <w:rPr>
          <w:rFonts w:ascii="Calibri" w:hAnsi="Calibri" w:cs="Calibri"/>
        </w:rPr>
        <w:t xml:space="preserve">omen’s </w:t>
      </w:r>
      <w:r w:rsidR="004405D6" w:rsidRPr="000C51B3">
        <w:rPr>
          <w:rFonts w:ascii="Calibri" w:hAnsi="Calibri" w:cs="Calibri"/>
        </w:rPr>
        <w:t>N</w:t>
      </w:r>
      <w:r w:rsidRPr="000C51B3">
        <w:rPr>
          <w:rFonts w:ascii="Calibri" w:hAnsi="Calibri" w:cs="Calibri"/>
        </w:rPr>
        <w:t xml:space="preserve">etwork, and increased flexible working. Progress is positive and will be reviewed in Q4 </w:t>
      </w:r>
      <w:r w:rsidR="0039435E" w:rsidRPr="000C51B3">
        <w:rPr>
          <w:rFonts w:ascii="Calibri" w:hAnsi="Calibri" w:cs="Calibri"/>
        </w:rPr>
        <w:t>20</w:t>
      </w:r>
      <w:r w:rsidRPr="000C51B3">
        <w:rPr>
          <w:rFonts w:ascii="Calibri" w:hAnsi="Calibri" w:cs="Calibri"/>
        </w:rPr>
        <w:t>26/27.</w:t>
      </w:r>
    </w:p>
    <w:p w14:paraId="13B15284" w14:textId="77777777" w:rsidR="0097178F" w:rsidRPr="000C51B3" w:rsidRDefault="0097178F" w:rsidP="0097178F">
      <w:pPr>
        <w:pStyle w:val="ListParagraph"/>
        <w:spacing w:before="120" w:after="0" w:line="240" w:lineRule="auto"/>
        <w:ind w:left="360"/>
        <w:contextualSpacing w:val="0"/>
        <w:rPr>
          <w:rFonts w:ascii="Calibri" w:hAnsi="Calibri" w:cs="Calibri"/>
        </w:rPr>
      </w:pPr>
    </w:p>
    <w:p w14:paraId="72B80A29" w14:textId="77777777" w:rsidR="006A4DD5" w:rsidRDefault="006A4DD5">
      <w:pPr>
        <w:pStyle w:val="ListParagraph"/>
        <w:numPr>
          <w:ilvl w:val="0"/>
          <w:numId w:val="12"/>
        </w:numPr>
        <w:spacing w:before="120" w:after="0" w:line="240" w:lineRule="auto"/>
        <w:contextualSpacing w:val="0"/>
        <w:rPr>
          <w:rFonts w:ascii="Calibri" w:hAnsi="Calibri" w:cs="Calibri"/>
        </w:rPr>
      </w:pPr>
      <w:r w:rsidRPr="000C51B3">
        <w:rPr>
          <w:rFonts w:ascii="Calibri" w:hAnsi="Calibri" w:cs="Calibri"/>
        </w:rPr>
        <w:t>Employees aged 16–24 represent only 0.7% of the workforce. This number requires close monitoring. P&amp;OD are currently exploring targeted youth employment initiatives.</w:t>
      </w:r>
    </w:p>
    <w:p w14:paraId="56BE5552" w14:textId="77777777" w:rsidR="0097178F" w:rsidRPr="0097178F" w:rsidRDefault="0097178F" w:rsidP="0097178F">
      <w:pPr>
        <w:spacing w:before="120" w:after="0" w:line="240" w:lineRule="auto"/>
        <w:rPr>
          <w:rFonts w:ascii="Calibri" w:hAnsi="Calibri" w:cs="Calibri"/>
        </w:rPr>
      </w:pPr>
    </w:p>
    <w:p w14:paraId="196AB976" w14:textId="3471CA48" w:rsidR="006A4DD5" w:rsidRDefault="006A4DD5">
      <w:pPr>
        <w:pStyle w:val="ListParagraph"/>
        <w:numPr>
          <w:ilvl w:val="0"/>
          <w:numId w:val="12"/>
        </w:numPr>
        <w:spacing w:before="120" w:after="0" w:line="240" w:lineRule="auto"/>
        <w:contextualSpacing w:val="0"/>
        <w:rPr>
          <w:rFonts w:ascii="Calibri" w:hAnsi="Calibri" w:cs="Calibri"/>
        </w:rPr>
      </w:pPr>
      <w:r w:rsidRPr="000C51B3">
        <w:rPr>
          <w:rFonts w:ascii="Calibri" w:hAnsi="Calibri" w:cs="Calibri"/>
        </w:rPr>
        <w:t xml:space="preserve">Ethnicity data remains limited, with only 50% of employees having recorded their ethnicity in Fusion. </w:t>
      </w:r>
      <w:r w:rsidR="0084629B" w:rsidRPr="000C51B3">
        <w:rPr>
          <w:rFonts w:ascii="Calibri" w:hAnsi="Calibri" w:cs="Calibri"/>
        </w:rPr>
        <w:t>Further work is</w:t>
      </w:r>
      <w:r w:rsidRPr="000C51B3">
        <w:rPr>
          <w:rFonts w:ascii="Calibri" w:hAnsi="Calibri" w:cs="Calibri"/>
        </w:rPr>
        <w:t xml:space="preserve"> planned for Q1 </w:t>
      </w:r>
      <w:r w:rsidR="0039435E" w:rsidRPr="000C51B3">
        <w:rPr>
          <w:rFonts w:ascii="Calibri" w:hAnsi="Calibri" w:cs="Calibri"/>
        </w:rPr>
        <w:t>20</w:t>
      </w:r>
      <w:r w:rsidRPr="000C51B3">
        <w:rPr>
          <w:rFonts w:ascii="Calibri" w:hAnsi="Calibri" w:cs="Calibri"/>
        </w:rPr>
        <w:t xml:space="preserve">26/27 </w:t>
      </w:r>
      <w:r w:rsidR="0084629B" w:rsidRPr="000C51B3">
        <w:rPr>
          <w:rFonts w:ascii="Calibri" w:hAnsi="Calibri" w:cs="Calibri"/>
        </w:rPr>
        <w:t xml:space="preserve">to </w:t>
      </w:r>
      <w:r w:rsidRPr="000C51B3">
        <w:rPr>
          <w:rFonts w:ascii="Calibri" w:hAnsi="Calibri" w:cs="Calibri"/>
        </w:rPr>
        <w:t>encourage employees to update their records and improve data completeness.</w:t>
      </w:r>
    </w:p>
    <w:p w14:paraId="22629F2C" w14:textId="77777777" w:rsidR="0097178F" w:rsidRPr="0097178F" w:rsidRDefault="0097178F" w:rsidP="0097178F">
      <w:pPr>
        <w:spacing w:before="120" w:after="0" w:line="240" w:lineRule="auto"/>
        <w:rPr>
          <w:rFonts w:ascii="Calibri" w:hAnsi="Calibri" w:cs="Calibri"/>
        </w:rPr>
      </w:pPr>
    </w:p>
    <w:p w14:paraId="2E59B35E" w14:textId="1722A5C1" w:rsidR="006A4DD5" w:rsidRPr="000C51B3" w:rsidRDefault="006A4DD5">
      <w:pPr>
        <w:pStyle w:val="ListParagraph"/>
        <w:numPr>
          <w:ilvl w:val="0"/>
          <w:numId w:val="12"/>
        </w:numPr>
        <w:spacing w:before="120" w:after="0" w:line="240" w:lineRule="auto"/>
        <w:contextualSpacing w:val="0"/>
        <w:rPr>
          <w:rFonts w:ascii="Calibri" w:hAnsi="Calibri" w:cs="Calibri"/>
        </w:rPr>
      </w:pPr>
      <w:r w:rsidRPr="000C51B3">
        <w:rPr>
          <w:rFonts w:ascii="Calibri" w:hAnsi="Calibri" w:cs="Calibri"/>
        </w:rPr>
        <w:t>Fixed-term appointments (FTA) have remained steady due to the FTA review, supporting greater workforce stability.</w:t>
      </w:r>
    </w:p>
    <w:p w14:paraId="45FEE149" w14:textId="77777777" w:rsidR="00F071B2" w:rsidRPr="000C51B3" w:rsidRDefault="00F071B2" w:rsidP="00AF1E52">
      <w:pPr>
        <w:rPr>
          <w:rFonts w:ascii="Calibri" w:hAnsi="Calibri" w:cs="Calibri"/>
          <w:b/>
          <w:bCs/>
        </w:rPr>
      </w:pPr>
      <w:bookmarkStart w:id="2" w:name="_2._Employee_Turnover"/>
      <w:bookmarkEnd w:id="2"/>
    </w:p>
    <w:p w14:paraId="6B2F1C27" w14:textId="7A706C7D" w:rsidR="006A4DD5" w:rsidRPr="000C51B3" w:rsidRDefault="006A4DD5" w:rsidP="0097178F">
      <w:pPr>
        <w:pStyle w:val="Heading2"/>
      </w:pPr>
      <w:r w:rsidRPr="000C51B3">
        <w:t>Employee Turnover</w:t>
      </w:r>
    </w:p>
    <w:p w14:paraId="0957E98D" w14:textId="549C579A" w:rsidR="006A4DD5" w:rsidRPr="000C51B3" w:rsidRDefault="006A4DD5">
      <w:pPr>
        <w:pStyle w:val="ListParagraph"/>
        <w:numPr>
          <w:ilvl w:val="0"/>
          <w:numId w:val="12"/>
        </w:numPr>
        <w:spacing w:before="120" w:after="0" w:line="240" w:lineRule="auto"/>
        <w:contextualSpacing w:val="0"/>
        <w:rPr>
          <w:rFonts w:ascii="Calibri" w:hAnsi="Calibri" w:cs="Calibri"/>
          <w:szCs w:val="24"/>
        </w:rPr>
      </w:pPr>
      <w:r w:rsidRPr="000C51B3">
        <w:rPr>
          <w:rFonts w:ascii="Calibri" w:hAnsi="Calibri" w:cs="Calibri"/>
          <w:szCs w:val="24"/>
        </w:rPr>
        <w:t xml:space="preserve">Turnover remains stable and within target, driven by a rise in new starts (+40% vs Q3) and a reduction in leavers (-55% vs Q3). </w:t>
      </w:r>
    </w:p>
    <w:p w14:paraId="0CA77090" w14:textId="559CCD57" w:rsidR="006A4DD5" w:rsidRPr="000C51B3" w:rsidRDefault="006A4DD5" w:rsidP="00EE5C66">
      <w:pPr>
        <w:spacing w:before="120" w:line="259" w:lineRule="auto"/>
        <w:ind w:left="426"/>
        <w:rPr>
          <w:rFonts w:ascii="Calibri" w:hAnsi="Calibri" w:cs="Calibri"/>
          <w:color w:val="56554B"/>
          <w:sz w:val="20"/>
          <w:szCs w:val="20"/>
        </w:rPr>
      </w:pPr>
      <w:r w:rsidRPr="000C51B3">
        <w:rPr>
          <w:rFonts w:ascii="Calibri" w:hAnsi="Calibri" w:cs="Calibri"/>
          <w:noProof/>
          <w:sz w:val="20"/>
          <w:szCs w:val="20"/>
        </w:rPr>
        <w:lastRenderedPageBreak/>
        <w:drawing>
          <wp:anchor distT="0" distB="0" distL="114300" distR="114300" simplePos="0" relativeHeight="251846656" behindDoc="0" locked="0" layoutInCell="1" allowOverlap="1" wp14:anchorId="7915C76E" wp14:editId="5E72F245">
            <wp:simplePos x="0" y="0"/>
            <wp:positionH relativeFrom="margin">
              <wp:posOffset>257175</wp:posOffset>
            </wp:positionH>
            <wp:positionV relativeFrom="paragraph">
              <wp:posOffset>409575</wp:posOffset>
            </wp:positionV>
            <wp:extent cx="5581650" cy="1908810"/>
            <wp:effectExtent l="19050" t="19050" r="19050" b="15240"/>
            <wp:wrapTopAndBottom/>
            <wp:docPr id="494922609" name="image1.png" descr="Graph showing employee turover is stable">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22609" name="image1.png" descr="Graph showing employee turover is stable">
                      <a:extLst>
                        <a:ext uri="{FF2B5EF4-FFF2-40B4-BE49-F238E27FC236}">
                          <a16:creationId xmlns:a16="http://schemas.microsoft.com/office/drawing/2014/main" id="{00000000-0008-0000-0000-000002000000}"/>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581650" cy="1908810"/>
                    </a:xfrm>
                    <a:prstGeom prst="rect">
                      <a:avLst/>
                    </a:prstGeom>
                    <a:ln w="6350">
                      <a:solidFill>
                        <a:schemeClr val="tx1"/>
                      </a:solidFill>
                    </a:ln>
                  </pic:spPr>
                </pic:pic>
              </a:graphicData>
            </a:graphic>
            <wp14:sizeRelH relativeFrom="margin">
              <wp14:pctWidth>0</wp14:pctWidth>
            </wp14:sizeRelH>
            <wp14:sizeRelV relativeFrom="margin">
              <wp14:pctHeight>0</wp14:pctHeight>
            </wp14:sizeRelV>
          </wp:anchor>
        </w:drawing>
      </w:r>
      <w:r w:rsidRPr="000C51B3">
        <w:rPr>
          <w:rFonts w:ascii="Calibri" w:hAnsi="Calibri" w:cs="Calibri"/>
          <w:color w:val="56554B"/>
          <w:sz w:val="20"/>
          <w:szCs w:val="20"/>
        </w:rPr>
        <w:t xml:space="preserve">Figure 2a: change in organisational turnover per quarter, over the past 3 years. The green area is the target zone and is based on best practice guidelines. </w:t>
      </w:r>
    </w:p>
    <w:p w14:paraId="4EE697D3" w14:textId="77777777" w:rsidR="00B14514" w:rsidRPr="000C51B3" w:rsidRDefault="00B14514" w:rsidP="00B14514">
      <w:pPr>
        <w:pStyle w:val="ListParagraph"/>
        <w:spacing w:before="120" w:after="0" w:line="240" w:lineRule="auto"/>
        <w:ind w:left="360"/>
        <w:contextualSpacing w:val="0"/>
        <w:rPr>
          <w:rFonts w:ascii="Calibri" w:hAnsi="Calibri" w:cs="Calibri"/>
          <w:szCs w:val="24"/>
        </w:rPr>
      </w:pPr>
    </w:p>
    <w:p w14:paraId="0E95E97B" w14:textId="3375D29C" w:rsidR="006A4DD5" w:rsidRDefault="006A4DD5">
      <w:pPr>
        <w:pStyle w:val="ListParagraph"/>
        <w:numPr>
          <w:ilvl w:val="0"/>
          <w:numId w:val="12"/>
        </w:numPr>
        <w:spacing w:before="120" w:after="0" w:line="240" w:lineRule="auto"/>
        <w:contextualSpacing w:val="0"/>
        <w:rPr>
          <w:rFonts w:ascii="Calibri" w:hAnsi="Calibri" w:cs="Calibri"/>
          <w:szCs w:val="24"/>
        </w:rPr>
      </w:pPr>
      <w:r w:rsidRPr="000C51B3">
        <w:rPr>
          <w:rFonts w:ascii="Calibri" w:hAnsi="Calibri" w:cs="Calibri"/>
          <w:szCs w:val="24"/>
        </w:rPr>
        <w:t xml:space="preserve">All leavers in Q4 were voluntary, with over half citing personal reasons. </w:t>
      </w:r>
    </w:p>
    <w:p w14:paraId="3C600D5E" w14:textId="77777777" w:rsidR="0097178F" w:rsidRPr="000C51B3" w:rsidRDefault="0097178F" w:rsidP="0097178F">
      <w:pPr>
        <w:pStyle w:val="ListParagraph"/>
        <w:spacing w:before="120" w:after="0" w:line="240" w:lineRule="auto"/>
        <w:ind w:left="360"/>
        <w:contextualSpacing w:val="0"/>
        <w:rPr>
          <w:rFonts w:ascii="Calibri" w:hAnsi="Calibri" w:cs="Calibri"/>
          <w:szCs w:val="24"/>
        </w:rPr>
      </w:pPr>
    </w:p>
    <w:p w14:paraId="282ACAC2" w14:textId="77777777" w:rsidR="006A4DD5" w:rsidRDefault="006A4DD5">
      <w:pPr>
        <w:pStyle w:val="ListParagraph"/>
        <w:numPr>
          <w:ilvl w:val="0"/>
          <w:numId w:val="12"/>
        </w:numPr>
        <w:spacing w:before="120" w:after="0" w:line="240" w:lineRule="auto"/>
        <w:ind w:left="357" w:hanging="357"/>
        <w:contextualSpacing w:val="0"/>
        <w:rPr>
          <w:rFonts w:ascii="Calibri" w:hAnsi="Calibri" w:cs="Calibri"/>
          <w:szCs w:val="24"/>
        </w:rPr>
      </w:pPr>
      <w:r w:rsidRPr="000C51B3">
        <w:rPr>
          <w:rFonts w:ascii="Calibri" w:hAnsi="Calibri" w:cs="Calibri"/>
          <w:szCs w:val="24"/>
        </w:rPr>
        <w:t xml:space="preserve">Eight leavers (73%) completed </w:t>
      </w:r>
      <w:hyperlink r:id="rId16" w:history="1">
        <w:r w:rsidRPr="000C51B3">
          <w:rPr>
            <w:rFonts w:ascii="Calibri" w:hAnsi="Calibri" w:cs="Calibri"/>
            <w:szCs w:val="24"/>
          </w:rPr>
          <w:t>exit questionnaires</w:t>
        </w:r>
      </w:hyperlink>
      <w:r w:rsidRPr="000C51B3">
        <w:rPr>
          <w:rFonts w:ascii="Calibri" w:hAnsi="Calibri" w:cs="Calibri"/>
          <w:szCs w:val="24"/>
        </w:rPr>
        <w:t xml:space="preserve"> in Q4. The average recommendation score was 6.9/10. Those leaving for personal or professional reasons reported feeling unsupported by the organisation, and only 25% of all leavers felt they had the resources and support needed to perform their roles. However, most leavers reported a positive relationship with their line manager. </w:t>
      </w:r>
    </w:p>
    <w:p w14:paraId="76D20B14" w14:textId="77777777" w:rsidR="0097178F" w:rsidRPr="0097178F" w:rsidRDefault="0097178F" w:rsidP="0097178F">
      <w:pPr>
        <w:spacing w:before="120" w:after="0" w:line="240" w:lineRule="auto"/>
        <w:rPr>
          <w:rFonts w:ascii="Calibri" w:hAnsi="Calibri" w:cs="Calibri"/>
          <w:szCs w:val="24"/>
        </w:rPr>
      </w:pPr>
    </w:p>
    <w:p w14:paraId="086158CB" w14:textId="1D0A14F1" w:rsidR="0039435E" w:rsidRPr="000C51B3" w:rsidRDefault="006A4DD5" w:rsidP="00F071B2">
      <w:pPr>
        <w:pStyle w:val="ListParagraph"/>
        <w:numPr>
          <w:ilvl w:val="0"/>
          <w:numId w:val="12"/>
        </w:numPr>
        <w:spacing w:before="120" w:after="0" w:line="240" w:lineRule="auto"/>
        <w:ind w:left="357" w:hanging="357"/>
        <w:contextualSpacing w:val="0"/>
        <w:rPr>
          <w:rFonts w:ascii="Calibri" w:hAnsi="Calibri" w:cs="Calibri"/>
          <w:szCs w:val="24"/>
        </w:rPr>
      </w:pPr>
      <w:r w:rsidRPr="000C51B3">
        <w:rPr>
          <w:rFonts w:ascii="Calibri" w:hAnsi="Calibri" w:cs="Calibri"/>
          <w:szCs w:val="24"/>
        </w:rPr>
        <w:t xml:space="preserve">Analytics of historic data and monitoring of upcoming quarters will confirm whether these patterns are a one-off fluctuation or an emerging trend. This will be used to inform retention strategies by Q4 </w:t>
      </w:r>
      <w:r w:rsidR="0039435E" w:rsidRPr="000C51B3">
        <w:rPr>
          <w:rFonts w:ascii="Calibri" w:hAnsi="Calibri" w:cs="Calibri"/>
          <w:szCs w:val="24"/>
        </w:rPr>
        <w:t>20</w:t>
      </w:r>
      <w:r w:rsidRPr="000C51B3">
        <w:rPr>
          <w:rFonts w:ascii="Calibri" w:hAnsi="Calibri" w:cs="Calibri"/>
          <w:szCs w:val="24"/>
        </w:rPr>
        <w:t>26/27.</w:t>
      </w:r>
    </w:p>
    <w:p w14:paraId="63F94529" w14:textId="77777777" w:rsidR="00F071B2" w:rsidRPr="000C51B3" w:rsidRDefault="00F071B2" w:rsidP="00471FA7">
      <w:pPr>
        <w:rPr>
          <w:rFonts w:ascii="Calibri" w:hAnsi="Calibri" w:cs="Calibri"/>
          <w:b/>
          <w:bCs/>
        </w:rPr>
      </w:pPr>
      <w:bookmarkStart w:id="3" w:name="_3._Retirement_Profiling"/>
      <w:bookmarkEnd w:id="3"/>
    </w:p>
    <w:p w14:paraId="0EA8B382" w14:textId="26D21195" w:rsidR="006A4DD5" w:rsidRPr="000C51B3" w:rsidRDefault="006A4DD5" w:rsidP="0097178F">
      <w:pPr>
        <w:pStyle w:val="Heading2"/>
      </w:pPr>
      <w:r w:rsidRPr="000C51B3">
        <w:t>Retirement Profiling</w:t>
      </w:r>
    </w:p>
    <w:p w14:paraId="78FB4283" w14:textId="65A41C80" w:rsidR="006A4DD5" w:rsidRDefault="006A4DD5">
      <w:pPr>
        <w:pStyle w:val="ListParagraph"/>
        <w:numPr>
          <w:ilvl w:val="0"/>
          <w:numId w:val="12"/>
        </w:numPr>
        <w:spacing w:before="120" w:after="0" w:line="240" w:lineRule="auto"/>
        <w:contextualSpacing w:val="0"/>
        <w:rPr>
          <w:rFonts w:ascii="Calibri" w:hAnsi="Calibri" w:cs="Calibri"/>
          <w:szCs w:val="24"/>
        </w:rPr>
      </w:pPr>
      <w:r w:rsidRPr="000C51B3">
        <w:rPr>
          <w:rFonts w:ascii="Calibri" w:hAnsi="Calibri" w:cs="Calibri"/>
          <w:szCs w:val="24"/>
        </w:rPr>
        <w:t>The proportion of employees aged 55+ with over 20 years’ service continues to exceed the target range (Fig. 3a). This indicates an increased likelihood of retirements, with associated risks to knowledge</w:t>
      </w:r>
      <w:r w:rsidR="0084629B" w:rsidRPr="000C51B3">
        <w:rPr>
          <w:rFonts w:ascii="Calibri" w:hAnsi="Calibri" w:cs="Calibri"/>
          <w:szCs w:val="24"/>
        </w:rPr>
        <w:t>,</w:t>
      </w:r>
      <w:r w:rsidRPr="000C51B3">
        <w:rPr>
          <w:rFonts w:ascii="Calibri" w:hAnsi="Calibri" w:cs="Calibri"/>
          <w:szCs w:val="24"/>
        </w:rPr>
        <w:t xml:space="preserve"> capability</w:t>
      </w:r>
      <w:r w:rsidR="0084629B" w:rsidRPr="000C51B3">
        <w:rPr>
          <w:rFonts w:ascii="Calibri" w:hAnsi="Calibri" w:cs="Calibri"/>
          <w:szCs w:val="24"/>
        </w:rPr>
        <w:t>, leadership and specialist skills gaps</w:t>
      </w:r>
      <w:r w:rsidRPr="000C51B3">
        <w:rPr>
          <w:rFonts w:ascii="Calibri" w:hAnsi="Calibri" w:cs="Calibri"/>
          <w:szCs w:val="24"/>
        </w:rPr>
        <w:t xml:space="preserve">. This </w:t>
      </w:r>
      <w:r w:rsidR="0084629B" w:rsidRPr="000C51B3">
        <w:rPr>
          <w:rFonts w:ascii="Calibri" w:hAnsi="Calibri" w:cs="Calibri"/>
          <w:szCs w:val="24"/>
        </w:rPr>
        <w:t>is being</w:t>
      </w:r>
      <w:r w:rsidRPr="000C51B3">
        <w:rPr>
          <w:rFonts w:ascii="Calibri" w:hAnsi="Calibri" w:cs="Calibri"/>
          <w:szCs w:val="24"/>
        </w:rPr>
        <w:t xml:space="preserve"> addressed in a structured manner, </w:t>
      </w:r>
      <w:r w:rsidR="0084629B" w:rsidRPr="000C51B3">
        <w:rPr>
          <w:rFonts w:ascii="Calibri" w:hAnsi="Calibri" w:cs="Calibri"/>
          <w:szCs w:val="24"/>
        </w:rPr>
        <w:t>taking a holistic cross-organisational approach, as we take forward</w:t>
      </w:r>
      <w:r w:rsidRPr="000C51B3">
        <w:rPr>
          <w:rFonts w:ascii="Calibri" w:hAnsi="Calibri" w:cs="Calibri"/>
          <w:szCs w:val="24"/>
        </w:rPr>
        <w:t xml:space="preserve"> </w:t>
      </w:r>
      <w:r w:rsidR="00052694" w:rsidRPr="000C51B3">
        <w:rPr>
          <w:rFonts w:ascii="Calibri" w:hAnsi="Calibri" w:cs="Calibri"/>
          <w:szCs w:val="24"/>
        </w:rPr>
        <w:t xml:space="preserve">our </w:t>
      </w:r>
      <w:r w:rsidRPr="000C51B3">
        <w:rPr>
          <w:rFonts w:ascii="Calibri" w:hAnsi="Calibri" w:cs="Calibri"/>
          <w:szCs w:val="24"/>
        </w:rPr>
        <w:t>S</w:t>
      </w:r>
      <w:r w:rsidR="00906CFE" w:rsidRPr="000C51B3">
        <w:rPr>
          <w:rFonts w:ascii="Calibri" w:hAnsi="Calibri" w:cs="Calibri"/>
          <w:szCs w:val="24"/>
        </w:rPr>
        <w:t xml:space="preserve">trategic </w:t>
      </w:r>
      <w:r w:rsidRPr="000C51B3">
        <w:rPr>
          <w:rFonts w:ascii="Calibri" w:hAnsi="Calibri" w:cs="Calibri"/>
          <w:szCs w:val="24"/>
        </w:rPr>
        <w:t>W</w:t>
      </w:r>
      <w:r w:rsidR="00906CFE" w:rsidRPr="000C51B3">
        <w:rPr>
          <w:rFonts w:ascii="Calibri" w:hAnsi="Calibri" w:cs="Calibri"/>
          <w:szCs w:val="24"/>
        </w:rPr>
        <w:t xml:space="preserve">orkforce </w:t>
      </w:r>
      <w:r w:rsidRPr="000C51B3">
        <w:rPr>
          <w:rFonts w:ascii="Calibri" w:hAnsi="Calibri" w:cs="Calibri"/>
          <w:szCs w:val="24"/>
        </w:rPr>
        <w:t>P</w:t>
      </w:r>
      <w:r w:rsidR="00906CFE" w:rsidRPr="000C51B3">
        <w:rPr>
          <w:rFonts w:ascii="Calibri" w:hAnsi="Calibri" w:cs="Calibri"/>
          <w:szCs w:val="24"/>
        </w:rPr>
        <w:t>lanning (SWP)</w:t>
      </w:r>
      <w:r w:rsidRPr="000C51B3">
        <w:rPr>
          <w:rFonts w:ascii="Calibri" w:hAnsi="Calibri" w:cs="Calibri"/>
          <w:szCs w:val="24"/>
        </w:rPr>
        <w:t xml:space="preserve"> project for 2</w:t>
      </w:r>
      <w:r w:rsidR="0084629B" w:rsidRPr="000C51B3">
        <w:rPr>
          <w:rFonts w:ascii="Calibri" w:hAnsi="Calibri" w:cs="Calibri"/>
          <w:szCs w:val="24"/>
        </w:rPr>
        <w:t>02</w:t>
      </w:r>
      <w:r w:rsidRPr="000C51B3">
        <w:rPr>
          <w:rFonts w:ascii="Calibri" w:hAnsi="Calibri" w:cs="Calibri"/>
          <w:szCs w:val="24"/>
        </w:rPr>
        <w:t xml:space="preserve">6/27. </w:t>
      </w:r>
    </w:p>
    <w:p w14:paraId="048A193E" w14:textId="77777777" w:rsidR="0097178F" w:rsidRPr="000C51B3" w:rsidRDefault="0097178F" w:rsidP="0097178F">
      <w:pPr>
        <w:pStyle w:val="ListParagraph"/>
        <w:spacing w:before="120" w:after="0" w:line="240" w:lineRule="auto"/>
        <w:ind w:left="360"/>
        <w:contextualSpacing w:val="0"/>
        <w:rPr>
          <w:rFonts w:ascii="Calibri" w:hAnsi="Calibri" w:cs="Calibri"/>
          <w:szCs w:val="24"/>
        </w:rPr>
      </w:pPr>
    </w:p>
    <w:p w14:paraId="5C30A7C8" w14:textId="16318A66" w:rsidR="00C03356" w:rsidRDefault="00F071B2" w:rsidP="00F071B2">
      <w:pPr>
        <w:pStyle w:val="ListParagraph"/>
        <w:numPr>
          <w:ilvl w:val="0"/>
          <w:numId w:val="12"/>
        </w:numPr>
        <w:spacing w:before="120" w:after="0" w:line="240" w:lineRule="auto"/>
        <w:contextualSpacing w:val="0"/>
        <w:rPr>
          <w:rFonts w:ascii="Calibri" w:hAnsi="Calibri" w:cs="Calibri"/>
          <w:szCs w:val="24"/>
        </w:rPr>
      </w:pPr>
      <w:r w:rsidRPr="000C51B3">
        <w:rPr>
          <w:rFonts w:ascii="Calibri" w:hAnsi="Calibri" w:cs="Calibri"/>
          <w:szCs w:val="24"/>
        </w:rPr>
        <w:t xml:space="preserve">Female employees account for a higher proportion of retirements, further impacting on our ability to remain balanced in terms of equality. </w:t>
      </w:r>
    </w:p>
    <w:p w14:paraId="5FC66E02" w14:textId="77777777" w:rsidR="0097178F" w:rsidRPr="0097178F" w:rsidRDefault="0097178F" w:rsidP="0097178F">
      <w:pPr>
        <w:spacing w:before="120" w:after="0" w:line="240" w:lineRule="auto"/>
        <w:rPr>
          <w:rFonts w:ascii="Calibri" w:hAnsi="Calibri" w:cs="Calibri"/>
          <w:szCs w:val="24"/>
        </w:rPr>
      </w:pPr>
    </w:p>
    <w:p w14:paraId="403AAA8D" w14:textId="77777777" w:rsidR="00C03356" w:rsidRDefault="00F071B2" w:rsidP="00F071B2">
      <w:pPr>
        <w:pStyle w:val="ListParagraph"/>
        <w:numPr>
          <w:ilvl w:val="0"/>
          <w:numId w:val="12"/>
        </w:numPr>
        <w:spacing w:before="120" w:after="0" w:line="240" w:lineRule="auto"/>
        <w:contextualSpacing w:val="0"/>
        <w:rPr>
          <w:rFonts w:ascii="Calibri" w:hAnsi="Calibri" w:cs="Calibri"/>
          <w:szCs w:val="24"/>
        </w:rPr>
      </w:pPr>
      <w:r w:rsidRPr="000C51B3">
        <w:rPr>
          <w:rFonts w:ascii="Calibri" w:hAnsi="Calibri" w:cs="Calibri"/>
          <w:szCs w:val="24"/>
        </w:rPr>
        <w:t xml:space="preserve">The average retirement age is higher for women (63) than men (60.5), though both are below the State Pension age of 66. Men have slightly longer average length of service at retirement (24.5 years vs 23 years for women). </w:t>
      </w:r>
    </w:p>
    <w:p w14:paraId="480D7590" w14:textId="77777777" w:rsidR="0097178F" w:rsidRPr="0097178F" w:rsidRDefault="0097178F" w:rsidP="0097178F">
      <w:pPr>
        <w:spacing w:before="120" w:after="0" w:line="240" w:lineRule="auto"/>
        <w:rPr>
          <w:rFonts w:ascii="Calibri" w:hAnsi="Calibri" w:cs="Calibri"/>
          <w:szCs w:val="24"/>
        </w:rPr>
      </w:pPr>
    </w:p>
    <w:p w14:paraId="3F450122" w14:textId="48385021" w:rsidR="00F071B2" w:rsidRDefault="00F071B2" w:rsidP="00F071B2">
      <w:pPr>
        <w:pStyle w:val="ListParagraph"/>
        <w:numPr>
          <w:ilvl w:val="0"/>
          <w:numId w:val="12"/>
        </w:numPr>
        <w:spacing w:before="120" w:after="0" w:line="240" w:lineRule="auto"/>
        <w:contextualSpacing w:val="0"/>
        <w:rPr>
          <w:rFonts w:ascii="Calibri" w:hAnsi="Calibri" w:cs="Calibri"/>
          <w:szCs w:val="24"/>
        </w:rPr>
      </w:pPr>
      <w:r w:rsidRPr="000C51B3">
        <w:rPr>
          <w:rFonts w:ascii="Calibri" w:hAnsi="Calibri" w:cs="Calibri"/>
          <w:szCs w:val="24"/>
        </w:rPr>
        <w:lastRenderedPageBreak/>
        <w:t xml:space="preserve">Differences in retirement patterns may reflect pension accumulation and workforce composition. This will be considered in workforce and succession planning as part of the SWP project. </w:t>
      </w:r>
    </w:p>
    <w:p w14:paraId="75BBCE58" w14:textId="77777777" w:rsidR="0097178F" w:rsidRPr="0097178F" w:rsidRDefault="0097178F" w:rsidP="0097178F">
      <w:pPr>
        <w:spacing w:before="120" w:after="0" w:line="240" w:lineRule="auto"/>
        <w:rPr>
          <w:rFonts w:ascii="Calibri" w:hAnsi="Calibri" w:cs="Calibri"/>
          <w:szCs w:val="24"/>
        </w:rPr>
      </w:pPr>
    </w:p>
    <w:p w14:paraId="0B3D2F01" w14:textId="554051B5" w:rsidR="006A6A27" w:rsidRPr="000C51B3" w:rsidRDefault="006A6A27" w:rsidP="00F071B2">
      <w:pPr>
        <w:pStyle w:val="ListParagraph"/>
        <w:numPr>
          <w:ilvl w:val="0"/>
          <w:numId w:val="12"/>
        </w:numPr>
        <w:spacing w:before="120" w:after="0" w:line="240" w:lineRule="auto"/>
        <w:contextualSpacing w:val="0"/>
        <w:rPr>
          <w:rFonts w:ascii="Calibri" w:hAnsi="Calibri" w:cs="Calibri"/>
          <w:szCs w:val="24"/>
        </w:rPr>
      </w:pPr>
      <w:r w:rsidRPr="000C51B3">
        <w:rPr>
          <w:rFonts w:ascii="Calibri" w:hAnsi="Calibri" w:cs="Calibri"/>
          <w:szCs w:val="24"/>
        </w:rPr>
        <w:t>We’ve continued to support colleagues impacted by the pension administration transition from MyCSP to Capita.</w:t>
      </w:r>
    </w:p>
    <w:p w14:paraId="49C3B369" w14:textId="77777777" w:rsidR="00F071B2" w:rsidRPr="000C51B3" w:rsidRDefault="00F071B2" w:rsidP="00B14514">
      <w:pPr>
        <w:spacing w:before="120" w:after="0" w:line="240" w:lineRule="auto"/>
        <w:rPr>
          <w:rFonts w:ascii="Calibri" w:hAnsi="Calibri" w:cs="Calibri"/>
          <w:color w:val="56554B"/>
          <w:sz w:val="20"/>
          <w:szCs w:val="20"/>
        </w:rPr>
      </w:pPr>
    </w:p>
    <w:p w14:paraId="16B92F49" w14:textId="40E2ACC9" w:rsidR="00C03356" w:rsidRPr="000C51B3" w:rsidRDefault="00EE5C66" w:rsidP="00EE5C66">
      <w:pPr>
        <w:spacing w:before="120" w:after="0" w:line="240" w:lineRule="auto"/>
        <w:ind w:left="426"/>
        <w:rPr>
          <w:rFonts w:ascii="Calibri" w:hAnsi="Calibri" w:cs="Calibri"/>
          <w:color w:val="56554B"/>
          <w:sz w:val="20"/>
          <w:szCs w:val="20"/>
        </w:rPr>
      </w:pPr>
      <w:r w:rsidRPr="000C51B3">
        <w:rPr>
          <w:rFonts w:ascii="Calibri" w:hAnsi="Calibri" w:cs="Calibri"/>
          <w:color w:val="56554B"/>
          <w:sz w:val="20"/>
          <w:szCs w:val="20"/>
        </w:rPr>
        <w:t>Figure 3a: change in percentage of all employees at NatureScot who are older than 55 years (blue line), have a length of service (LOS) over 20 years (green line), or who meet both these criteria (yellow line). The green target area is for 55+ years and 20+ LOS and is based on best practice guidelines)</w:t>
      </w:r>
    </w:p>
    <w:p w14:paraId="2AB5CFBF" w14:textId="77777777" w:rsidR="00EE5C66" w:rsidRPr="000C51B3" w:rsidRDefault="00EE5C66" w:rsidP="00B14514">
      <w:pPr>
        <w:spacing w:before="120" w:after="0" w:line="240" w:lineRule="auto"/>
        <w:rPr>
          <w:rFonts w:ascii="Calibri" w:hAnsi="Calibri" w:cs="Calibri"/>
          <w:color w:val="56554B"/>
          <w:sz w:val="20"/>
          <w:szCs w:val="20"/>
        </w:rPr>
      </w:pPr>
    </w:p>
    <w:p w14:paraId="26773BBB" w14:textId="530B6C8A" w:rsidR="00B14514" w:rsidRPr="000C51B3" w:rsidRDefault="00EE5C66" w:rsidP="006A4DD5">
      <w:pPr>
        <w:spacing w:before="120" w:line="259" w:lineRule="auto"/>
        <w:ind w:left="-73"/>
        <w:rPr>
          <w:rFonts w:ascii="Calibri" w:hAnsi="Calibri" w:cs="Calibri"/>
          <w:i/>
          <w:iCs/>
          <w:color w:val="56554B"/>
          <w:sz w:val="18"/>
          <w:szCs w:val="18"/>
        </w:rPr>
      </w:pPr>
      <w:r w:rsidRPr="000C51B3">
        <w:rPr>
          <w:rFonts w:ascii="Calibri" w:hAnsi="Calibri" w:cs="Calibri"/>
          <w:noProof/>
        </w:rPr>
        <w:drawing>
          <wp:anchor distT="0" distB="0" distL="114300" distR="114300" simplePos="0" relativeHeight="251847680" behindDoc="0" locked="0" layoutInCell="1" allowOverlap="1" wp14:anchorId="6439DC70" wp14:editId="1BF0F727">
            <wp:simplePos x="0" y="0"/>
            <wp:positionH relativeFrom="column">
              <wp:posOffset>295275</wp:posOffset>
            </wp:positionH>
            <wp:positionV relativeFrom="paragraph">
              <wp:posOffset>19050</wp:posOffset>
            </wp:positionV>
            <wp:extent cx="5410200" cy="2186940"/>
            <wp:effectExtent l="19050" t="19050" r="19050" b="22860"/>
            <wp:wrapTopAndBottom/>
            <wp:docPr id="1889275352" name="image1.png" descr="Graph showing retirement profiles">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75352" name="image1.png" descr="Graph showing retirement profiles">
                      <a:extLst>
                        <a:ext uri="{FF2B5EF4-FFF2-40B4-BE49-F238E27FC236}">
                          <a16:creationId xmlns:a16="http://schemas.microsoft.com/office/drawing/2014/main" id="{00000000-0008-0000-0000-000002000000}"/>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410200" cy="2186940"/>
                    </a:xfrm>
                    <a:prstGeom prst="rect">
                      <a:avLst/>
                    </a:prstGeom>
                    <a:ln w="6350">
                      <a:solidFill>
                        <a:schemeClr val="tx1"/>
                      </a:solidFill>
                    </a:ln>
                  </pic:spPr>
                </pic:pic>
              </a:graphicData>
            </a:graphic>
            <wp14:sizeRelH relativeFrom="margin">
              <wp14:pctWidth>0</wp14:pctWidth>
            </wp14:sizeRelH>
            <wp14:sizeRelV relativeFrom="margin">
              <wp14:pctHeight>0</wp14:pctHeight>
            </wp14:sizeRelV>
          </wp:anchor>
        </w:drawing>
      </w:r>
    </w:p>
    <w:p w14:paraId="32108A15" w14:textId="289CEC00" w:rsidR="006A4DD5" w:rsidRPr="000C51B3" w:rsidRDefault="006A4DD5" w:rsidP="0097178F">
      <w:pPr>
        <w:pStyle w:val="Heading2"/>
      </w:pPr>
      <w:bookmarkStart w:id="4" w:name="_4._Recruitment"/>
      <w:bookmarkEnd w:id="4"/>
      <w:r w:rsidRPr="000C51B3">
        <w:t>Recruitment</w:t>
      </w:r>
    </w:p>
    <w:p w14:paraId="7867C887" w14:textId="1042D975" w:rsidR="000854EC" w:rsidRPr="000C51B3" w:rsidRDefault="006A4DD5">
      <w:pPr>
        <w:pStyle w:val="ListParagraph"/>
        <w:numPr>
          <w:ilvl w:val="0"/>
          <w:numId w:val="12"/>
        </w:numPr>
        <w:spacing w:before="120" w:after="0" w:line="240" w:lineRule="auto"/>
        <w:contextualSpacing w:val="0"/>
        <w:rPr>
          <w:rFonts w:ascii="Calibri" w:hAnsi="Calibri" w:cs="Calibri"/>
          <w:szCs w:val="24"/>
        </w:rPr>
      </w:pPr>
      <w:r w:rsidRPr="000C51B3">
        <w:rPr>
          <w:rFonts w:ascii="Calibri" w:hAnsi="Calibri" w:cs="Calibri"/>
          <w:szCs w:val="24"/>
        </w:rPr>
        <w:t xml:space="preserve">Time to hire </w:t>
      </w:r>
      <w:r w:rsidR="00906CFE" w:rsidRPr="000C51B3">
        <w:rPr>
          <w:rFonts w:ascii="Calibri" w:hAnsi="Calibri" w:cs="Calibri"/>
          <w:szCs w:val="24"/>
        </w:rPr>
        <w:t xml:space="preserve">(candidate application to offer accepted) </w:t>
      </w:r>
      <w:r w:rsidRPr="000C51B3">
        <w:rPr>
          <w:rFonts w:ascii="Calibri" w:hAnsi="Calibri" w:cs="Calibri"/>
          <w:szCs w:val="24"/>
        </w:rPr>
        <w:t>is now within target (&lt; 45 days Fig. 4a), reflecting improved recruitment processes</w:t>
      </w:r>
      <w:r w:rsidR="00EE5C66" w:rsidRPr="000C51B3">
        <w:rPr>
          <w:rFonts w:ascii="Calibri" w:hAnsi="Calibri" w:cs="Calibri"/>
          <w:szCs w:val="24"/>
        </w:rPr>
        <w:t xml:space="preserve"> through  our HR module on Fusion</w:t>
      </w:r>
      <w:r w:rsidRPr="000C51B3">
        <w:rPr>
          <w:rFonts w:ascii="Calibri" w:hAnsi="Calibri" w:cs="Calibri"/>
          <w:szCs w:val="24"/>
        </w:rPr>
        <w:t>. Time to fill (end to end recruitment process) is decreasing but remains high at 95 days (Fig. 4a). This may lead to delays in onboarding and workforce capacity gaps. Fusion processes are being developed to reduce this process to within 60 days.</w:t>
      </w:r>
    </w:p>
    <w:p w14:paraId="2F0F6777" w14:textId="6C1B7A20" w:rsidR="006A4DD5" w:rsidRPr="000C51B3" w:rsidRDefault="006A4DD5" w:rsidP="00BA09FE">
      <w:pPr>
        <w:spacing w:before="240" w:line="259" w:lineRule="auto"/>
        <w:ind w:left="426" w:right="283"/>
        <w:rPr>
          <w:rFonts w:ascii="Calibri" w:hAnsi="Calibri" w:cs="Calibri"/>
          <w:i/>
          <w:iCs/>
          <w:color w:val="56554B"/>
          <w:sz w:val="18"/>
          <w:szCs w:val="18"/>
        </w:rPr>
      </w:pPr>
      <w:r w:rsidRPr="000C51B3">
        <w:rPr>
          <w:rFonts w:ascii="Calibri" w:hAnsi="Calibri" w:cs="Calibri"/>
          <w:noProof/>
          <w:sz w:val="20"/>
          <w:szCs w:val="20"/>
        </w:rPr>
        <w:drawing>
          <wp:anchor distT="0" distB="0" distL="114300" distR="114300" simplePos="0" relativeHeight="251848704" behindDoc="0" locked="0" layoutInCell="1" allowOverlap="1" wp14:anchorId="02578D4B" wp14:editId="5EACB8E0">
            <wp:simplePos x="0" y="0"/>
            <wp:positionH relativeFrom="margin">
              <wp:posOffset>247650</wp:posOffset>
            </wp:positionH>
            <wp:positionV relativeFrom="paragraph">
              <wp:posOffset>603250</wp:posOffset>
            </wp:positionV>
            <wp:extent cx="5457825" cy="1879600"/>
            <wp:effectExtent l="19050" t="19050" r="28575" b="25400"/>
            <wp:wrapTopAndBottom/>
            <wp:docPr id="480320484" name="image1.png" descr="Grpah showing average time to hire">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320484" name="image1.png" descr="Grpah showing average time to hire">
                      <a:extLst>
                        <a:ext uri="{FF2B5EF4-FFF2-40B4-BE49-F238E27FC236}">
                          <a16:creationId xmlns:a16="http://schemas.microsoft.com/office/drawing/2014/main" id="{00000000-0008-0000-0000-000002000000}"/>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457825" cy="1879600"/>
                    </a:xfrm>
                    <a:prstGeom prst="rect">
                      <a:avLst/>
                    </a:prstGeom>
                    <a:ln w="6350">
                      <a:solidFill>
                        <a:schemeClr val="tx1"/>
                      </a:solidFill>
                    </a:ln>
                  </pic:spPr>
                </pic:pic>
              </a:graphicData>
            </a:graphic>
            <wp14:sizeRelH relativeFrom="margin">
              <wp14:pctWidth>0</wp14:pctWidth>
            </wp14:sizeRelH>
            <wp14:sizeRelV relativeFrom="margin">
              <wp14:pctHeight>0</wp14:pctHeight>
            </wp14:sizeRelV>
          </wp:anchor>
        </w:drawing>
      </w:r>
      <w:r w:rsidRPr="000C51B3">
        <w:rPr>
          <w:rFonts w:ascii="Calibri" w:hAnsi="Calibri" w:cs="Calibri"/>
          <w:color w:val="56554B"/>
          <w:sz w:val="20"/>
          <w:szCs w:val="20"/>
        </w:rPr>
        <w:t xml:space="preserve">Figure 4a: change in average time to fill and hire to a position per quarter, over the past 3 years. The green target zone is for time to hire (green line) and is based on best practice </w:t>
      </w:r>
      <w:r w:rsidR="002903A2" w:rsidRPr="000C51B3">
        <w:rPr>
          <w:rFonts w:ascii="Calibri" w:hAnsi="Calibri" w:cs="Calibri"/>
          <w:color w:val="56554B"/>
          <w:sz w:val="20"/>
          <w:szCs w:val="20"/>
        </w:rPr>
        <w:t>guidelines.</w:t>
      </w:r>
    </w:p>
    <w:p w14:paraId="7D010DDA" w14:textId="77777777" w:rsidR="006A4DD5" w:rsidRPr="000C51B3" w:rsidRDefault="006A4DD5" w:rsidP="006A4DD5">
      <w:pPr>
        <w:spacing w:before="120" w:line="259" w:lineRule="auto"/>
        <w:ind w:left="-74" w:right="283"/>
        <w:rPr>
          <w:rFonts w:ascii="Calibri" w:hAnsi="Calibri" w:cs="Calibri"/>
        </w:rPr>
      </w:pPr>
      <w:r w:rsidRPr="000C51B3">
        <w:rPr>
          <w:rFonts w:ascii="Calibri" w:hAnsi="Calibri" w:cs="Calibri"/>
          <w:i/>
          <w:iCs/>
          <w:color w:val="56554B"/>
          <w:sz w:val="18"/>
          <w:szCs w:val="18"/>
        </w:rPr>
        <w:t xml:space="preserve"> </w:t>
      </w:r>
    </w:p>
    <w:p w14:paraId="2FEBC8DB" w14:textId="486F2F62" w:rsidR="006A4DD5" w:rsidRPr="000C51B3" w:rsidRDefault="006A4DD5" w:rsidP="0097178F">
      <w:pPr>
        <w:pStyle w:val="Heading2"/>
      </w:pPr>
      <w:bookmarkStart w:id="5" w:name="_5._Attendance"/>
      <w:bookmarkEnd w:id="5"/>
      <w:r w:rsidRPr="000C51B3">
        <w:lastRenderedPageBreak/>
        <w:t>Attendance</w:t>
      </w:r>
    </w:p>
    <w:p w14:paraId="2B119DAE" w14:textId="77777777" w:rsidR="00947D2D" w:rsidRDefault="006A4DD5" w:rsidP="00947D2D">
      <w:pPr>
        <w:pStyle w:val="ListParagraph"/>
        <w:numPr>
          <w:ilvl w:val="0"/>
          <w:numId w:val="12"/>
        </w:numPr>
        <w:spacing w:before="120" w:after="0" w:line="240" w:lineRule="auto"/>
        <w:contextualSpacing w:val="0"/>
        <w:rPr>
          <w:rFonts w:ascii="Calibri" w:hAnsi="Calibri" w:cs="Calibri"/>
          <w:szCs w:val="24"/>
        </w:rPr>
      </w:pPr>
      <w:r w:rsidRPr="000C51B3">
        <w:rPr>
          <w:rFonts w:ascii="Calibri" w:hAnsi="Calibri" w:cs="Calibri"/>
          <w:szCs w:val="24"/>
        </w:rPr>
        <w:t>Working time lost due to sickness absences is within recommended levels (shaded area in Fig. 5a).</w:t>
      </w:r>
      <w:r w:rsidR="00947D2D" w:rsidRPr="000C51B3">
        <w:rPr>
          <w:rFonts w:ascii="Calibri" w:hAnsi="Calibri" w:cs="Calibri"/>
          <w:szCs w:val="24"/>
        </w:rPr>
        <w:t xml:space="preserve"> </w:t>
      </w:r>
    </w:p>
    <w:p w14:paraId="3304968A" w14:textId="77777777" w:rsidR="0097178F" w:rsidRPr="000C51B3" w:rsidRDefault="0097178F" w:rsidP="0097178F">
      <w:pPr>
        <w:pStyle w:val="ListParagraph"/>
        <w:spacing w:before="120" w:after="0" w:line="240" w:lineRule="auto"/>
        <w:ind w:left="360"/>
        <w:contextualSpacing w:val="0"/>
        <w:rPr>
          <w:rFonts w:ascii="Calibri" w:hAnsi="Calibri" w:cs="Calibri"/>
          <w:szCs w:val="24"/>
        </w:rPr>
      </w:pPr>
    </w:p>
    <w:p w14:paraId="14D79CA9" w14:textId="04720BA2" w:rsidR="00947D2D" w:rsidRPr="000C51B3" w:rsidRDefault="00947D2D" w:rsidP="00947D2D">
      <w:pPr>
        <w:pStyle w:val="ListParagraph"/>
        <w:numPr>
          <w:ilvl w:val="0"/>
          <w:numId w:val="12"/>
        </w:numPr>
        <w:spacing w:before="120" w:after="0" w:line="240" w:lineRule="auto"/>
        <w:contextualSpacing w:val="0"/>
        <w:rPr>
          <w:rFonts w:ascii="Calibri" w:hAnsi="Calibri" w:cs="Calibri"/>
          <w:szCs w:val="24"/>
        </w:rPr>
      </w:pPr>
      <w:r w:rsidRPr="000C51B3">
        <w:rPr>
          <w:rFonts w:ascii="Calibri" w:hAnsi="Calibri" w:cs="Calibri"/>
          <w:szCs w:val="24"/>
        </w:rPr>
        <w:t>Long-term absences are primarily driven by work-related stress, consistent with UK trends. We are tackling this by continuing proactive interventions (e.g. HSE Workplace Stress Survey and associated action plan).</w:t>
      </w:r>
    </w:p>
    <w:p w14:paraId="36CC6065" w14:textId="77777777" w:rsidR="00EE5C66" w:rsidRPr="000C51B3" w:rsidRDefault="00EE5C66" w:rsidP="00EE5C66">
      <w:pPr>
        <w:spacing w:before="120" w:after="0" w:line="240" w:lineRule="auto"/>
        <w:ind w:left="426"/>
        <w:rPr>
          <w:rFonts w:ascii="Calibri" w:hAnsi="Calibri" w:cs="Calibri"/>
          <w:szCs w:val="24"/>
        </w:rPr>
      </w:pPr>
      <w:r w:rsidRPr="000C51B3">
        <w:rPr>
          <w:rFonts w:ascii="Calibri" w:hAnsi="Calibri" w:cs="Calibri"/>
          <w:i/>
          <w:iCs/>
          <w:color w:val="56554B"/>
          <w:sz w:val="18"/>
          <w:szCs w:val="18"/>
        </w:rPr>
        <w:t>Figure 5a: change in the percentage of working time lost from sickness absences per quarter over the past 3 years</w:t>
      </w:r>
    </w:p>
    <w:p w14:paraId="02BEC517" w14:textId="5E66235B" w:rsidR="006A6A27" w:rsidRPr="000C51B3" w:rsidRDefault="00EE5C66" w:rsidP="00947D2D">
      <w:pPr>
        <w:spacing w:before="120" w:after="0" w:line="240" w:lineRule="auto"/>
        <w:rPr>
          <w:rFonts w:ascii="Calibri" w:hAnsi="Calibri" w:cs="Calibri"/>
          <w:i/>
          <w:iCs/>
          <w:color w:val="56554B"/>
          <w:sz w:val="18"/>
          <w:szCs w:val="18"/>
        </w:rPr>
      </w:pPr>
      <w:r w:rsidRPr="000C51B3">
        <w:rPr>
          <w:rFonts w:ascii="Calibri" w:hAnsi="Calibri" w:cs="Calibri"/>
          <w:noProof/>
        </w:rPr>
        <w:drawing>
          <wp:anchor distT="0" distB="0" distL="114300" distR="114300" simplePos="0" relativeHeight="251849728" behindDoc="0" locked="0" layoutInCell="1" allowOverlap="1" wp14:anchorId="3F771A3E" wp14:editId="5D34DE53">
            <wp:simplePos x="0" y="0"/>
            <wp:positionH relativeFrom="margin">
              <wp:posOffset>257175</wp:posOffset>
            </wp:positionH>
            <wp:positionV relativeFrom="paragraph">
              <wp:posOffset>374650</wp:posOffset>
            </wp:positionV>
            <wp:extent cx="5448300" cy="2028825"/>
            <wp:effectExtent l="19050" t="19050" r="19050" b="28575"/>
            <wp:wrapTopAndBottom/>
            <wp:docPr id="1397137263" name="image1.png" descr="Graph showing working time lost due to sickness absence">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37263" name="image1.png" descr="Graph showing working time lost due to sickness absence">
                      <a:extLst>
                        <a:ext uri="{FF2B5EF4-FFF2-40B4-BE49-F238E27FC236}">
                          <a16:creationId xmlns:a16="http://schemas.microsoft.com/office/drawing/2014/main" id="{00000000-0008-0000-0000-000002000000}"/>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448300" cy="2028825"/>
                    </a:xfrm>
                    <a:prstGeom prst="rect">
                      <a:avLst/>
                    </a:prstGeom>
                    <a:ln w="6350">
                      <a:solidFill>
                        <a:schemeClr val="tx1"/>
                      </a:solidFill>
                    </a:ln>
                  </pic:spPr>
                </pic:pic>
              </a:graphicData>
            </a:graphic>
            <wp14:sizeRelH relativeFrom="margin">
              <wp14:pctWidth>0</wp14:pctWidth>
            </wp14:sizeRelH>
          </wp:anchor>
        </w:drawing>
      </w:r>
    </w:p>
    <w:p w14:paraId="524E5DB2" w14:textId="00A0DDDB" w:rsidR="006A6A27" w:rsidRPr="000C51B3" w:rsidRDefault="006A6A27" w:rsidP="00947D2D">
      <w:pPr>
        <w:spacing w:before="120" w:after="0" w:line="240" w:lineRule="auto"/>
        <w:rPr>
          <w:rFonts w:ascii="Calibri" w:hAnsi="Calibri" w:cs="Calibri"/>
          <w:i/>
          <w:iCs/>
          <w:color w:val="56554B"/>
          <w:sz w:val="18"/>
          <w:szCs w:val="18"/>
        </w:rPr>
      </w:pPr>
    </w:p>
    <w:p w14:paraId="5D08554F" w14:textId="6EF36583" w:rsidR="006A4DD5" w:rsidRDefault="006A4DD5">
      <w:pPr>
        <w:pStyle w:val="ListParagraph"/>
        <w:numPr>
          <w:ilvl w:val="0"/>
          <w:numId w:val="12"/>
        </w:numPr>
        <w:spacing w:before="120" w:after="0" w:line="240" w:lineRule="auto"/>
        <w:contextualSpacing w:val="0"/>
        <w:rPr>
          <w:rFonts w:ascii="Calibri" w:hAnsi="Calibri" w:cs="Calibri"/>
          <w:szCs w:val="24"/>
        </w:rPr>
      </w:pPr>
      <w:r w:rsidRPr="000C51B3">
        <w:rPr>
          <w:rFonts w:ascii="Calibri" w:hAnsi="Calibri" w:cs="Calibri"/>
          <w:szCs w:val="24"/>
        </w:rPr>
        <w:t>For short term absences, cold, cough, and flu are the most common reason, which aligns with seasonal trends across Scotland.</w:t>
      </w:r>
    </w:p>
    <w:p w14:paraId="10FE0531" w14:textId="77777777" w:rsidR="0097178F" w:rsidRPr="000C51B3" w:rsidRDefault="0097178F" w:rsidP="0097178F">
      <w:pPr>
        <w:pStyle w:val="ListParagraph"/>
        <w:spacing w:before="120" w:after="0" w:line="240" w:lineRule="auto"/>
        <w:ind w:left="360"/>
        <w:contextualSpacing w:val="0"/>
        <w:rPr>
          <w:rFonts w:ascii="Calibri" w:hAnsi="Calibri" w:cs="Calibri"/>
          <w:szCs w:val="24"/>
        </w:rPr>
      </w:pPr>
    </w:p>
    <w:p w14:paraId="23BD9C08" w14:textId="04E2C0A7" w:rsidR="006A4DD5" w:rsidRDefault="006A4DD5">
      <w:pPr>
        <w:pStyle w:val="ListParagraph"/>
        <w:numPr>
          <w:ilvl w:val="0"/>
          <w:numId w:val="12"/>
        </w:numPr>
        <w:spacing w:before="120" w:after="0" w:line="240" w:lineRule="auto"/>
        <w:contextualSpacing w:val="0"/>
        <w:rPr>
          <w:rFonts w:ascii="Calibri" w:hAnsi="Calibri" w:cs="Calibri"/>
          <w:szCs w:val="24"/>
        </w:rPr>
      </w:pPr>
      <w:r w:rsidRPr="000C51B3">
        <w:rPr>
          <w:rFonts w:ascii="Calibri" w:hAnsi="Calibri" w:cs="Calibri"/>
          <w:szCs w:val="24"/>
        </w:rPr>
        <w:t xml:space="preserve">Females tend to have a higher number of sick days which is commonly observed across UK workforce data. </w:t>
      </w:r>
    </w:p>
    <w:p w14:paraId="06A3074A" w14:textId="77777777" w:rsidR="0097178F" w:rsidRPr="0097178F" w:rsidRDefault="0097178F" w:rsidP="0097178F">
      <w:pPr>
        <w:spacing w:before="120" w:after="0" w:line="240" w:lineRule="auto"/>
        <w:rPr>
          <w:rFonts w:ascii="Calibri" w:hAnsi="Calibri" w:cs="Calibri"/>
          <w:szCs w:val="24"/>
        </w:rPr>
      </w:pPr>
    </w:p>
    <w:p w14:paraId="3C179AB3" w14:textId="179CF0C2" w:rsidR="006A4DD5" w:rsidRPr="000C51B3" w:rsidRDefault="006A4DD5">
      <w:pPr>
        <w:pStyle w:val="ListParagraph"/>
        <w:numPr>
          <w:ilvl w:val="0"/>
          <w:numId w:val="12"/>
        </w:numPr>
        <w:spacing w:before="120" w:after="0" w:line="240" w:lineRule="auto"/>
        <w:contextualSpacing w:val="0"/>
        <w:rPr>
          <w:rFonts w:ascii="Calibri" w:hAnsi="Calibri" w:cs="Calibri"/>
          <w:szCs w:val="24"/>
        </w:rPr>
      </w:pPr>
      <w:r w:rsidRPr="000C51B3">
        <w:rPr>
          <w:rFonts w:ascii="Calibri" w:hAnsi="Calibri" w:cs="Calibri"/>
          <w:szCs w:val="24"/>
        </w:rPr>
        <w:t>Absence rates are broadly consistent across grades and age group</w:t>
      </w:r>
      <w:r w:rsidR="00947D2D" w:rsidRPr="000C51B3">
        <w:rPr>
          <w:rFonts w:ascii="Calibri" w:hAnsi="Calibri" w:cs="Calibri"/>
          <w:szCs w:val="24"/>
        </w:rPr>
        <w:t>s</w:t>
      </w:r>
      <w:r w:rsidRPr="000C51B3">
        <w:rPr>
          <w:rFonts w:ascii="Calibri" w:hAnsi="Calibri" w:cs="Calibri"/>
          <w:szCs w:val="24"/>
        </w:rPr>
        <w:t xml:space="preserve">. </w:t>
      </w:r>
      <w:r w:rsidR="00052694" w:rsidRPr="000C51B3">
        <w:rPr>
          <w:rFonts w:ascii="Calibri" w:hAnsi="Calibri" w:cs="Calibri"/>
          <w:szCs w:val="24"/>
        </w:rPr>
        <w:t>Our</w:t>
      </w:r>
      <w:r w:rsidRPr="000C51B3">
        <w:rPr>
          <w:rFonts w:ascii="Calibri" w:hAnsi="Calibri" w:cs="Calibri"/>
          <w:szCs w:val="24"/>
        </w:rPr>
        <w:t xml:space="preserve"> continued tracking </w:t>
      </w:r>
      <w:r w:rsidR="00052694" w:rsidRPr="000C51B3">
        <w:rPr>
          <w:rFonts w:ascii="Calibri" w:hAnsi="Calibri" w:cs="Calibri"/>
          <w:szCs w:val="24"/>
        </w:rPr>
        <w:t>will help</w:t>
      </w:r>
      <w:r w:rsidRPr="000C51B3">
        <w:rPr>
          <w:rFonts w:ascii="Calibri" w:hAnsi="Calibri" w:cs="Calibri"/>
          <w:szCs w:val="24"/>
        </w:rPr>
        <w:t xml:space="preserve"> identify emerging risks </w:t>
      </w:r>
      <w:r w:rsidR="00906CFE" w:rsidRPr="000C51B3">
        <w:rPr>
          <w:rFonts w:ascii="Calibri" w:hAnsi="Calibri" w:cs="Calibri"/>
          <w:szCs w:val="24"/>
        </w:rPr>
        <w:t xml:space="preserve">early </w:t>
      </w:r>
      <w:r w:rsidRPr="000C51B3">
        <w:rPr>
          <w:rFonts w:ascii="Calibri" w:hAnsi="Calibri" w:cs="Calibri"/>
          <w:szCs w:val="24"/>
        </w:rPr>
        <w:t xml:space="preserve">in specific groups. </w:t>
      </w:r>
    </w:p>
    <w:p w14:paraId="5F611778" w14:textId="1176FC50" w:rsidR="000854EC" w:rsidRPr="000C51B3" w:rsidRDefault="000854EC" w:rsidP="008B4A55">
      <w:pPr>
        <w:spacing w:after="160" w:line="259" w:lineRule="auto"/>
        <w:jc w:val="center"/>
        <w:rPr>
          <w:rFonts w:ascii="Calibri" w:hAnsi="Calibri" w:cs="Calibri"/>
          <w:b/>
          <w:bCs/>
        </w:rPr>
      </w:pPr>
    </w:p>
    <w:p w14:paraId="5D0EBFAE" w14:textId="4F4DB32A" w:rsidR="006A4DD5" w:rsidRPr="000C51B3" w:rsidRDefault="006A4DD5" w:rsidP="0097178F">
      <w:pPr>
        <w:pStyle w:val="Heading2"/>
      </w:pPr>
      <w:bookmarkStart w:id="6" w:name="_6._Employee_Relations"/>
      <w:bookmarkEnd w:id="6"/>
      <w:r w:rsidRPr="000C51B3">
        <w:t>Employee Relations</w:t>
      </w:r>
    </w:p>
    <w:p w14:paraId="19DC6E06" w14:textId="3AE7ABDC" w:rsidR="006A4DD5" w:rsidRDefault="006A4DD5">
      <w:pPr>
        <w:pStyle w:val="ListParagraph"/>
        <w:numPr>
          <w:ilvl w:val="0"/>
          <w:numId w:val="12"/>
        </w:numPr>
        <w:spacing w:before="120" w:after="0" w:line="240" w:lineRule="auto"/>
        <w:contextualSpacing w:val="0"/>
        <w:rPr>
          <w:rFonts w:ascii="Calibri" w:hAnsi="Calibri" w:cs="Calibri"/>
          <w:szCs w:val="24"/>
        </w:rPr>
      </w:pPr>
      <w:r w:rsidRPr="000C51B3">
        <w:rPr>
          <w:rFonts w:ascii="Calibri" w:hAnsi="Calibri" w:cs="Calibri"/>
          <w:szCs w:val="24"/>
        </w:rPr>
        <w:t>Formal case volumes remain steady and within recommended levels</w:t>
      </w:r>
      <w:r w:rsidR="00F071B2" w:rsidRPr="000C51B3">
        <w:rPr>
          <w:rFonts w:ascii="Calibri" w:hAnsi="Calibri" w:cs="Calibri"/>
          <w:szCs w:val="24"/>
        </w:rPr>
        <w:t>, i</w:t>
      </w:r>
      <w:r w:rsidRPr="000C51B3">
        <w:rPr>
          <w:rFonts w:ascii="Calibri" w:hAnsi="Calibri" w:cs="Calibri"/>
          <w:szCs w:val="24"/>
        </w:rPr>
        <w:t>ndicating no immediate escalation in high-risk or complex cases.</w:t>
      </w:r>
    </w:p>
    <w:p w14:paraId="31516207" w14:textId="77777777" w:rsidR="0097178F" w:rsidRPr="000C51B3" w:rsidRDefault="0097178F" w:rsidP="0097178F">
      <w:pPr>
        <w:pStyle w:val="ListParagraph"/>
        <w:spacing w:before="120" w:after="0" w:line="240" w:lineRule="auto"/>
        <w:ind w:left="360"/>
        <w:contextualSpacing w:val="0"/>
        <w:rPr>
          <w:rFonts w:ascii="Calibri" w:hAnsi="Calibri" w:cs="Calibri"/>
          <w:szCs w:val="24"/>
        </w:rPr>
      </w:pPr>
    </w:p>
    <w:p w14:paraId="33F944F6" w14:textId="6AA0E483" w:rsidR="006A4DD5" w:rsidRPr="000C51B3" w:rsidRDefault="006A4DD5">
      <w:pPr>
        <w:pStyle w:val="ListParagraph"/>
        <w:numPr>
          <w:ilvl w:val="0"/>
          <w:numId w:val="12"/>
        </w:numPr>
        <w:spacing w:before="120" w:after="0" w:line="240" w:lineRule="auto"/>
        <w:contextualSpacing w:val="0"/>
        <w:rPr>
          <w:rFonts w:ascii="Calibri" w:hAnsi="Calibri" w:cs="Calibri"/>
          <w:szCs w:val="24"/>
        </w:rPr>
      </w:pPr>
      <w:r w:rsidRPr="000C51B3">
        <w:rPr>
          <w:rFonts w:ascii="Calibri" w:hAnsi="Calibri" w:cs="Calibri"/>
          <w:szCs w:val="24"/>
        </w:rPr>
        <w:t xml:space="preserve">Informal case volumes also remain low, with the most cases being opened due to absence issues. This is due to the proactive approach of P&amp;OD to flag absences sooner. </w:t>
      </w:r>
    </w:p>
    <w:p w14:paraId="6EBA279D" w14:textId="77777777" w:rsidR="006A4DD5" w:rsidRPr="000C51B3" w:rsidRDefault="006A4DD5" w:rsidP="006A4DD5">
      <w:pPr>
        <w:spacing w:before="120" w:line="259" w:lineRule="auto"/>
        <w:rPr>
          <w:rFonts w:ascii="Calibri" w:hAnsi="Calibri" w:cs="Calibri"/>
        </w:rPr>
      </w:pPr>
    </w:p>
    <w:p w14:paraId="1C6A9EE9" w14:textId="3F1C31BB" w:rsidR="006A4DD5" w:rsidRPr="000C51B3" w:rsidRDefault="006A4DD5" w:rsidP="00363910">
      <w:pPr>
        <w:rPr>
          <w:rFonts w:ascii="Calibri" w:hAnsi="Calibri" w:cs="Calibri"/>
        </w:rPr>
      </w:pPr>
    </w:p>
    <w:p w14:paraId="3320E43B" w14:textId="77777777" w:rsidR="00947D2D" w:rsidRPr="000C51B3" w:rsidRDefault="00947D2D" w:rsidP="000C51B3">
      <w:pPr>
        <w:pStyle w:val="Heading1"/>
        <w:rPr>
          <w:rFonts w:eastAsiaTheme="minorHAnsi"/>
        </w:rPr>
        <w:sectPr w:rsidR="00947D2D" w:rsidRPr="000C51B3" w:rsidSect="00F071B2">
          <w:pgSz w:w="11906" w:h="16838" w:code="9"/>
          <w:pgMar w:top="1440" w:right="1440" w:bottom="1440" w:left="1440" w:header="567" w:footer="709" w:gutter="0"/>
          <w:cols w:space="708"/>
          <w:docGrid w:linePitch="360"/>
        </w:sectPr>
      </w:pPr>
    </w:p>
    <w:p w14:paraId="43D845D3" w14:textId="0BE7EB34" w:rsidR="006B4F97" w:rsidRPr="00977B59" w:rsidRDefault="00B0014B" w:rsidP="00977B59">
      <w:pPr>
        <w:pStyle w:val="Heading1"/>
        <w:rPr>
          <w:rFonts w:eastAsiaTheme="minorHAnsi"/>
        </w:rPr>
      </w:pPr>
      <w:r w:rsidRPr="00977B59">
        <w:rPr>
          <w:rFonts w:eastAsiaTheme="minorHAnsi"/>
        </w:rPr>
        <w:lastRenderedPageBreak/>
        <w:t>A</w:t>
      </w:r>
      <w:r w:rsidR="00AD2E4D" w:rsidRPr="00977B59">
        <w:rPr>
          <w:rFonts w:eastAsiaTheme="minorHAnsi"/>
        </w:rPr>
        <w:t>ppendi</w:t>
      </w:r>
      <w:r w:rsidRPr="00977B59">
        <w:rPr>
          <w:rFonts w:eastAsiaTheme="minorHAnsi"/>
        </w:rPr>
        <w:t xml:space="preserve">x 2 – </w:t>
      </w:r>
      <w:r w:rsidR="007B5077" w:rsidRPr="00977B59">
        <w:rPr>
          <w:rFonts w:eastAsiaTheme="minorHAnsi"/>
        </w:rPr>
        <w:t xml:space="preserve">Finance </w:t>
      </w:r>
      <w:r w:rsidR="00E81E84" w:rsidRPr="00977B59">
        <w:rPr>
          <w:rFonts w:eastAsiaTheme="minorHAnsi"/>
        </w:rPr>
        <w:t xml:space="preserve">Report - </w:t>
      </w:r>
      <w:r w:rsidR="007B5077" w:rsidRPr="00977B59">
        <w:rPr>
          <w:rFonts w:eastAsiaTheme="minorHAnsi"/>
        </w:rPr>
        <w:t>Performance Detail</w:t>
      </w:r>
      <w:r w:rsidR="00782800" w:rsidRPr="00977B59">
        <w:rPr>
          <w:rFonts w:eastAsiaTheme="minorHAnsi"/>
        </w:rPr>
        <w:t xml:space="preserve"> </w:t>
      </w:r>
    </w:p>
    <w:p w14:paraId="4EB4F80B" w14:textId="77777777" w:rsidR="00A479D5" w:rsidRPr="00977B59" w:rsidRDefault="00A479D5" w:rsidP="00977B59">
      <w:pPr>
        <w:pStyle w:val="Heading2"/>
      </w:pPr>
      <w:r w:rsidRPr="00977B59">
        <w:t xml:space="preserve">Resource Budget Performance </w:t>
      </w:r>
    </w:p>
    <w:p w14:paraId="10F77496" w14:textId="20F68BBC" w:rsidR="00A779B2" w:rsidRDefault="00A779B2">
      <w:pPr>
        <w:pStyle w:val="ListParagraph"/>
        <w:numPr>
          <w:ilvl w:val="0"/>
          <w:numId w:val="4"/>
        </w:numPr>
        <w:ind w:left="357" w:hanging="357"/>
        <w:jc w:val="both"/>
        <w:rPr>
          <w:rFonts w:ascii="Calibri" w:hAnsi="Calibri" w:cs="Calibri"/>
          <w:szCs w:val="24"/>
        </w:rPr>
      </w:pPr>
      <w:r w:rsidRPr="000C51B3">
        <w:rPr>
          <w:rFonts w:ascii="Calibri" w:hAnsi="Calibri" w:cs="Calibri"/>
          <w:szCs w:val="24"/>
        </w:rPr>
        <w:t xml:space="preserve">An underspend of £0.2m is the expected outturn on the resource budget.  This is made up an overspend on Core GIA of £0.2m, an underspend on Programme Funds of £0.5m and an overspend on non-cash depreciation of £0.1m.  </w:t>
      </w:r>
    </w:p>
    <w:p w14:paraId="6B892167" w14:textId="77777777" w:rsidR="0097178F" w:rsidRPr="000C51B3" w:rsidRDefault="0097178F" w:rsidP="0097178F">
      <w:pPr>
        <w:pStyle w:val="ListParagraph"/>
        <w:ind w:left="357"/>
        <w:jc w:val="both"/>
        <w:rPr>
          <w:rFonts w:ascii="Calibri" w:hAnsi="Calibri" w:cs="Calibri"/>
          <w:szCs w:val="24"/>
        </w:rPr>
      </w:pPr>
    </w:p>
    <w:p w14:paraId="16EA76D1" w14:textId="77777777" w:rsidR="0097178F" w:rsidRDefault="00111D71" w:rsidP="0097178F">
      <w:pPr>
        <w:pStyle w:val="ListParagraph"/>
        <w:numPr>
          <w:ilvl w:val="0"/>
          <w:numId w:val="4"/>
        </w:numPr>
        <w:ind w:left="357" w:hanging="357"/>
        <w:jc w:val="both"/>
        <w:rPr>
          <w:rFonts w:ascii="Calibri" w:hAnsi="Calibri" w:cs="Calibri"/>
          <w:szCs w:val="24"/>
        </w:rPr>
      </w:pPr>
      <w:r w:rsidRPr="000C51B3">
        <w:rPr>
          <w:rFonts w:ascii="Calibri" w:hAnsi="Calibri" w:cs="Calibri"/>
          <w:szCs w:val="24"/>
        </w:rPr>
        <w:t>We</w:t>
      </w:r>
      <w:r w:rsidR="00A779B2" w:rsidRPr="000C51B3">
        <w:rPr>
          <w:rFonts w:ascii="Calibri" w:hAnsi="Calibri" w:cs="Calibri"/>
          <w:szCs w:val="24"/>
        </w:rPr>
        <w:t xml:space="preserve"> </w:t>
      </w:r>
      <w:r w:rsidRPr="000C51B3">
        <w:rPr>
          <w:rFonts w:ascii="Calibri" w:hAnsi="Calibri" w:cs="Calibri"/>
          <w:szCs w:val="24"/>
        </w:rPr>
        <w:t>are</w:t>
      </w:r>
      <w:r w:rsidR="00A779B2" w:rsidRPr="000C51B3">
        <w:rPr>
          <w:rFonts w:ascii="Calibri" w:hAnsi="Calibri" w:cs="Calibri"/>
          <w:szCs w:val="24"/>
        </w:rPr>
        <w:t xml:space="preserve"> review</w:t>
      </w:r>
      <w:r w:rsidRPr="000C51B3">
        <w:rPr>
          <w:rFonts w:ascii="Calibri" w:hAnsi="Calibri" w:cs="Calibri"/>
          <w:szCs w:val="24"/>
        </w:rPr>
        <w:t>ing</w:t>
      </w:r>
      <w:r w:rsidR="00A779B2" w:rsidRPr="000C51B3">
        <w:rPr>
          <w:rFonts w:ascii="Calibri" w:hAnsi="Calibri" w:cs="Calibri"/>
          <w:szCs w:val="24"/>
        </w:rPr>
        <w:t xml:space="preserve"> 2025/26, validating, adjusting and reconciling our accounts.  This work continues until Q2 when the accounts are finalised and closed.  Therefore, the </w:t>
      </w:r>
      <w:r w:rsidRPr="000C51B3">
        <w:rPr>
          <w:rFonts w:ascii="Calibri" w:hAnsi="Calibri" w:cs="Calibri"/>
          <w:szCs w:val="24"/>
        </w:rPr>
        <w:t xml:space="preserve">exact </w:t>
      </w:r>
      <w:r w:rsidR="00A779B2" w:rsidRPr="000C51B3">
        <w:rPr>
          <w:rFonts w:ascii="Calibri" w:hAnsi="Calibri" w:cs="Calibri"/>
          <w:szCs w:val="24"/>
        </w:rPr>
        <w:t>final position is not known yet.</w:t>
      </w:r>
    </w:p>
    <w:p w14:paraId="3BDCE760" w14:textId="77777777" w:rsidR="0097178F" w:rsidRPr="0097178F" w:rsidRDefault="0097178F" w:rsidP="0097178F">
      <w:pPr>
        <w:pStyle w:val="ListParagraph"/>
        <w:rPr>
          <w:rFonts w:ascii="Calibri" w:hAnsi="Calibri" w:cs="Calibri"/>
          <w:szCs w:val="24"/>
        </w:rPr>
      </w:pPr>
    </w:p>
    <w:p w14:paraId="42023556" w14:textId="77777777" w:rsidR="0097178F" w:rsidRDefault="00A779B2" w:rsidP="0097178F">
      <w:pPr>
        <w:pStyle w:val="ListParagraph"/>
        <w:numPr>
          <w:ilvl w:val="0"/>
          <w:numId w:val="4"/>
        </w:numPr>
        <w:ind w:left="357" w:hanging="357"/>
        <w:jc w:val="both"/>
        <w:rPr>
          <w:rFonts w:ascii="Calibri" w:hAnsi="Calibri" w:cs="Calibri"/>
          <w:szCs w:val="24"/>
        </w:rPr>
      </w:pPr>
      <w:r w:rsidRPr="0097178F">
        <w:rPr>
          <w:rFonts w:ascii="Calibri" w:hAnsi="Calibri" w:cs="Calibri"/>
          <w:szCs w:val="24"/>
        </w:rPr>
        <w:t>The Farming with Nature budget is £0.8m.  Full spend on this programme was achieved.</w:t>
      </w:r>
    </w:p>
    <w:p w14:paraId="69C50978" w14:textId="77777777" w:rsidR="0097178F" w:rsidRPr="0097178F" w:rsidRDefault="0097178F" w:rsidP="0097178F">
      <w:pPr>
        <w:pStyle w:val="ListParagraph"/>
        <w:rPr>
          <w:rFonts w:ascii="Calibri" w:hAnsi="Calibri" w:cs="Calibri"/>
          <w:szCs w:val="24"/>
        </w:rPr>
      </w:pPr>
    </w:p>
    <w:p w14:paraId="1257F33E" w14:textId="77777777" w:rsidR="0097178F" w:rsidRDefault="00A779B2" w:rsidP="0097178F">
      <w:pPr>
        <w:pStyle w:val="ListParagraph"/>
        <w:numPr>
          <w:ilvl w:val="0"/>
          <w:numId w:val="4"/>
        </w:numPr>
        <w:ind w:left="357" w:hanging="357"/>
        <w:jc w:val="both"/>
        <w:rPr>
          <w:rFonts w:ascii="Calibri" w:hAnsi="Calibri" w:cs="Calibri"/>
          <w:szCs w:val="24"/>
        </w:rPr>
      </w:pPr>
      <w:r w:rsidRPr="0097178F">
        <w:rPr>
          <w:rFonts w:ascii="Calibri" w:hAnsi="Calibri" w:cs="Calibri"/>
          <w:szCs w:val="24"/>
        </w:rPr>
        <w:t>The Facility for Investment Ready Nature in Scotland (FIRNS) budget is £1.6m</w:t>
      </w:r>
      <w:r w:rsidR="00052694" w:rsidRPr="0097178F">
        <w:rPr>
          <w:rFonts w:ascii="Calibri" w:hAnsi="Calibri" w:cs="Calibri"/>
          <w:szCs w:val="24"/>
        </w:rPr>
        <w:t>;</w:t>
      </w:r>
      <w:r w:rsidRPr="0097178F">
        <w:rPr>
          <w:rFonts w:ascii="Calibri" w:hAnsi="Calibri" w:cs="Calibri"/>
          <w:szCs w:val="24"/>
        </w:rPr>
        <w:t xml:space="preserve"> £1.2m from SG and £0.4m transferred from NRF.  We are forecasting £1.6m </w:t>
      </w:r>
      <w:r w:rsidR="00111D71" w:rsidRPr="0097178F">
        <w:rPr>
          <w:rFonts w:ascii="Calibri" w:hAnsi="Calibri" w:cs="Calibri"/>
          <w:szCs w:val="24"/>
        </w:rPr>
        <w:t>spend</w:t>
      </w:r>
      <w:r w:rsidRPr="0097178F">
        <w:rPr>
          <w:rFonts w:ascii="Calibri" w:hAnsi="Calibri" w:cs="Calibri"/>
          <w:szCs w:val="24"/>
        </w:rPr>
        <w:t>.</w:t>
      </w:r>
    </w:p>
    <w:p w14:paraId="531B539C" w14:textId="77777777" w:rsidR="0097178F" w:rsidRPr="0097178F" w:rsidRDefault="0097178F" w:rsidP="0097178F">
      <w:pPr>
        <w:pStyle w:val="ListParagraph"/>
        <w:rPr>
          <w:rFonts w:ascii="Calibri" w:hAnsi="Calibri" w:cs="Calibri"/>
          <w:szCs w:val="24"/>
        </w:rPr>
      </w:pPr>
    </w:p>
    <w:p w14:paraId="16324EAD" w14:textId="26407868" w:rsidR="00A779B2" w:rsidRPr="0097178F" w:rsidRDefault="00A779B2" w:rsidP="0097178F">
      <w:pPr>
        <w:pStyle w:val="ListParagraph"/>
        <w:numPr>
          <w:ilvl w:val="0"/>
          <w:numId w:val="4"/>
        </w:numPr>
        <w:ind w:left="357" w:hanging="357"/>
        <w:jc w:val="both"/>
        <w:rPr>
          <w:rFonts w:ascii="Calibri" w:hAnsi="Calibri" w:cs="Calibri"/>
          <w:szCs w:val="24"/>
        </w:rPr>
      </w:pPr>
      <w:r w:rsidRPr="0097178F">
        <w:rPr>
          <w:rFonts w:ascii="Calibri" w:hAnsi="Calibri" w:cs="Calibri"/>
          <w:szCs w:val="24"/>
        </w:rPr>
        <w:t>We have received £4.7m of income to date.  Our current income budget is £5.9m</w:t>
      </w:r>
      <w:r w:rsidR="00052694" w:rsidRPr="0097178F">
        <w:rPr>
          <w:rFonts w:ascii="Calibri" w:hAnsi="Calibri" w:cs="Calibri"/>
          <w:szCs w:val="24"/>
        </w:rPr>
        <w:t xml:space="preserve">. </w:t>
      </w:r>
      <w:r w:rsidRPr="0097178F">
        <w:rPr>
          <w:rFonts w:ascii="Calibri" w:hAnsi="Calibri" w:cs="Calibri"/>
          <w:szCs w:val="24"/>
        </w:rPr>
        <w:t xml:space="preserve">We are on track with our anticipated income compared to last year (80% v 85%).  </w:t>
      </w:r>
    </w:p>
    <w:p w14:paraId="51DB6AED" w14:textId="77777777" w:rsidR="00A479D5" w:rsidRPr="000C51B3" w:rsidRDefault="00A479D5" w:rsidP="00CB3355">
      <w:pPr>
        <w:pStyle w:val="ListParagraph"/>
        <w:spacing w:line="120" w:lineRule="auto"/>
        <w:ind w:left="357"/>
        <w:jc w:val="both"/>
        <w:rPr>
          <w:rFonts w:ascii="Calibri" w:hAnsi="Calibri" w:cs="Calibri"/>
          <w:sz w:val="22"/>
        </w:rPr>
      </w:pPr>
    </w:p>
    <w:p w14:paraId="69A1E9AD" w14:textId="77777777" w:rsidR="00A479D5" w:rsidRPr="00977B59" w:rsidRDefault="00A479D5" w:rsidP="00977B59">
      <w:pPr>
        <w:pStyle w:val="Heading2"/>
      </w:pPr>
      <w:r w:rsidRPr="00977B59">
        <w:t>Indirect Capital Performance</w:t>
      </w:r>
    </w:p>
    <w:p w14:paraId="4E1BFA0C" w14:textId="77777777" w:rsidR="0097178F" w:rsidRDefault="00A779B2" w:rsidP="0097178F">
      <w:pPr>
        <w:pStyle w:val="ListParagraph"/>
        <w:numPr>
          <w:ilvl w:val="0"/>
          <w:numId w:val="4"/>
        </w:numPr>
        <w:jc w:val="both"/>
        <w:rPr>
          <w:rFonts w:ascii="Calibri" w:hAnsi="Calibri" w:cs="Calibri"/>
          <w:szCs w:val="24"/>
        </w:rPr>
      </w:pPr>
      <w:r w:rsidRPr="000C51B3">
        <w:rPr>
          <w:rFonts w:ascii="Calibri" w:hAnsi="Calibri" w:cs="Calibri"/>
          <w:szCs w:val="24"/>
        </w:rPr>
        <w:t xml:space="preserve">Following the hand-back of £1.2m in Q3, the indirect capital budget is £24.3m.  It is made up of £15.9m for Peatland Action, £7.3m for Nature Restoration, £1m for Rainforest Restoration, and £0.1m for SAOS Deer Larders.  </w:t>
      </w:r>
    </w:p>
    <w:p w14:paraId="1D8E4E76" w14:textId="77777777" w:rsidR="0097178F" w:rsidRDefault="0097178F" w:rsidP="0097178F">
      <w:pPr>
        <w:pStyle w:val="ListParagraph"/>
        <w:ind w:left="360"/>
        <w:jc w:val="both"/>
        <w:rPr>
          <w:rFonts w:ascii="Calibri" w:hAnsi="Calibri" w:cs="Calibri"/>
          <w:szCs w:val="24"/>
        </w:rPr>
      </w:pPr>
    </w:p>
    <w:p w14:paraId="4DCDFE2D" w14:textId="2254780D" w:rsidR="00A779B2" w:rsidRPr="0097178F" w:rsidRDefault="00A779B2" w:rsidP="0097178F">
      <w:pPr>
        <w:pStyle w:val="ListParagraph"/>
        <w:numPr>
          <w:ilvl w:val="0"/>
          <w:numId w:val="4"/>
        </w:numPr>
        <w:jc w:val="both"/>
        <w:rPr>
          <w:rFonts w:ascii="Calibri" w:hAnsi="Calibri" w:cs="Calibri"/>
          <w:szCs w:val="24"/>
        </w:rPr>
      </w:pPr>
      <w:r w:rsidRPr="0097178F">
        <w:rPr>
          <w:rFonts w:ascii="Calibri" w:hAnsi="Calibri" w:cs="Calibri"/>
          <w:szCs w:val="24"/>
        </w:rPr>
        <w:t xml:space="preserve">At the end of Q4, we are forecasting an underspend of £0.7m, made up of an underspend of £0.4m from Peatland Action and £0.3m from Nature Restoration.    </w:t>
      </w:r>
    </w:p>
    <w:p w14:paraId="5CDAD5A5" w14:textId="77777777" w:rsidR="00A479D5" w:rsidRPr="000C51B3" w:rsidRDefault="00A479D5" w:rsidP="00A479D5">
      <w:pPr>
        <w:spacing w:after="0" w:line="120" w:lineRule="auto"/>
        <w:jc w:val="both"/>
        <w:rPr>
          <w:rFonts w:ascii="Calibri" w:hAnsi="Calibri" w:cs="Calibri"/>
          <w:sz w:val="22"/>
        </w:rPr>
      </w:pPr>
    </w:p>
    <w:p w14:paraId="52430F9B" w14:textId="77777777" w:rsidR="00A479D5" w:rsidRPr="000C51B3" w:rsidRDefault="00A479D5" w:rsidP="000C51B3">
      <w:pPr>
        <w:pStyle w:val="Heading2"/>
        <w:rPr>
          <w:rFonts w:eastAsia="Times New Roman"/>
        </w:rPr>
      </w:pPr>
      <w:r w:rsidRPr="000C51B3">
        <w:rPr>
          <w:rFonts w:eastAsia="Times New Roman"/>
        </w:rPr>
        <w:t>Peatland Action</w:t>
      </w:r>
    </w:p>
    <w:p w14:paraId="34D62913" w14:textId="1940D126" w:rsidR="00A779B2" w:rsidRPr="000C51B3" w:rsidRDefault="00A779B2">
      <w:pPr>
        <w:pStyle w:val="ListParagraph"/>
        <w:numPr>
          <w:ilvl w:val="0"/>
          <w:numId w:val="4"/>
        </w:numPr>
        <w:ind w:left="357"/>
        <w:jc w:val="both"/>
        <w:rPr>
          <w:rFonts w:ascii="Calibri" w:hAnsi="Calibri" w:cs="Calibri"/>
          <w:szCs w:val="24"/>
        </w:rPr>
      </w:pPr>
      <w:r w:rsidRPr="000C51B3">
        <w:rPr>
          <w:rFonts w:ascii="Calibri" w:hAnsi="Calibri" w:cs="Calibri"/>
          <w:szCs w:val="24"/>
        </w:rPr>
        <w:t>Peatland Action has a resource budget of £4.2m</w:t>
      </w:r>
      <w:r w:rsidR="00B6250B" w:rsidRPr="000C51B3">
        <w:rPr>
          <w:rFonts w:ascii="Calibri" w:hAnsi="Calibri" w:cs="Calibri"/>
          <w:szCs w:val="24"/>
        </w:rPr>
        <w:t>.</w:t>
      </w:r>
      <w:r w:rsidRPr="000C51B3">
        <w:rPr>
          <w:rFonts w:ascii="Calibri" w:hAnsi="Calibri" w:cs="Calibri"/>
          <w:szCs w:val="24"/>
        </w:rPr>
        <w:t xml:space="preserve">  </w:t>
      </w:r>
      <w:r w:rsidR="00B6250B" w:rsidRPr="000C51B3">
        <w:rPr>
          <w:rFonts w:ascii="Calibri" w:hAnsi="Calibri" w:cs="Calibri"/>
          <w:szCs w:val="24"/>
        </w:rPr>
        <w:t xml:space="preserve">We have received £0.6m income from Shared Island Initiative.  </w:t>
      </w:r>
      <w:r w:rsidR="003110D6" w:rsidRPr="000C51B3">
        <w:rPr>
          <w:rFonts w:ascii="Calibri" w:hAnsi="Calibri" w:cs="Calibri"/>
          <w:szCs w:val="24"/>
        </w:rPr>
        <w:t>We</w:t>
      </w:r>
      <w:r w:rsidRPr="000C51B3">
        <w:rPr>
          <w:rFonts w:ascii="Calibri" w:hAnsi="Calibri" w:cs="Calibri"/>
          <w:szCs w:val="24"/>
        </w:rPr>
        <w:t xml:space="preserve"> </w:t>
      </w:r>
      <w:r w:rsidR="00B6250B" w:rsidRPr="000C51B3">
        <w:rPr>
          <w:rFonts w:ascii="Calibri" w:hAnsi="Calibri" w:cs="Calibri"/>
          <w:szCs w:val="24"/>
        </w:rPr>
        <w:t>were</w:t>
      </w:r>
      <w:r w:rsidRPr="000C51B3">
        <w:rPr>
          <w:rFonts w:ascii="Calibri" w:hAnsi="Calibri" w:cs="Calibri"/>
          <w:szCs w:val="24"/>
        </w:rPr>
        <w:t xml:space="preserve"> forecasting </w:t>
      </w:r>
      <w:r w:rsidR="00B6250B" w:rsidRPr="000C51B3">
        <w:rPr>
          <w:rFonts w:ascii="Calibri" w:hAnsi="Calibri" w:cs="Calibri"/>
          <w:szCs w:val="24"/>
        </w:rPr>
        <w:t>£4.</w:t>
      </w:r>
      <w:r w:rsidR="001F3B97" w:rsidRPr="000C51B3">
        <w:rPr>
          <w:rFonts w:ascii="Calibri" w:hAnsi="Calibri" w:cs="Calibri"/>
          <w:szCs w:val="24"/>
        </w:rPr>
        <w:t>2</w:t>
      </w:r>
      <w:r w:rsidR="00B6250B" w:rsidRPr="000C51B3">
        <w:rPr>
          <w:rFonts w:ascii="Calibri" w:hAnsi="Calibri" w:cs="Calibri"/>
          <w:szCs w:val="24"/>
        </w:rPr>
        <w:t xml:space="preserve">m before the income and with </w:t>
      </w:r>
      <w:r w:rsidRPr="000C51B3">
        <w:rPr>
          <w:rFonts w:ascii="Calibri" w:hAnsi="Calibri" w:cs="Calibri"/>
          <w:szCs w:val="24"/>
        </w:rPr>
        <w:t xml:space="preserve">the income included, this </w:t>
      </w:r>
      <w:r w:rsidR="00B6250B" w:rsidRPr="000C51B3">
        <w:rPr>
          <w:rFonts w:ascii="Calibri" w:hAnsi="Calibri" w:cs="Calibri"/>
          <w:szCs w:val="24"/>
        </w:rPr>
        <w:t xml:space="preserve">gives us a forecast of £3.6m, an </w:t>
      </w:r>
      <w:r w:rsidRPr="000C51B3">
        <w:rPr>
          <w:rFonts w:ascii="Calibri" w:hAnsi="Calibri" w:cs="Calibri"/>
          <w:szCs w:val="24"/>
        </w:rPr>
        <w:t>underspend</w:t>
      </w:r>
      <w:r w:rsidR="00B6250B" w:rsidRPr="000C51B3">
        <w:rPr>
          <w:rFonts w:ascii="Calibri" w:hAnsi="Calibri" w:cs="Calibri"/>
          <w:szCs w:val="24"/>
        </w:rPr>
        <w:t xml:space="preserve"> of £0.6m on resource</w:t>
      </w:r>
      <w:r w:rsidR="003110D6" w:rsidRPr="000C51B3">
        <w:rPr>
          <w:rFonts w:ascii="Calibri" w:hAnsi="Calibri" w:cs="Calibri"/>
          <w:szCs w:val="24"/>
        </w:rPr>
        <w:t>.</w:t>
      </w:r>
      <w:r w:rsidRPr="000C51B3">
        <w:rPr>
          <w:rFonts w:ascii="Calibri" w:hAnsi="Calibri" w:cs="Calibri"/>
          <w:szCs w:val="24"/>
        </w:rPr>
        <w:t xml:space="preserve"> </w:t>
      </w:r>
    </w:p>
    <w:p w14:paraId="6F2BCC30" w14:textId="77777777" w:rsidR="0097178F" w:rsidRDefault="0097178F" w:rsidP="0097178F">
      <w:pPr>
        <w:pStyle w:val="ListParagraph"/>
        <w:ind w:left="357"/>
        <w:jc w:val="both"/>
        <w:rPr>
          <w:rFonts w:ascii="Calibri" w:hAnsi="Calibri" w:cs="Calibri"/>
          <w:szCs w:val="24"/>
        </w:rPr>
      </w:pPr>
    </w:p>
    <w:p w14:paraId="4BD86DE3" w14:textId="7764C022" w:rsidR="00335004" w:rsidRPr="000C51B3" w:rsidRDefault="00A779B2">
      <w:pPr>
        <w:pStyle w:val="ListParagraph"/>
        <w:numPr>
          <w:ilvl w:val="0"/>
          <w:numId w:val="4"/>
        </w:numPr>
        <w:ind w:left="357"/>
        <w:jc w:val="both"/>
        <w:rPr>
          <w:rFonts w:ascii="Calibri" w:hAnsi="Calibri" w:cs="Calibri"/>
          <w:szCs w:val="24"/>
        </w:rPr>
      </w:pPr>
      <w:r w:rsidRPr="000C51B3">
        <w:rPr>
          <w:rFonts w:ascii="Calibri" w:hAnsi="Calibri" w:cs="Calibri"/>
          <w:szCs w:val="24"/>
        </w:rPr>
        <w:t>The indirect capital budget is £15.9m after a hand back of £1m in November.  The current forecast is £1</w:t>
      </w:r>
      <w:r w:rsidR="00B6250B" w:rsidRPr="000C51B3">
        <w:rPr>
          <w:rFonts w:ascii="Calibri" w:hAnsi="Calibri" w:cs="Calibri"/>
          <w:szCs w:val="24"/>
        </w:rPr>
        <w:t>5</w:t>
      </w:r>
      <w:r w:rsidRPr="000C51B3">
        <w:rPr>
          <w:rFonts w:ascii="Calibri" w:hAnsi="Calibri" w:cs="Calibri"/>
          <w:szCs w:val="24"/>
        </w:rPr>
        <w:t>.</w:t>
      </w:r>
      <w:r w:rsidR="001525A8" w:rsidRPr="000C51B3">
        <w:rPr>
          <w:rFonts w:ascii="Calibri" w:hAnsi="Calibri" w:cs="Calibri"/>
          <w:szCs w:val="24"/>
        </w:rPr>
        <w:t>5</w:t>
      </w:r>
      <w:r w:rsidRPr="000C51B3">
        <w:rPr>
          <w:rFonts w:ascii="Calibri" w:hAnsi="Calibri" w:cs="Calibri"/>
          <w:szCs w:val="24"/>
        </w:rPr>
        <w:t>m, being an underspend of £</w:t>
      </w:r>
      <w:r w:rsidR="00B6250B" w:rsidRPr="000C51B3">
        <w:rPr>
          <w:rFonts w:ascii="Calibri" w:hAnsi="Calibri" w:cs="Calibri"/>
          <w:szCs w:val="24"/>
        </w:rPr>
        <w:t>0</w:t>
      </w:r>
      <w:r w:rsidRPr="000C51B3">
        <w:rPr>
          <w:rFonts w:ascii="Calibri" w:hAnsi="Calibri" w:cs="Calibri"/>
          <w:szCs w:val="24"/>
        </w:rPr>
        <w:t>.</w:t>
      </w:r>
      <w:r w:rsidR="001525A8" w:rsidRPr="000C51B3">
        <w:rPr>
          <w:rFonts w:ascii="Calibri" w:hAnsi="Calibri" w:cs="Calibri"/>
          <w:szCs w:val="24"/>
        </w:rPr>
        <w:t>4</w:t>
      </w:r>
      <w:r w:rsidRPr="000C51B3">
        <w:rPr>
          <w:rFonts w:ascii="Calibri" w:hAnsi="Calibri" w:cs="Calibri"/>
          <w:szCs w:val="24"/>
        </w:rPr>
        <w:t xml:space="preserve">m.  </w:t>
      </w:r>
    </w:p>
    <w:p w14:paraId="42B7EA39" w14:textId="77777777" w:rsidR="0097178F" w:rsidRDefault="0097178F" w:rsidP="0097178F">
      <w:pPr>
        <w:pStyle w:val="ListParagraph"/>
        <w:ind w:left="357"/>
        <w:jc w:val="both"/>
        <w:rPr>
          <w:rFonts w:ascii="Calibri" w:hAnsi="Calibri" w:cs="Calibri"/>
          <w:szCs w:val="24"/>
        </w:rPr>
      </w:pPr>
    </w:p>
    <w:p w14:paraId="16F2980B" w14:textId="7E4546BE" w:rsidR="00A779B2" w:rsidRPr="000C51B3" w:rsidRDefault="00A779B2">
      <w:pPr>
        <w:pStyle w:val="ListParagraph"/>
        <w:numPr>
          <w:ilvl w:val="0"/>
          <w:numId w:val="4"/>
        </w:numPr>
        <w:ind w:left="357"/>
        <w:jc w:val="both"/>
        <w:rPr>
          <w:rFonts w:ascii="Calibri" w:hAnsi="Calibri" w:cs="Calibri"/>
          <w:szCs w:val="24"/>
        </w:rPr>
      </w:pPr>
      <w:r w:rsidRPr="000C51B3">
        <w:rPr>
          <w:rFonts w:ascii="Calibri" w:hAnsi="Calibri" w:cs="Calibri"/>
          <w:szCs w:val="24"/>
        </w:rPr>
        <w:t>Th</w:t>
      </w:r>
      <w:r w:rsidR="00335004" w:rsidRPr="000C51B3">
        <w:rPr>
          <w:rFonts w:ascii="Calibri" w:hAnsi="Calibri" w:cs="Calibri"/>
          <w:szCs w:val="24"/>
        </w:rPr>
        <w:t>e combined</w:t>
      </w:r>
      <w:r w:rsidRPr="000C51B3">
        <w:rPr>
          <w:rFonts w:ascii="Calibri" w:hAnsi="Calibri" w:cs="Calibri"/>
          <w:szCs w:val="24"/>
        </w:rPr>
        <w:t xml:space="preserve"> forecast </w:t>
      </w:r>
      <w:r w:rsidR="00335004" w:rsidRPr="000C51B3">
        <w:rPr>
          <w:rFonts w:ascii="Calibri" w:hAnsi="Calibri" w:cs="Calibri"/>
          <w:szCs w:val="24"/>
        </w:rPr>
        <w:t xml:space="preserve">of </w:t>
      </w:r>
      <w:r w:rsidR="00B6250B" w:rsidRPr="000C51B3">
        <w:rPr>
          <w:rFonts w:ascii="Calibri" w:hAnsi="Calibri" w:cs="Calibri"/>
          <w:szCs w:val="24"/>
        </w:rPr>
        <w:t>£</w:t>
      </w:r>
      <w:r w:rsidR="00335004" w:rsidRPr="000C51B3">
        <w:rPr>
          <w:rFonts w:ascii="Calibri" w:hAnsi="Calibri" w:cs="Calibri"/>
          <w:szCs w:val="24"/>
        </w:rPr>
        <w:t>19.</w:t>
      </w:r>
      <w:r w:rsidR="001525A8" w:rsidRPr="000C51B3">
        <w:rPr>
          <w:rFonts w:ascii="Calibri" w:hAnsi="Calibri" w:cs="Calibri"/>
          <w:szCs w:val="24"/>
        </w:rPr>
        <w:t>1</w:t>
      </w:r>
      <w:r w:rsidR="00335004" w:rsidRPr="000C51B3">
        <w:rPr>
          <w:rFonts w:ascii="Calibri" w:hAnsi="Calibri" w:cs="Calibri"/>
          <w:szCs w:val="24"/>
        </w:rPr>
        <w:t>m include</w:t>
      </w:r>
      <w:r w:rsidR="00B6250B" w:rsidRPr="000C51B3">
        <w:rPr>
          <w:rFonts w:ascii="Calibri" w:hAnsi="Calibri" w:cs="Calibri"/>
          <w:szCs w:val="24"/>
        </w:rPr>
        <w:t>s</w:t>
      </w:r>
      <w:r w:rsidRPr="000C51B3">
        <w:rPr>
          <w:rFonts w:ascii="Calibri" w:hAnsi="Calibri" w:cs="Calibri"/>
          <w:szCs w:val="24"/>
        </w:rPr>
        <w:t xml:space="preserve"> £0.</w:t>
      </w:r>
      <w:r w:rsidR="00B6250B" w:rsidRPr="000C51B3">
        <w:rPr>
          <w:rFonts w:ascii="Calibri" w:hAnsi="Calibri" w:cs="Calibri"/>
          <w:szCs w:val="24"/>
        </w:rPr>
        <w:t>6</w:t>
      </w:r>
      <w:r w:rsidRPr="000C51B3">
        <w:rPr>
          <w:rFonts w:ascii="Calibri" w:hAnsi="Calibri" w:cs="Calibri"/>
          <w:szCs w:val="24"/>
        </w:rPr>
        <w:t>m paid to Scottish Water for Peatland Action restoration work completed in 2025/26</w:t>
      </w:r>
      <w:r w:rsidR="00335004" w:rsidRPr="000C51B3">
        <w:rPr>
          <w:rFonts w:ascii="Calibri" w:hAnsi="Calibri" w:cs="Calibri"/>
          <w:szCs w:val="24"/>
        </w:rPr>
        <w:t xml:space="preserve"> and </w:t>
      </w:r>
      <w:r w:rsidRPr="000C51B3">
        <w:rPr>
          <w:rFonts w:ascii="Calibri" w:hAnsi="Calibri" w:cs="Calibri"/>
          <w:szCs w:val="24"/>
        </w:rPr>
        <w:t>a payment to Forestry and Land Scotland</w:t>
      </w:r>
      <w:r w:rsidR="00111D71" w:rsidRPr="000C51B3">
        <w:rPr>
          <w:rFonts w:ascii="Calibri" w:hAnsi="Calibri" w:cs="Calibri"/>
          <w:szCs w:val="24"/>
        </w:rPr>
        <w:t xml:space="preserve"> (FLS)</w:t>
      </w:r>
      <w:r w:rsidRPr="000C51B3">
        <w:rPr>
          <w:rFonts w:ascii="Calibri" w:hAnsi="Calibri" w:cs="Calibri"/>
          <w:szCs w:val="24"/>
        </w:rPr>
        <w:t xml:space="preserve"> of £1.8m.  We anticipate that the final underspend figure could reduce as final claims are processed.</w:t>
      </w:r>
    </w:p>
    <w:p w14:paraId="5F3856E9" w14:textId="77777777" w:rsidR="0097178F" w:rsidRDefault="0097178F" w:rsidP="0097178F">
      <w:pPr>
        <w:pStyle w:val="ListParagraph"/>
        <w:ind w:left="357"/>
        <w:jc w:val="both"/>
        <w:rPr>
          <w:rFonts w:ascii="Calibri" w:hAnsi="Calibri" w:cs="Calibri"/>
          <w:szCs w:val="24"/>
        </w:rPr>
      </w:pPr>
    </w:p>
    <w:p w14:paraId="73BFA52D" w14:textId="24A168A5" w:rsidR="00A779B2" w:rsidRPr="000C51B3" w:rsidRDefault="00A779B2">
      <w:pPr>
        <w:pStyle w:val="ListParagraph"/>
        <w:numPr>
          <w:ilvl w:val="0"/>
          <w:numId w:val="4"/>
        </w:numPr>
        <w:ind w:left="357" w:hanging="357"/>
        <w:jc w:val="both"/>
        <w:rPr>
          <w:rFonts w:ascii="Calibri" w:hAnsi="Calibri" w:cs="Calibri"/>
          <w:szCs w:val="24"/>
        </w:rPr>
      </w:pPr>
      <w:r w:rsidRPr="000C51B3">
        <w:rPr>
          <w:rFonts w:ascii="Calibri" w:hAnsi="Calibri" w:cs="Calibri"/>
          <w:szCs w:val="24"/>
        </w:rPr>
        <w:t xml:space="preserve">Indirect capital spend to date is at 82%.  We expect a significant amount more to be claimed before the deadline of </w:t>
      </w:r>
      <w:r w:rsidR="001F3B97" w:rsidRPr="000C51B3">
        <w:rPr>
          <w:rFonts w:ascii="Calibri" w:hAnsi="Calibri" w:cs="Calibri"/>
          <w:szCs w:val="24"/>
        </w:rPr>
        <w:t>05 May</w:t>
      </w:r>
      <w:r w:rsidRPr="000C51B3">
        <w:rPr>
          <w:rFonts w:ascii="Calibri" w:hAnsi="Calibri" w:cs="Calibri"/>
          <w:szCs w:val="24"/>
        </w:rPr>
        <w:t xml:space="preserve">.  </w:t>
      </w:r>
    </w:p>
    <w:p w14:paraId="544031C7" w14:textId="3EDDD248" w:rsidR="00B6250B" w:rsidRPr="000C51B3" w:rsidRDefault="001F3B97">
      <w:pPr>
        <w:pStyle w:val="ListParagraph"/>
        <w:numPr>
          <w:ilvl w:val="0"/>
          <w:numId w:val="4"/>
        </w:numPr>
        <w:ind w:left="357" w:hanging="357"/>
        <w:jc w:val="both"/>
        <w:rPr>
          <w:rFonts w:ascii="Calibri" w:hAnsi="Calibri" w:cs="Calibri"/>
          <w:szCs w:val="24"/>
        </w:rPr>
      </w:pPr>
      <w:r w:rsidRPr="000C51B3">
        <w:rPr>
          <w:rFonts w:ascii="Calibri" w:hAnsi="Calibri" w:cs="Calibri"/>
          <w:szCs w:val="24"/>
        </w:rPr>
        <w:lastRenderedPageBreak/>
        <w:t>The h</w:t>
      </w:r>
      <w:r w:rsidR="00B6250B" w:rsidRPr="000C51B3">
        <w:rPr>
          <w:rFonts w:ascii="Calibri" w:hAnsi="Calibri" w:cs="Calibri"/>
          <w:szCs w:val="24"/>
        </w:rPr>
        <w:t>ectare target is 12,000 and to date we have completed 7,774.</w:t>
      </w:r>
      <w:r w:rsidR="00086D59" w:rsidRPr="000C51B3">
        <w:rPr>
          <w:rFonts w:ascii="Calibri" w:hAnsi="Calibri" w:cs="Calibri"/>
          <w:szCs w:val="24"/>
        </w:rPr>
        <w:t xml:space="preserve"> We anticipate achieving just over 10,000Ha once final figures are confirmed.</w:t>
      </w:r>
    </w:p>
    <w:p w14:paraId="40E7F65D" w14:textId="1D80A1C0" w:rsidR="00A479D5" w:rsidRPr="000C51B3" w:rsidRDefault="00A479D5" w:rsidP="000C51B3">
      <w:pPr>
        <w:pStyle w:val="Heading2"/>
      </w:pPr>
      <w:r w:rsidRPr="000C51B3">
        <w:t>Nature Restoration Fund</w:t>
      </w:r>
    </w:p>
    <w:p w14:paraId="30CDC6B4" w14:textId="77777777" w:rsidR="0097178F" w:rsidRDefault="00A779B2" w:rsidP="0097178F">
      <w:pPr>
        <w:pStyle w:val="ListParagraph"/>
        <w:numPr>
          <w:ilvl w:val="0"/>
          <w:numId w:val="4"/>
        </w:numPr>
        <w:jc w:val="both"/>
        <w:rPr>
          <w:rFonts w:ascii="Calibri" w:hAnsi="Calibri" w:cs="Calibri"/>
          <w:szCs w:val="24"/>
        </w:rPr>
      </w:pPr>
      <w:r w:rsidRPr="000C51B3">
        <w:rPr>
          <w:rFonts w:ascii="Calibri" w:hAnsi="Calibri" w:cs="Calibri"/>
          <w:szCs w:val="24"/>
        </w:rPr>
        <w:t>The Nature Restoration Fund (NRF) budget started out at £4.8m resource and £7.5m indirect capital.  From resource, £0.4m was transferred to FIRNS, £0.4m reduced at SBR and £0.5m is funding SMEEF projects.  From indirect capital, £0.2m was handed back at SBR and £0.9m is funding SMEEF projects.</w:t>
      </w:r>
    </w:p>
    <w:p w14:paraId="557BCA30" w14:textId="77777777" w:rsidR="0097178F" w:rsidRDefault="0097178F" w:rsidP="0097178F">
      <w:pPr>
        <w:pStyle w:val="ListParagraph"/>
        <w:ind w:left="360"/>
        <w:jc w:val="both"/>
        <w:rPr>
          <w:rFonts w:ascii="Calibri" w:hAnsi="Calibri" w:cs="Calibri"/>
          <w:szCs w:val="24"/>
        </w:rPr>
      </w:pPr>
    </w:p>
    <w:p w14:paraId="147777BD" w14:textId="77777777" w:rsidR="0097178F" w:rsidRDefault="00A779B2" w:rsidP="0097178F">
      <w:pPr>
        <w:pStyle w:val="ListParagraph"/>
        <w:numPr>
          <w:ilvl w:val="0"/>
          <w:numId w:val="4"/>
        </w:numPr>
        <w:jc w:val="both"/>
        <w:rPr>
          <w:rFonts w:ascii="Calibri" w:hAnsi="Calibri" w:cs="Calibri"/>
          <w:szCs w:val="24"/>
        </w:rPr>
      </w:pPr>
      <w:r w:rsidRPr="0097178F">
        <w:rPr>
          <w:rFonts w:ascii="Calibri" w:hAnsi="Calibri" w:cs="Calibri"/>
          <w:szCs w:val="24"/>
        </w:rPr>
        <w:t>The updated budget of £11.2m is split £7.3m indirect capital and £4m resource.  The overall current forecast give</w:t>
      </w:r>
      <w:r w:rsidR="003110D6" w:rsidRPr="0097178F">
        <w:rPr>
          <w:rFonts w:ascii="Calibri" w:hAnsi="Calibri" w:cs="Calibri"/>
          <w:szCs w:val="24"/>
        </w:rPr>
        <w:t>s an</w:t>
      </w:r>
      <w:r w:rsidRPr="0097178F">
        <w:rPr>
          <w:rFonts w:ascii="Calibri" w:hAnsi="Calibri" w:cs="Calibri"/>
          <w:szCs w:val="24"/>
        </w:rPr>
        <w:t xml:space="preserve"> expected spend of £11.2m, splitting between indirect capital of £7.1m and resource £4.1m, an underspend of £0.1m.  </w:t>
      </w:r>
    </w:p>
    <w:p w14:paraId="4639488E" w14:textId="77777777" w:rsidR="0097178F" w:rsidRPr="0097178F" w:rsidRDefault="0097178F" w:rsidP="0097178F">
      <w:pPr>
        <w:pStyle w:val="ListParagraph"/>
        <w:rPr>
          <w:rFonts w:ascii="Calibri" w:hAnsi="Calibri" w:cs="Calibri"/>
          <w:szCs w:val="24"/>
        </w:rPr>
      </w:pPr>
    </w:p>
    <w:p w14:paraId="585BBFD5" w14:textId="77777777" w:rsidR="0097178F" w:rsidRDefault="00A779B2" w:rsidP="0097178F">
      <w:pPr>
        <w:pStyle w:val="ListParagraph"/>
        <w:numPr>
          <w:ilvl w:val="0"/>
          <w:numId w:val="4"/>
        </w:numPr>
        <w:jc w:val="both"/>
        <w:rPr>
          <w:rFonts w:ascii="Calibri" w:hAnsi="Calibri" w:cs="Calibri"/>
          <w:szCs w:val="24"/>
        </w:rPr>
      </w:pPr>
      <w:r w:rsidRPr="0097178F">
        <w:rPr>
          <w:rFonts w:ascii="Calibri" w:hAnsi="Calibri" w:cs="Calibri"/>
          <w:szCs w:val="24"/>
        </w:rPr>
        <w:t xml:space="preserve">The forecast underspend has narrowed </w:t>
      </w:r>
      <w:r w:rsidR="003110D6" w:rsidRPr="0097178F">
        <w:rPr>
          <w:rFonts w:ascii="Calibri" w:hAnsi="Calibri" w:cs="Calibri"/>
          <w:szCs w:val="24"/>
        </w:rPr>
        <w:t>in recent weeks</w:t>
      </w:r>
      <w:r w:rsidRPr="0097178F">
        <w:rPr>
          <w:rFonts w:ascii="Calibri" w:hAnsi="Calibri" w:cs="Calibri"/>
          <w:szCs w:val="24"/>
        </w:rPr>
        <w:t xml:space="preserve"> as funding officers have increased confidence in more</w:t>
      </w:r>
      <w:r w:rsidR="00111D71" w:rsidRPr="0097178F">
        <w:rPr>
          <w:rFonts w:ascii="Calibri" w:hAnsi="Calibri" w:cs="Calibri"/>
          <w:szCs w:val="24"/>
        </w:rPr>
        <w:t xml:space="preserve"> of the</w:t>
      </w:r>
      <w:r w:rsidRPr="0097178F">
        <w:rPr>
          <w:rFonts w:ascii="Calibri" w:hAnsi="Calibri" w:cs="Calibri"/>
          <w:szCs w:val="24"/>
        </w:rPr>
        <w:t xml:space="preserve"> large delivery projects achieving full spend.</w:t>
      </w:r>
    </w:p>
    <w:p w14:paraId="52DB236C" w14:textId="77777777" w:rsidR="0097178F" w:rsidRPr="0097178F" w:rsidRDefault="0097178F" w:rsidP="0097178F">
      <w:pPr>
        <w:pStyle w:val="ListParagraph"/>
        <w:rPr>
          <w:rFonts w:ascii="Calibri" w:hAnsi="Calibri" w:cs="Calibri"/>
          <w:szCs w:val="24"/>
        </w:rPr>
      </w:pPr>
    </w:p>
    <w:p w14:paraId="04414A9F" w14:textId="75ABBC17" w:rsidR="00A779B2" w:rsidRPr="0097178F" w:rsidRDefault="00A779B2" w:rsidP="0097178F">
      <w:pPr>
        <w:pStyle w:val="ListParagraph"/>
        <w:numPr>
          <w:ilvl w:val="0"/>
          <w:numId w:val="4"/>
        </w:numPr>
        <w:jc w:val="both"/>
        <w:rPr>
          <w:rFonts w:ascii="Calibri" w:hAnsi="Calibri" w:cs="Calibri"/>
          <w:szCs w:val="24"/>
        </w:rPr>
      </w:pPr>
      <w:r w:rsidRPr="0097178F">
        <w:rPr>
          <w:rFonts w:ascii="Calibri" w:hAnsi="Calibri" w:cs="Calibri"/>
          <w:szCs w:val="24"/>
        </w:rPr>
        <w:t xml:space="preserve">The </w:t>
      </w:r>
      <w:r w:rsidRPr="0097178F">
        <w:rPr>
          <w:rFonts w:ascii="Calibri" w:hAnsi="Calibri" w:cs="Calibri"/>
        </w:rPr>
        <w:t>SMEEF (NRF) programme of</w:t>
      </w:r>
      <w:r w:rsidRPr="0097178F">
        <w:rPr>
          <w:rFonts w:ascii="Calibri" w:hAnsi="Calibri" w:cs="Calibri"/>
          <w:szCs w:val="24"/>
        </w:rPr>
        <w:t xml:space="preserve"> £0.9m indirect capital and £0.5m resource </w:t>
      </w:r>
      <w:r w:rsidRPr="0097178F">
        <w:rPr>
          <w:rFonts w:ascii="Calibri" w:hAnsi="Calibri" w:cs="Calibri"/>
        </w:rPr>
        <w:t>are progressing well with an underspend of £32k on indirect capital and £29k on resource.  T</w:t>
      </w:r>
      <w:r w:rsidRPr="0097178F">
        <w:rPr>
          <w:rFonts w:ascii="Calibri" w:hAnsi="Calibri" w:cs="Calibri"/>
          <w:szCs w:val="24"/>
        </w:rPr>
        <w:t>hese are included in the forecast figures.</w:t>
      </w:r>
    </w:p>
    <w:p w14:paraId="57D86856" w14:textId="77777777" w:rsidR="00A779B2" w:rsidRPr="000C51B3" w:rsidRDefault="00A779B2" w:rsidP="00A779B2">
      <w:pPr>
        <w:pStyle w:val="ListParagraph"/>
        <w:spacing w:line="120" w:lineRule="auto"/>
        <w:ind w:left="357"/>
        <w:jc w:val="both"/>
        <w:rPr>
          <w:rFonts w:ascii="Calibri" w:hAnsi="Calibri" w:cs="Calibri"/>
          <w:szCs w:val="24"/>
        </w:rPr>
      </w:pPr>
    </w:p>
    <w:tbl>
      <w:tblPr>
        <w:tblStyle w:val="TableGrid"/>
        <w:tblW w:w="0" w:type="auto"/>
        <w:jc w:val="center"/>
        <w:tblLayout w:type="fixed"/>
        <w:tblLook w:val="04A0" w:firstRow="1" w:lastRow="0" w:firstColumn="1" w:lastColumn="0" w:noHBand="0" w:noVBand="1"/>
      </w:tblPr>
      <w:tblGrid>
        <w:gridCol w:w="3549"/>
        <w:gridCol w:w="1433"/>
        <w:gridCol w:w="1433"/>
        <w:gridCol w:w="1209"/>
      </w:tblGrid>
      <w:tr w:rsidR="00A779B2" w:rsidRPr="000C51B3" w14:paraId="3DA90B9A" w14:textId="77777777" w:rsidTr="0086192F">
        <w:trPr>
          <w:jc w:val="center"/>
        </w:trPr>
        <w:tc>
          <w:tcPr>
            <w:tcW w:w="3549" w:type="dxa"/>
          </w:tcPr>
          <w:p w14:paraId="24279C63" w14:textId="77777777" w:rsidR="00A779B2" w:rsidRPr="000C51B3" w:rsidRDefault="00A779B2" w:rsidP="0086192F">
            <w:pPr>
              <w:pStyle w:val="ListParagraph"/>
              <w:ind w:left="0"/>
              <w:rPr>
                <w:rFonts w:ascii="Calibri" w:hAnsi="Calibri" w:cs="Calibri"/>
                <w:b/>
                <w:bCs/>
              </w:rPr>
            </w:pPr>
            <w:r w:rsidRPr="000C51B3">
              <w:rPr>
                <w:rFonts w:ascii="Calibri" w:hAnsi="Calibri" w:cs="Calibri"/>
                <w:b/>
                <w:bCs/>
              </w:rPr>
              <w:t>Budget Type</w:t>
            </w:r>
          </w:p>
        </w:tc>
        <w:tc>
          <w:tcPr>
            <w:tcW w:w="1433" w:type="dxa"/>
          </w:tcPr>
          <w:p w14:paraId="1EA74015" w14:textId="77777777" w:rsidR="00A779B2" w:rsidRPr="000C51B3" w:rsidRDefault="00A779B2" w:rsidP="0086192F">
            <w:pPr>
              <w:pStyle w:val="ListParagraph"/>
              <w:ind w:left="0"/>
              <w:rPr>
                <w:rFonts w:ascii="Calibri" w:hAnsi="Calibri" w:cs="Calibri"/>
                <w:b/>
                <w:bCs/>
              </w:rPr>
            </w:pPr>
            <w:r w:rsidRPr="000C51B3">
              <w:rPr>
                <w:rFonts w:ascii="Calibri" w:hAnsi="Calibri" w:cs="Calibri"/>
                <w:b/>
                <w:bCs/>
              </w:rPr>
              <w:t>Budget</w:t>
            </w:r>
          </w:p>
        </w:tc>
        <w:tc>
          <w:tcPr>
            <w:tcW w:w="1433" w:type="dxa"/>
          </w:tcPr>
          <w:p w14:paraId="11522F5D" w14:textId="77777777" w:rsidR="00A779B2" w:rsidRPr="000C51B3" w:rsidRDefault="00A779B2" w:rsidP="0086192F">
            <w:pPr>
              <w:pStyle w:val="ListParagraph"/>
              <w:ind w:left="0"/>
              <w:rPr>
                <w:rFonts w:ascii="Calibri" w:hAnsi="Calibri" w:cs="Calibri"/>
                <w:b/>
                <w:bCs/>
              </w:rPr>
            </w:pPr>
            <w:r w:rsidRPr="000C51B3">
              <w:rPr>
                <w:rFonts w:ascii="Calibri" w:hAnsi="Calibri" w:cs="Calibri"/>
                <w:b/>
                <w:bCs/>
              </w:rPr>
              <w:t>Forecast</w:t>
            </w:r>
          </w:p>
        </w:tc>
        <w:tc>
          <w:tcPr>
            <w:tcW w:w="1209" w:type="dxa"/>
          </w:tcPr>
          <w:p w14:paraId="18EFAC13" w14:textId="77777777" w:rsidR="00A779B2" w:rsidRPr="000C51B3" w:rsidRDefault="00A779B2" w:rsidP="0086192F">
            <w:pPr>
              <w:pStyle w:val="ListParagraph"/>
              <w:ind w:left="0"/>
              <w:rPr>
                <w:rFonts w:ascii="Calibri" w:hAnsi="Calibri" w:cs="Calibri"/>
                <w:b/>
                <w:bCs/>
              </w:rPr>
            </w:pPr>
            <w:r w:rsidRPr="000C51B3">
              <w:rPr>
                <w:rFonts w:ascii="Calibri" w:hAnsi="Calibri" w:cs="Calibri"/>
                <w:b/>
                <w:bCs/>
              </w:rPr>
              <w:t>Variance</w:t>
            </w:r>
          </w:p>
        </w:tc>
      </w:tr>
      <w:tr w:rsidR="00A779B2" w:rsidRPr="000C51B3" w14:paraId="111B2FC9" w14:textId="77777777" w:rsidTr="0086192F">
        <w:trPr>
          <w:jc w:val="center"/>
        </w:trPr>
        <w:tc>
          <w:tcPr>
            <w:tcW w:w="3549" w:type="dxa"/>
          </w:tcPr>
          <w:p w14:paraId="192EDD5A" w14:textId="77777777" w:rsidR="00A779B2" w:rsidRPr="000C51B3" w:rsidRDefault="00A779B2" w:rsidP="0086192F">
            <w:pPr>
              <w:pStyle w:val="ListParagraph"/>
              <w:ind w:left="0"/>
              <w:rPr>
                <w:rFonts w:ascii="Calibri" w:hAnsi="Calibri" w:cs="Calibri"/>
              </w:rPr>
            </w:pPr>
            <w:r w:rsidRPr="000C51B3">
              <w:rPr>
                <w:rFonts w:ascii="Calibri" w:hAnsi="Calibri" w:cs="Calibri"/>
              </w:rPr>
              <w:t>Indirect Capital – NRF projects</w:t>
            </w:r>
          </w:p>
        </w:tc>
        <w:tc>
          <w:tcPr>
            <w:tcW w:w="1433" w:type="dxa"/>
          </w:tcPr>
          <w:p w14:paraId="35EE8755" w14:textId="77777777" w:rsidR="00A779B2" w:rsidRPr="000C51B3" w:rsidRDefault="00A779B2" w:rsidP="0086192F">
            <w:pPr>
              <w:pStyle w:val="ListParagraph"/>
              <w:ind w:left="0"/>
              <w:jc w:val="right"/>
              <w:rPr>
                <w:rFonts w:ascii="Calibri" w:hAnsi="Calibri" w:cs="Calibri"/>
              </w:rPr>
            </w:pPr>
            <w:r w:rsidRPr="000C51B3">
              <w:rPr>
                <w:rFonts w:ascii="Calibri" w:hAnsi="Calibri" w:cs="Calibri"/>
              </w:rPr>
              <w:t>6,490,000</w:t>
            </w:r>
          </w:p>
        </w:tc>
        <w:tc>
          <w:tcPr>
            <w:tcW w:w="1433" w:type="dxa"/>
          </w:tcPr>
          <w:p w14:paraId="1ACAA637" w14:textId="77777777" w:rsidR="00A779B2" w:rsidRPr="000C51B3" w:rsidRDefault="00A779B2" w:rsidP="0086192F">
            <w:pPr>
              <w:pStyle w:val="ListParagraph"/>
              <w:ind w:left="0"/>
              <w:jc w:val="right"/>
              <w:rPr>
                <w:rFonts w:ascii="Calibri" w:hAnsi="Calibri" w:cs="Calibri"/>
              </w:rPr>
            </w:pPr>
            <w:r w:rsidRPr="000C51B3">
              <w:rPr>
                <w:rFonts w:ascii="Calibri" w:hAnsi="Calibri" w:cs="Calibri"/>
              </w:rPr>
              <w:t>6,249,402</w:t>
            </w:r>
          </w:p>
        </w:tc>
        <w:tc>
          <w:tcPr>
            <w:tcW w:w="1209" w:type="dxa"/>
          </w:tcPr>
          <w:p w14:paraId="6B5759C1" w14:textId="77777777" w:rsidR="00A779B2" w:rsidRPr="000C51B3" w:rsidRDefault="00A779B2" w:rsidP="0086192F">
            <w:pPr>
              <w:pStyle w:val="ListParagraph"/>
              <w:ind w:left="0"/>
              <w:jc w:val="right"/>
              <w:rPr>
                <w:rFonts w:ascii="Calibri" w:hAnsi="Calibri" w:cs="Calibri"/>
              </w:rPr>
            </w:pPr>
            <w:r w:rsidRPr="000C51B3">
              <w:rPr>
                <w:rFonts w:ascii="Calibri" w:hAnsi="Calibri" w:cs="Calibri"/>
              </w:rPr>
              <w:t>240,598</w:t>
            </w:r>
          </w:p>
        </w:tc>
      </w:tr>
      <w:tr w:rsidR="00A779B2" w:rsidRPr="000C51B3" w14:paraId="06C49843" w14:textId="77777777" w:rsidTr="0086192F">
        <w:trPr>
          <w:jc w:val="center"/>
        </w:trPr>
        <w:tc>
          <w:tcPr>
            <w:tcW w:w="3549" w:type="dxa"/>
          </w:tcPr>
          <w:p w14:paraId="5B04F06F" w14:textId="77777777" w:rsidR="00A779B2" w:rsidRPr="000C51B3" w:rsidRDefault="00A779B2" w:rsidP="0086192F">
            <w:pPr>
              <w:pStyle w:val="ListParagraph"/>
              <w:ind w:left="0"/>
              <w:rPr>
                <w:rFonts w:ascii="Calibri" w:hAnsi="Calibri" w:cs="Calibri"/>
              </w:rPr>
            </w:pPr>
            <w:r w:rsidRPr="000C51B3">
              <w:rPr>
                <w:rFonts w:ascii="Calibri" w:hAnsi="Calibri" w:cs="Calibri"/>
              </w:rPr>
              <w:t>Indirect Capital – SMEEF projects</w:t>
            </w:r>
          </w:p>
        </w:tc>
        <w:tc>
          <w:tcPr>
            <w:tcW w:w="1433" w:type="dxa"/>
          </w:tcPr>
          <w:p w14:paraId="6788B7ED" w14:textId="77777777" w:rsidR="00A779B2" w:rsidRPr="000C51B3" w:rsidRDefault="00A779B2" w:rsidP="0086192F">
            <w:pPr>
              <w:pStyle w:val="ListParagraph"/>
              <w:ind w:left="0"/>
              <w:jc w:val="right"/>
              <w:rPr>
                <w:rFonts w:ascii="Calibri" w:hAnsi="Calibri" w:cs="Calibri"/>
              </w:rPr>
            </w:pPr>
            <w:r w:rsidRPr="000C51B3">
              <w:rPr>
                <w:rFonts w:ascii="Calibri" w:hAnsi="Calibri" w:cs="Calibri"/>
              </w:rPr>
              <w:t>850,000</w:t>
            </w:r>
          </w:p>
        </w:tc>
        <w:tc>
          <w:tcPr>
            <w:tcW w:w="1433" w:type="dxa"/>
          </w:tcPr>
          <w:p w14:paraId="0304E4A1" w14:textId="77777777" w:rsidR="00A779B2" w:rsidRPr="000C51B3" w:rsidRDefault="00A779B2" w:rsidP="0086192F">
            <w:pPr>
              <w:pStyle w:val="ListParagraph"/>
              <w:ind w:left="0"/>
              <w:jc w:val="right"/>
              <w:rPr>
                <w:rFonts w:ascii="Calibri" w:hAnsi="Calibri" w:cs="Calibri"/>
              </w:rPr>
            </w:pPr>
            <w:r w:rsidRPr="000C51B3">
              <w:rPr>
                <w:rFonts w:ascii="Calibri" w:hAnsi="Calibri" w:cs="Calibri"/>
              </w:rPr>
              <w:t>818,473</w:t>
            </w:r>
          </w:p>
        </w:tc>
        <w:tc>
          <w:tcPr>
            <w:tcW w:w="1209" w:type="dxa"/>
          </w:tcPr>
          <w:p w14:paraId="6DC3ACAF" w14:textId="77777777" w:rsidR="00A779B2" w:rsidRPr="000C51B3" w:rsidRDefault="00A779B2" w:rsidP="0086192F">
            <w:pPr>
              <w:pStyle w:val="ListParagraph"/>
              <w:ind w:left="0"/>
              <w:jc w:val="right"/>
              <w:rPr>
                <w:rFonts w:ascii="Calibri" w:hAnsi="Calibri" w:cs="Calibri"/>
              </w:rPr>
            </w:pPr>
            <w:r w:rsidRPr="000C51B3">
              <w:rPr>
                <w:rFonts w:ascii="Calibri" w:hAnsi="Calibri" w:cs="Calibri"/>
              </w:rPr>
              <w:t>31,527</w:t>
            </w:r>
          </w:p>
        </w:tc>
      </w:tr>
      <w:tr w:rsidR="00A779B2" w:rsidRPr="000C51B3" w14:paraId="30B7AF61" w14:textId="77777777" w:rsidTr="0086192F">
        <w:trPr>
          <w:jc w:val="center"/>
        </w:trPr>
        <w:tc>
          <w:tcPr>
            <w:tcW w:w="3549" w:type="dxa"/>
          </w:tcPr>
          <w:p w14:paraId="3F11EEEC" w14:textId="77777777" w:rsidR="00A779B2" w:rsidRPr="000C51B3" w:rsidRDefault="00A779B2" w:rsidP="0086192F">
            <w:pPr>
              <w:pStyle w:val="ListParagraph"/>
              <w:ind w:left="0"/>
              <w:rPr>
                <w:rFonts w:ascii="Calibri" w:hAnsi="Calibri" w:cs="Calibri"/>
                <w:b/>
                <w:bCs/>
              </w:rPr>
            </w:pPr>
            <w:r w:rsidRPr="000C51B3">
              <w:rPr>
                <w:rFonts w:ascii="Calibri" w:hAnsi="Calibri" w:cs="Calibri"/>
                <w:b/>
                <w:bCs/>
              </w:rPr>
              <w:t xml:space="preserve">Total – Indirect Capital </w:t>
            </w:r>
          </w:p>
        </w:tc>
        <w:tc>
          <w:tcPr>
            <w:tcW w:w="1433" w:type="dxa"/>
          </w:tcPr>
          <w:p w14:paraId="2E07B07F" w14:textId="77777777" w:rsidR="00A779B2" w:rsidRPr="000C51B3" w:rsidRDefault="00A779B2" w:rsidP="0086192F">
            <w:pPr>
              <w:pStyle w:val="ListParagraph"/>
              <w:ind w:left="0"/>
              <w:jc w:val="right"/>
              <w:rPr>
                <w:rFonts w:ascii="Calibri" w:hAnsi="Calibri" w:cs="Calibri"/>
                <w:b/>
                <w:bCs/>
              </w:rPr>
            </w:pPr>
            <w:r w:rsidRPr="000C51B3">
              <w:rPr>
                <w:rFonts w:ascii="Calibri" w:hAnsi="Calibri" w:cs="Calibri"/>
                <w:b/>
                <w:bCs/>
              </w:rPr>
              <w:t>7,340,000</w:t>
            </w:r>
          </w:p>
        </w:tc>
        <w:tc>
          <w:tcPr>
            <w:tcW w:w="1433" w:type="dxa"/>
          </w:tcPr>
          <w:p w14:paraId="780ACD07" w14:textId="77777777" w:rsidR="00A779B2" w:rsidRPr="000C51B3" w:rsidRDefault="00A779B2" w:rsidP="0086192F">
            <w:pPr>
              <w:pStyle w:val="ListParagraph"/>
              <w:ind w:left="0"/>
              <w:jc w:val="right"/>
              <w:rPr>
                <w:rFonts w:ascii="Calibri" w:hAnsi="Calibri" w:cs="Calibri"/>
                <w:b/>
                <w:bCs/>
              </w:rPr>
            </w:pPr>
            <w:r w:rsidRPr="000C51B3">
              <w:rPr>
                <w:rFonts w:ascii="Calibri" w:hAnsi="Calibri" w:cs="Calibri"/>
                <w:b/>
                <w:bCs/>
              </w:rPr>
              <w:t>7,067,875</w:t>
            </w:r>
          </w:p>
        </w:tc>
        <w:tc>
          <w:tcPr>
            <w:tcW w:w="1209" w:type="dxa"/>
          </w:tcPr>
          <w:p w14:paraId="51687E07" w14:textId="77777777" w:rsidR="00A779B2" w:rsidRPr="000C51B3" w:rsidRDefault="00A779B2" w:rsidP="0086192F">
            <w:pPr>
              <w:pStyle w:val="ListParagraph"/>
              <w:ind w:left="0"/>
              <w:jc w:val="right"/>
              <w:rPr>
                <w:rFonts w:ascii="Calibri" w:hAnsi="Calibri" w:cs="Calibri"/>
                <w:b/>
                <w:bCs/>
              </w:rPr>
            </w:pPr>
            <w:r w:rsidRPr="000C51B3">
              <w:rPr>
                <w:rFonts w:ascii="Calibri" w:hAnsi="Calibri" w:cs="Calibri"/>
                <w:b/>
                <w:bCs/>
              </w:rPr>
              <w:t>272,125</w:t>
            </w:r>
          </w:p>
        </w:tc>
      </w:tr>
      <w:tr w:rsidR="00A779B2" w:rsidRPr="000C51B3" w14:paraId="3694F811" w14:textId="77777777" w:rsidTr="0086192F">
        <w:trPr>
          <w:jc w:val="center"/>
        </w:trPr>
        <w:tc>
          <w:tcPr>
            <w:tcW w:w="3549" w:type="dxa"/>
          </w:tcPr>
          <w:p w14:paraId="11CFF81A" w14:textId="77777777" w:rsidR="00A779B2" w:rsidRPr="000C51B3" w:rsidRDefault="00A779B2" w:rsidP="0086192F">
            <w:pPr>
              <w:pStyle w:val="ListParagraph"/>
              <w:ind w:left="0"/>
              <w:rPr>
                <w:rFonts w:ascii="Calibri" w:hAnsi="Calibri" w:cs="Calibri"/>
              </w:rPr>
            </w:pPr>
            <w:r w:rsidRPr="000C51B3">
              <w:rPr>
                <w:rFonts w:ascii="Calibri" w:hAnsi="Calibri" w:cs="Calibri"/>
              </w:rPr>
              <w:t>Resource – NRF projects</w:t>
            </w:r>
          </w:p>
        </w:tc>
        <w:tc>
          <w:tcPr>
            <w:tcW w:w="1433" w:type="dxa"/>
          </w:tcPr>
          <w:p w14:paraId="726DCB71" w14:textId="77777777" w:rsidR="00A779B2" w:rsidRPr="000C51B3" w:rsidRDefault="00A779B2" w:rsidP="0086192F">
            <w:pPr>
              <w:pStyle w:val="ListParagraph"/>
              <w:ind w:left="0"/>
              <w:jc w:val="right"/>
              <w:rPr>
                <w:rFonts w:ascii="Calibri" w:hAnsi="Calibri" w:cs="Calibri"/>
              </w:rPr>
            </w:pPr>
            <w:r w:rsidRPr="000C51B3">
              <w:rPr>
                <w:rFonts w:ascii="Calibri" w:hAnsi="Calibri" w:cs="Calibri"/>
              </w:rPr>
              <w:t>3,501,000</w:t>
            </w:r>
          </w:p>
        </w:tc>
        <w:tc>
          <w:tcPr>
            <w:tcW w:w="1433" w:type="dxa"/>
          </w:tcPr>
          <w:p w14:paraId="7922B19F" w14:textId="77777777" w:rsidR="00A779B2" w:rsidRPr="000C51B3" w:rsidRDefault="00A779B2" w:rsidP="0086192F">
            <w:pPr>
              <w:pStyle w:val="ListParagraph"/>
              <w:ind w:left="0"/>
              <w:jc w:val="right"/>
              <w:rPr>
                <w:rFonts w:ascii="Calibri" w:hAnsi="Calibri" w:cs="Calibri"/>
              </w:rPr>
            </w:pPr>
            <w:r w:rsidRPr="000C51B3">
              <w:rPr>
                <w:rFonts w:ascii="Calibri" w:hAnsi="Calibri" w:cs="Calibri"/>
              </w:rPr>
              <w:t>3,692,953</w:t>
            </w:r>
          </w:p>
        </w:tc>
        <w:tc>
          <w:tcPr>
            <w:tcW w:w="1209" w:type="dxa"/>
          </w:tcPr>
          <w:p w14:paraId="43051F77" w14:textId="77777777" w:rsidR="00A779B2" w:rsidRPr="000C51B3" w:rsidRDefault="00A779B2" w:rsidP="0086192F">
            <w:pPr>
              <w:pStyle w:val="ListParagraph"/>
              <w:ind w:left="0"/>
              <w:jc w:val="right"/>
              <w:rPr>
                <w:rFonts w:ascii="Calibri" w:hAnsi="Calibri" w:cs="Calibri"/>
              </w:rPr>
            </w:pPr>
            <w:r w:rsidRPr="000C51B3">
              <w:rPr>
                <w:rFonts w:ascii="Calibri" w:hAnsi="Calibri" w:cs="Calibri"/>
              </w:rPr>
              <w:t>(191,953)</w:t>
            </w:r>
          </w:p>
        </w:tc>
      </w:tr>
      <w:tr w:rsidR="00A779B2" w:rsidRPr="000C51B3" w14:paraId="01363030" w14:textId="77777777" w:rsidTr="0086192F">
        <w:trPr>
          <w:jc w:val="center"/>
        </w:trPr>
        <w:tc>
          <w:tcPr>
            <w:tcW w:w="3549" w:type="dxa"/>
          </w:tcPr>
          <w:p w14:paraId="0BFD63DE" w14:textId="77777777" w:rsidR="00A779B2" w:rsidRPr="000C51B3" w:rsidRDefault="00A779B2" w:rsidP="0086192F">
            <w:pPr>
              <w:pStyle w:val="ListParagraph"/>
              <w:ind w:left="0"/>
              <w:rPr>
                <w:rFonts w:ascii="Calibri" w:hAnsi="Calibri" w:cs="Calibri"/>
              </w:rPr>
            </w:pPr>
            <w:r w:rsidRPr="000C51B3">
              <w:rPr>
                <w:rFonts w:ascii="Calibri" w:hAnsi="Calibri" w:cs="Calibri"/>
              </w:rPr>
              <w:t>Resource – SMEEF projects</w:t>
            </w:r>
          </w:p>
        </w:tc>
        <w:tc>
          <w:tcPr>
            <w:tcW w:w="1433" w:type="dxa"/>
          </w:tcPr>
          <w:p w14:paraId="12ECFE43" w14:textId="77777777" w:rsidR="00A779B2" w:rsidRPr="000C51B3" w:rsidRDefault="00A779B2" w:rsidP="0086192F">
            <w:pPr>
              <w:pStyle w:val="ListParagraph"/>
              <w:ind w:left="0"/>
              <w:jc w:val="right"/>
              <w:rPr>
                <w:rFonts w:ascii="Calibri" w:hAnsi="Calibri" w:cs="Calibri"/>
              </w:rPr>
            </w:pPr>
            <w:r w:rsidRPr="000C51B3">
              <w:rPr>
                <w:rFonts w:ascii="Calibri" w:hAnsi="Calibri" w:cs="Calibri"/>
              </w:rPr>
              <w:t>500,000</w:t>
            </w:r>
          </w:p>
        </w:tc>
        <w:tc>
          <w:tcPr>
            <w:tcW w:w="1433" w:type="dxa"/>
          </w:tcPr>
          <w:p w14:paraId="28E3162D" w14:textId="77777777" w:rsidR="00A779B2" w:rsidRPr="000C51B3" w:rsidRDefault="00A779B2" w:rsidP="0086192F">
            <w:pPr>
              <w:pStyle w:val="ListParagraph"/>
              <w:ind w:left="0"/>
              <w:jc w:val="right"/>
              <w:rPr>
                <w:rFonts w:ascii="Calibri" w:hAnsi="Calibri" w:cs="Calibri"/>
              </w:rPr>
            </w:pPr>
            <w:r w:rsidRPr="000C51B3">
              <w:rPr>
                <w:rFonts w:ascii="Calibri" w:hAnsi="Calibri" w:cs="Calibri"/>
              </w:rPr>
              <w:t>470,955</w:t>
            </w:r>
          </w:p>
        </w:tc>
        <w:tc>
          <w:tcPr>
            <w:tcW w:w="1209" w:type="dxa"/>
          </w:tcPr>
          <w:p w14:paraId="2AD67AEA" w14:textId="77777777" w:rsidR="00A779B2" w:rsidRPr="000C51B3" w:rsidRDefault="00A779B2" w:rsidP="0086192F">
            <w:pPr>
              <w:pStyle w:val="ListParagraph"/>
              <w:ind w:left="0"/>
              <w:jc w:val="right"/>
              <w:rPr>
                <w:rFonts w:ascii="Calibri" w:hAnsi="Calibri" w:cs="Calibri"/>
              </w:rPr>
            </w:pPr>
            <w:r w:rsidRPr="000C51B3">
              <w:rPr>
                <w:rFonts w:ascii="Calibri" w:hAnsi="Calibri" w:cs="Calibri"/>
              </w:rPr>
              <w:t>29,045</w:t>
            </w:r>
          </w:p>
        </w:tc>
      </w:tr>
      <w:tr w:rsidR="00A779B2" w:rsidRPr="000C51B3" w14:paraId="1975F8E5" w14:textId="77777777" w:rsidTr="0086192F">
        <w:trPr>
          <w:jc w:val="center"/>
        </w:trPr>
        <w:tc>
          <w:tcPr>
            <w:tcW w:w="3549" w:type="dxa"/>
          </w:tcPr>
          <w:p w14:paraId="16E3585D" w14:textId="77777777" w:rsidR="00A779B2" w:rsidRPr="000C51B3" w:rsidRDefault="00A779B2" w:rsidP="0086192F">
            <w:pPr>
              <w:pStyle w:val="ListParagraph"/>
              <w:ind w:left="0"/>
              <w:rPr>
                <w:rFonts w:ascii="Calibri" w:hAnsi="Calibri" w:cs="Calibri"/>
                <w:b/>
                <w:bCs/>
              </w:rPr>
            </w:pPr>
            <w:r w:rsidRPr="000C51B3">
              <w:rPr>
                <w:rFonts w:ascii="Calibri" w:hAnsi="Calibri" w:cs="Calibri"/>
                <w:b/>
                <w:bCs/>
              </w:rPr>
              <w:t xml:space="preserve">Total – Resource </w:t>
            </w:r>
          </w:p>
        </w:tc>
        <w:tc>
          <w:tcPr>
            <w:tcW w:w="1433" w:type="dxa"/>
          </w:tcPr>
          <w:p w14:paraId="2AC1A0BC" w14:textId="77777777" w:rsidR="00A779B2" w:rsidRPr="000C51B3" w:rsidRDefault="00A779B2" w:rsidP="0086192F">
            <w:pPr>
              <w:pStyle w:val="ListParagraph"/>
              <w:ind w:left="0"/>
              <w:jc w:val="right"/>
              <w:rPr>
                <w:rFonts w:ascii="Calibri" w:hAnsi="Calibri" w:cs="Calibri"/>
                <w:b/>
                <w:bCs/>
              </w:rPr>
            </w:pPr>
            <w:r w:rsidRPr="000C51B3">
              <w:rPr>
                <w:rFonts w:ascii="Calibri" w:hAnsi="Calibri" w:cs="Calibri"/>
                <w:b/>
                <w:bCs/>
              </w:rPr>
              <w:t>4,001,000</w:t>
            </w:r>
          </w:p>
        </w:tc>
        <w:tc>
          <w:tcPr>
            <w:tcW w:w="1433" w:type="dxa"/>
          </w:tcPr>
          <w:p w14:paraId="61400D12" w14:textId="77777777" w:rsidR="00A779B2" w:rsidRPr="000C51B3" w:rsidRDefault="00A779B2" w:rsidP="0086192F">
            <w:pPr>
              <w:pStyle w:val="ListParagraph"/>
              <w:ind w:left="0"/>
              <w:jc w:val="right"/>
              <w:rPr>
                <w:rFonts w:ascii="Calibri" w:hAnsi="Calibri" w:cs="Calibri"/>
                <w:b/>
                <w:bCs/>
              </w:rPr>
            </w:pPr>
            <w:r w:rsidRPr="000C51B3">
              <w:rPr>
                <w:rFonts w:ascii="Calibri" w:hAnsi="Calibri" w:cs="Calibri"/>
                <w:b/>
                <w:bCs/>
              </w:rPr>
              <w:t>4,163,908</w:t>
            </w:r>
          </w:p>
        </w:tc>
        <w:tc>
          <w:tcPr>
            <w:tcW w:w="1209" w:type="dxa"/>
          </w:tcPr>
          <w:p w14:paraId="714259A5" w14:textId="77777777" w:rsidR="00A779B2" w:rsidRPr="000C51B3" w:rsidRDefault="00A779B2" w:rsidP="0086192F">
            <w:pPr>
              <w:pStyle w:val="ListParagraph"/>
              <w:ind w:left="0"/>
              <w:jc w:val="right"/>
              <w:rPr>
                <w:rFonts w:ascii="Calibri" w:hAnsi="Calibri" w:cs="Calibri"/>
                <w:b/>
                <w:bCs/>
              </w:rPr>
            </w:pPr>
            <w:r w:rsidRPr="000C51B3">
              <w:rPr>
                <w:rFonts w:ascii="Calibri" w:hAnsi="Calibri" w:cs="Calibri"/>
                <w:b/>
                <w:bCs/>
              </w:rPr>
              <w:t>(162,908)</w:t>
            </w:r>
          </w:p>
        </w:tc>
      </w:tr>
      <w:tr w:rsidR="00A779B2" w:rsidRPr="000C51B3" w14:paraId="618B35C8" w14:textId="77777777" w:rsidTr="0086192F">
        <w:trPr>
          <w:jc w:val="center"/>
        </w:trPr>
        <w:tc>
          <w:tcPr>
            <w:tcW w:w="3549" w:type="dxa"/>
          </w:tcPr>
          <w:p w14:paraId="5DDA16AC" w14:textId="77777777" w:rsidR="00A779B2" w:rsidRPr="000C51B3" w:rsidRDefault="00A779B2" w:rsidP="0086192F">
            <w:pPr>
              <w:pStyle w:val="ListParagraph"/>
              <w:ind w:left="0"/>
              <w:rPr>
                <w:rFonts w:ascii="Calibri" w:hAnsi="Calibri" w:cs="Calibri"/>
                <w:b/>
                <w:bCs/>
              </w:rPr>
            </w:pPr>
            <w:r w:rsidRPr="000C51B3">
              <w:rPr>
                <w:rFonts w:ascii="Calibri" w:hAnsi="Calibri" w:cs="Calibri"/>
                <w:b/>
                <w:bCs/>
              </w:rPr>
              <w:t>Total NRF</w:t>
            </w:r>
          </w:p>
        </w:tc>
        <w:tc>
          <w:tcPr>
            <w:tcW w:w="1433" w:type="dxa"/>
          </w:tcPr>
          <w:p w14:paraId="12A4A824" w14:textId="77777777" w:rsidR="00A779B2" w:rsidRPr="000C51B3" w:rsidRDefault="00A779B2" w:rsidP="0086192F">
            <w:pPr>
              <w:pStyle w:val="ListParagraph"/>
              <w:ind w:left="0"/>
              <w:jc w:val="right"/>
              <w:rPr>
                <w:rFonts w:ascii="Calibri" w:hAnsi="Calibri" w:cs="Calibri"/>
                <w:b/>
                <w:bCs/>
              </w:rPr>
            </w:pPr>
            <w:r w:rsidRPr="000C51B3">
              <w:rPr>
                <w:rFonts w:ascii="Calibri" w:hAnsi="Calibri" w:cs="Calibri"/>
                <w:b/>
                <w:bCs/>
              </w:rPr>
              <w:t>11,341,000</w:t>
            </w:r>
          </w:p>
        </w:tc>
        <w:tc>
          <w:tcPr>
            <w:tcW w:w="1433" w:type="dxa"/>
          </w:tcPr>
          <w:p w14:paraId="51D336E2" w14:textId="77777777" w:rsidR="00A779B2" w:rsidRPr="000C51B3" w:rsidRDefault="00A779B2" w:rsidP="0086192F">
            <w:pPr>
              <w:pStyle w:val="ListParagraph"/>
              <w:ind w:left="0"/>
              <w:jc w:val="right"/>
              <w:rPr>
                <w:rFonts w:ascii="Calibri" w:hAnsi="Calibri" w:cs="Calibri"/>
                <w:b/>
                <w:bCs/>
              </w:rPr>
            </w:pPr>
            <w:r w:rsidRPr="000C51B3">
              <w:rPr>
                <w:rFonts w:ascii="Calibri" w:hAnsi="Calibri" w:cs="Calibri"/>
                <w:b/>
                <w:bCs/>
              </w:rPr>
              <w:t>11,231,783</w:t>
            </w:r>
          </w:p>
        </w:tc>
        <w:tc>
          <w:tcPr>
            <w:tcW w:w="1209" w:type="dxa"/>
          </w:tcPr>
          <w:p w14:paraId="2EED52B8" w14:textId="77777777" w:rsidR="00A779B2" w:rsidRPr="000C51B3" w:rsidRDefault="00A779B2" w:rsidP="0086192F">
            <w:pPr>
              <w:pStyle w:val="ListParagraph"/>
              <w:ind w:left="0"/>
              <w:jc w:val="right"/>
              <w:rPr>
                <w:rFonts w:ascii="Calibri" w:hAnsi="Calibri" w:cs="Calibri"/>
                <w:b/>
                <w:bCs/>
              </w:rPr>
            </w:pPr>
            <w:r w:rsidRPr="000C51B3">
              <w:rPr>
                <w:rFonts w:ascii="Calibri" w:hAnsi="Calibri" w:cs="Calibri"/>
                <w:b/>
                <w:bCs/>
              </w:rPr>
              <w:t>109,217</w:t>
            </w:r>
          </w:p>
        </w:tc>
      </w:tr>
    </w:tbl>
    <w:p w14:paraId="161741A7" w14:textId="77777777" w:rsidR="00A479D5" w:rsidRPr="000C51B3" w:rsidRDefault="00A479D5" w:rsidP="00A479D5">
      <w:pPr>
        <w:pStyle w:val="ListParagraph"/>
        <w:spacing w:line="120" w:lineRule="auto"/>
        <w:ind w:left="357"/>
        <w:jc w:val="both"/>
        <w:rPr>
          <w:rFonts w:ascii="Calibri" w:hAnsi="Calibri" w:cs="Calibri"/>
          <w:sz w:val="22"/>
        </w:rPr>
      </w:pPr>
    </w:p>
    <w:p w14:paraId="0DFADBAA" w14:textId="77777777" w:rsidR="00A479D5" w:rsidRPr="000C51B3" w:rsidRDefault="00A479D5" w:rsidP="000C51B3">
      <w:pPr>
        <w:pStyle w:val="Heading2"/>
      </w:pPr>
      <w:r w:rsidRPr="000C51B3">
        <w:t>Rainforest Restoration Fund</w:t>
      </w:r>
    </w:p>
    <w:p w14:paraId="1A1F0D5C" w14:textId="6872FE21" w:rsidR="00A779B2" w:rsidRPr="000C51B3" w:rsidRDefault="00A779B2">
      <w:pPr>
        <w:pStyle w:val="ListParagraph"/>
        <w:numPr>
          <w:ilvl w:val="0"/>
          <w:numId w:val="4"/>
        </w:numPr>
        <w:spacing w:after="0"/>
        <w:jc w:val="both"/>
        <w:rPr>
          <w:rFonts w:ascii="Calibri" w:eastAsia="Times New Roman" w:hAnsi="Calibri" w:cs="Calibri"/>
          <w:szCs w:val="24"/>
        </w:rPr>
      </w:pPr>
      <w:r w:rsidRPr="000C51B3">
        <w:rPr>
          <w:rFonts w:ascii="Calibri" w:hAnsi="Calibri" w:cs="Calibri"/>
        </w:rPr>
        <w:t>The Rainforest Restoration Fund (RRF) budget is £1.7m. This is split £0.8m resource and £0.9m indirect capital (after handing back £0.1m at SBR).  We are forecasting £0.7m on resource and £0.8m on indirect capital, an overall underspend of £0.2m</w:t>
      </w:r>
      <w:r w:rsidR="00111D71" w:rsidRPr="000C51B3">
        <w:rPr>
          <w:rFonts w:ascii="Calibri" w:hAnsi="Calibri" w:cs="Calibri"/>
        </w:rPr>
        <w:t>.</w:t>
      </w:r>
    </w:p>
    <w:p w14:paraId="35AE96D0" w14:textId="77777777" w:rsidR="00A479D5" w:rsidRPr="000C51B3" w:rsidRDefault="00A479D5" w:rsidP="00A479D5">
      <w:pPr>
        <w:pStyle w:val="ListParagraph"/>
        <w:spacing w:after="0" w:line="120" w:lineRule="auto"/>
        <w:ind w:left="357"/>
        <w:jc w:val="both"/>
        <w:rPr>
          <w:rFonts w:ascii="Calibri" w:eastAsia="Times New Roman" w:hAnsi="Calibri" w:cs="Calibri"/>
          <w:sz w:val="22"/>
        </w:rPr>
      </w:pPr>
    </w:p>
    <w:p w14:paraId="05DC8833" w14:textId="77777777" w:rsidR="00A479D5" w:rsidRPr="000C51B3" w:rsidRDefault="00A479D5" w:rsidP="000C51B3">
      <w:pPr>
        <w:pStyle w:val="Heading2"/>
      </w:pPr>
      <w:r w:rsidRPr="000C51B3">
        <w:rPr>
          <w:rFonts w:eastAsia="Times New Roman"/>
        </w:rPr>
        <w:t>Direct Capital Budget Performance</w:t>
      </w:r>
    </w:p>
    <w:p w14:paraId="3CD57AC8" w14:textId="77777777" w:rsidR="0097178F" w:rsidRPr="0097178F" w:rsidRDefault="00A779B2" w:rsidP="0097178F">
      <w:pPr>
        <w:pStyle w:val="ListParagraph"/>
        <w:numPr>
          <w:ilvl w:val="0"/>
          <w:numId w:val="4"/>
        </w:numPr>
        <w:spacing w:after="0"/>
        <w:jc w:val="both"/>
        <w:rPr>
          <w:rFonts w:ascii="Calibri" w:eastAsia="Times New Roman" w:hAnsi="Calibri" w:cs="Calibri"/>
          <w:szCs w:val="24"/>
        </w:rPr>
      </w:pPr>
      <w:r w:rsidRPr="000C51B3">
        <w:rPr>
          <w:rFonts w:ascii="Calibri" w:hAnsi="Calibri" w:cs="Calibri"/>
          <w:szCs w:val="24"/>
        </w:rPr>
        <w:t xml:space="preserve">We received £1.8m plus £1.1m for direct capital.  </w:t>
      </w:r>
      <w:r w:rsidR="00471FA7" w:rsidRPr="000C51B3">
        <w:rPr>
          <w:rFonts w:ascii="Calibri" w:hAnsi="Calibri" w:cs="Calibri"/>
          <w:szCs w:val="24"/>
        </w:rPr>
        <w:t>We understood</w:t>
      </w:r>
      <w:r w:rsidRPr="000C51B3">
        <w:rPr>
          <w:rFonts w:ascii="Calibri" w:hAnsi="Calibri" w:cs="Calibri"/>
          <w:szCs w:val="24"/>
        </w:rPr>
        <w:t xml:space="preserve"> that the £1.1m additional to our standard £1.8m was for IFRS16 and was therefore non-cash.  We did not include the £1.1m on our cash tracker until SG </w:t>
      </w:r>
      <w:r w:rsidR="00471FA7" w:rsidRPr="000C51B3">
        <w:rPr>
          <w:rFonts w:ascii="Calibri" w:hAnsi="Calibri" w:cs="Calibri"/>
          <w:szCs w:val="24"/>
        </w:rPr>
        <w:t>told</w:t>
      </w:r>
      <w:r w:rsidRPr="000C51B3">
        <w:rPr>
          <w:rFonts w:ascii="Calibri" w:hAnsi="Calibri" w:cs="Calibri"/>
          <w:szCs w:val="24"/>
        </w:rPr>
        <w:t xml:space="preserve"> us in December to </w:t>
      </w:r>
      <w:r w:rsidR="00471FA7" w:rsidRPr="000C51B3">
        <w:rPr>
          <w:rFonts w:ascii="Calibri" w:hAnsi="Calibri" w:cs="Calibri"/>
          <w:szCs w:val="24"/>
        </w:rPr>
        <w:t>add it in after we sought clari</w:t>
      </w:r>
      <w:r w:rsidR="003110D6" w:rsidRPr="000C51B3">
        <w:rPr>
          <w:rFonts w:ascii="Calibri" w:hAnsi="Calibri" w:cs="Calibri"/>
          <w:szCs w:val="24"/>
        </w:rPr>
        <w:t>ty</w:t>
      </w:r>
      <w:r w:rsidR="00471FA7" w:rsidRPr="000C51B3">
        <w:rPr>
          <w:rFonts w:ascii="Calibri" w:hAnsi="Calibri" w:cs="Calibri"/>
          <w:szCs w:val="24"/>
        </w:rPr>
        <w:t xml:space="preserve"> </w:t>
      </w:r>
      <w:r w:rsidR="003110D6" w:rsidRPr="000C51B3">
        <w:rPr>
          <w:rFonts w:ascii="Calibri" w:hAnsi="Calibri" w:cs="Calibri"/>
          <w:szCs w:val="24"/>
        </w:rPr>
        <w:t>from</w:t>
      </w:r>
      <w:r w:rsidR="00471FA7" w:rsidRPr="000C51B3">
        <w:rPr>
          <w:rFonts w:ascii="Calibri" w:hAnsi="Calibri" w:cs="Calibri"/>
          <w:szCs w:val="24"/>
        </w:rPr>
        <w:t xml:space="preserve"> them</w:t>
      </w:r>
      <w:r w:rsidRPr="000C51B3">
        <w:rPr>
          <w:rFonts w:ascii="Calibri" w:hAnsi="Calibri" w:cs="Calibri"/>
          <w:szCs w:val="24"/>
        </w:rPr>
        <w:t xml:space="preserve">.  </w:t>
      </w:r>
      <w:r w:rsidR="00471FA7" w:rsidRPr="000C51B3">
        <w:rPr>
          <w:rFonts w:ascii="Calibri" w:hAnsi="Calibri" w:cs="Calibri"/>
          <w:szCs w:val="24"/>
        </w:rPr>
        <w:t>At</w:t>
      </w:r>
      <w:r w:rsidRPr="000C51B3">
        <w:rPr>
          <w:rFonts w:ascii="Calibri" w:hAnsi="Calibri" w:cs="Calibri"/>
          <w:szCs w:val="24"/>
        </w:rPr>
        <w:t xml:space="preserve"> our December SG liaison meeting </w:t>
      </w:r>
      <w:r w:rsidR="00471FA7" w:rsidRPr="000C51B3">
        <w:rPr>
          <w:rFonts w:ascii="Calibri" w:hAnsi="Calibri" w:cs="Calibri"/>
          <w:szCs w:val="24"/>
        </w:rPr>
        <w:t xml:space="preserve">we </w:t>
      </w:r>
      <w:r w:rsidRPr="000C51B3">
        <w:rPr>
          <w:rFonts w:ascii="Calibri" w:hAnsi="Calibri" w:cs="Calibri"/>
          <w:szCs w:val="24"/>
        </w:rPr>
        <w:t xml:space="preserve">agreed </w:t>
      </w:r>
      <w:r w:rsidR="00471FA7" w:rsidRPr="000C51B3">
        <w:rPr>
          <w:rFonts w:ascii="Calibri" w:hAnsi="Calibri" w:cs="Calibri"/>
          <w:szCs w:val="24"/>
        </w:rPr>
        <w:t>to</w:t>
      </w:r>
      <w:r w:rsidRPr="000C51B3">
        <w:rPr>
          <w:rFonts w:ascii="Calibri" w:hAnsi="Calibri" w:cs="Calibri"/>
          <w:szCs w:val="24"/>
        </w:rPr>
        <w:t xml:space="preserve"> hand this back but the full £3m is still showing on the </w:t>
      </w:r>
      <w:r w:rsidR="00471FA7" w:rsidRPr="000C51B3">
        <w:rPr>
          <w:rFonts w:ascii="Calibri" w:hAnsi="Calibri" w:cs="Calibri"/>
          <w:szCs w:val="24"/>
        </w:rPr>
        <w:t>Budget Monitoring Report (</w:t>
      </w:r>
      <w:r w:rsidRPr="000C51B3">
        <w:rPr>
          <w:rFonts w:ascii="Calibri" w:hAnsi="Calibri" w:cs="Calibri"/>
          <w:szCs w:val="24"/>
        </w:rPr>
        <w:t xml:space="preserve">BMR </w:t>
      </w:r>
      <w:r w:rsidR="00471FA7" w:rsidRPr="000C51B3">
        <w:rPr>
          <w:rFonts w:ascii="Calibri" w:hAnsi="Calibri" w:cs="Calibri"/>
          <w:szCs w:val="24"/>
        </w:rPr>
        <w:t xml:space="preserve">) </w:t>
      </w:r>
      <w:r w:rsidRPr="000C51B3">
        <w:rPr>
          <w:rFonts w:ascii="Calibri" w:hAnsi="Calibri" w:cs="Calibri"/>
          <w:szCs w:val="24"/>
        </w:rPr>
        <w:t xml:space="preserve">so we are showing an underspend of £1m.  SG </w:t>
      </w:r>
      <w:r w:rsidR="00471FA7" w:rsidRPr="000C51B3">
        <w:rPr>
          <w:rFonts w:ascii="Calibri" w:hAnsi="Calibri" w:cs="Calibri"/>
          <w:szCs w:val="24"/>
        </w:rPr>
        <w:t>is</w:t>
      </w:r>
      <w:r w:rsidRPr="000C51B3">
        <w:rPr>
          <w:rFonts w:ascii="Calibri" w:hAnsi="Calibri" w:cs="Calibri"/>
          <w:szCs w:val="24"/>
        </w:rPr>
        <w:t xml:space="preserve"> aware of this.  </w:t>
      </w:r>
    </w:p>
    <w:p w14:paraId="392FD1D2" w14:textId="77777777" w:rsidR="0097178F" w:rsidRPr="0097178F" w:rsidRDefault="0097178F" w:rsidP="0097178F">
      <w:pPr>
        <w:pStyle w:val="ListParagraph"/>
        <w:spacing w:after="0"/>
        <w:ind w:left="360"/>
        <w:jc w:val="both"/>
        <w:rPr>
          <w:rFonts w:ascii="Calibri" w:eastAsia="Times New Roman" w:hAnsi="Calibri" w:cs="Calibri"/>
          <w:szCs w:val="24"/>
        </w:rPr>
      </w:pPr>
    </w:p>
    <w:p w14:paraId="22AC0C31" w14:textId="64D4222C" w:rsidR="00A779B2" w:rsidRPr="0097178F" w:rsidRDefault="00A779B2" w:rsidP="0097178F">
      <w:pPr>
        <w:pStyle w:val="ListParagraph"/>
        <w:numPr>
          <w:ilvl w:val="0"/>
          <w:numId w:val="4"/>
        </w:numPr>
        <w:spacing w:after="0"/>
        <w:jc w:val="both"/>
        <w:rPr>
          <w:rFonts w:ascii="Calibri" w:eastAsia="Times New Roman" w:hAnsi="Calibri" w:cs="Calibri"/>
          <w:szCs w:val="24"/>
        </w:rPr>
      </w:pPr>
      <w:r w:rsidRPr="0097178F">
        <w:rPr>
          <w:rFonts w:ascii="Calibri" w:hAnsi="Calibri" w:cs="Calibri"/>
          <w:szCs w:val="24"/>
        </w:rPr>
        <w:lastRenderedPageBreak/>
        <w:t xml:space="preserve">On the current programme of capital projects, we are forecasting £1.8m of the previously presumed budget of £1.8m.  This does not include the £0.2m for IFRS16 as it is non-cash.  </w:t>
      </w:r>
    </w:p>
    <w:p w14:paraId="12D2BE47" w14:textId="77777777" w:rsidR="00A479D5" w:rsidRPr="000C51B3" w:rsidRDefault="00A479D5" w:rsidP="00A479D5">
      <w:pPr>
        <w:pStyle w:val="ListParagraph"/>
        <w:spacing w:after="0" w:line="120" w:lineRule="auto"/>
        <w:ind w:left="357"/>
        <w:jc w:val="both"/>
        <w:rPr>
          <w:rFonts w:ascii="Calibri" w:eastAsia="Times New Roman" w:hAnsi="Calibri" w:cs="Calibri"/>
          <w:sz w:val="22"/>
        </w:rPr>
      </w:pPr>
    </w:p>
    <w:p w14:paraId="39DA6344" w14:textId="77777777" w:rsidR="00A479D5" w:rsidRPr="000C51B3" w:rsidRDefault="00A479D5" w:rsidP="000C51B3">
      <w:pPr>
        <w:pStyle w:val="Heading2"/>
        <w:rPr>
          <w:rFonts w:eastAsia="Times New Roman"/>
        </w:rPr>
      </w:pPr>
      <w:r w:rsidRPr="000C51B3">
        <w:rPr>
          <w:rFonts w:eastAsia="Times New Roman"/>
        </w:rPr>
        <w:t xml:space="preserve">Paybill </w:t>
      </w:r>
    </w:p>
    <w:p w14:paraId="31FE098D" w14:textId="43AA7C0B" w:rsidR="00A779B2" w:rsidRPr="000C51B3" w:rsidRDefault="00A779B2">
      <w:pPr>
        <w:pStyle w:val="ListParagraph"/>
        <w:numPr>
          <w:ilvl w:val="0"/>
          <w:numId w:val="4"/>
        </w:numPr>
        <w:ind w:left="357" w:hanging="357"/>
        <w:jc w:val="both"/>
        <w:rPr>
          <w:rFonts w:ascii="Calibri" w:hAnsi="Calibri" w:cs="Calibri"/>
          <w:szCs w:val="24"/>
        </w:rPr>
      </w:pPr>
      <w:r w:rsidRPr="000C51B3">
        <w:rPr>
          <w:rFonts w:ascii="Calibri" w:hAnsi="Calibri" w:cs="Calibri"/>
          <w:szCs w:val="24"/>
        </w:rPr>
        <w:t>The current paybill outturn is £45.9m which is £0.1m below the budget of £46m.  Included within this</w:t>
      </w:r>
      <w:r w:rsidR="00471FA7" w:rsidRPr="000C51B3">
        <w:rPr>
          <w:rFonts w:ascii="Calibri" w:hAnsi="Calibri" w:cs="Calibri"/>
          <w:szCs w:val="24"/>
        </w:rPr>
        <w:t xml:space="preserve"> are</w:t>
      </w:r>
      <w:r w:rsidRPr="000C51B3">
        <w:rPr>
          <w:rFonts w:ascii="Calibri" w:hAnsi="Calibri" w:cs="Calibri"/>
          <w:szCs w:val="24"/>
        </w:rPr>
        <w:t xml:space="preserve"> Directorate savings of £1m</w:t>
      </w:r>
      <w:r w:rsidR="00471FA7" w:rsidRPr="000C51B3">
        <w:rPr>
          <w:rFonts w:ascii="Calibri" w:hAnsi="Calibri" w:cs="Calibri"/>
          <w:szCs w:val="24"/>
        </w:rPr>
        <w:t xml:space="preserve"> against a target of</w:t>
      </w:r>
      <w:r w:rsidRPr="000C51B3">
        <w:rPr>
          <w:rFonts w:ascii="Calibri" w:hAnsi="Calibri" w:cs="Calibri"/>
          <w:szCs w:val="24"/>
        </w:rPr>
        <w:t xml:space="preserve"> £0.9m. </w:t>
      </w:r>
    </w:p>
    <w:p w14:paraId="2D4473CC" w14:textId="77777777" w:rsidR="0097178F" w:rsidRDefault="0097178F" w:rsidP="0097178F">
      <w:pPr>
        <w:pStyle w:val="ListParagraph"/>
        <w:ind w:left="360"/>
        <w:jc w:val="both"/>
        <w:rPr>
          <w:rFonts w:ascii="Calibri" w:hAnsi="Calibri" w:cs="Calibri"/>
          <w:szCs w:val="24"/>
        </w:rPr>
      </w:pPr>
    </w:p>
    <w:p w14:paraId="150DAE75" w14:textId="7A9124FA" w:rsidR="00A779B2" w:rsidRPr="000C51B3" w:rsidRDefault="00A779B2">
      <w:pPr>
        <w:pStyle w:val="ListParagraph"/>
        <w:numPr>
          <w:ilvl w:val="0"/>
          <w:numId w:val="4"/>
        </w:numPr>
        <w:jc w:val="both"/>
        <w:rPr>
          <w:rFonts w:ascii="Calibri" w:hAnsi="Calibri" w:cs="Calibri"/>
          <w:szCs w:val="24"/>
        </w:rPr>
      </w:pPr>
      <w:r w:rsidRPr="000C51B3">
        <w:rPr>
          <w:rFonts w:ascii="Calibri" w:hAnsi="Calibri" w:cs="Calibri"/>
          <w:szCs w:val="24"/>
        </w:rPr>
        <w:t xml:space="preserve">We are still to include the annual leave and flexi accrual to the outturn.  This will be known later this month. </w:t>
      </w:r>
    </w:p>
    <w:p w14:paraId="4981C859" w14:textId="77777777" w:rsidR="0097178F" w:rsidRDefault="0097178F">
      <w:pPr>
        <w:rPr>
          <w:rFonts w:ascii="Calibri" w:eastAsiaTheme="majorEastAsia" w:hAnsi="Calibri" w:cs="Calibri"/>
          <w:b/>
          <w:sz w:val="28"/>
          <w:szCs w:val="28"/>
        </w:rPr>
      </w:pPr>
      <w:r>
        <w:rPr>
          <w:rFonts w:eastAsiaTheme="majorEastAsia"/>
        </w:rPr>
        <w:br w:type="page"/>
      </w:r>
    </w:p>
    <w:p w14:paraId="083163F1" w14:textId="361B1F05" w:rsidR="009849E9" w:rsidRPr="000C51B3" w:rsidRDefault="003110D6" w:rsidP="000C51B3">
      <w:pPr>
        <w:pStyle w:val="Heading1"/>
        <w:rPr>
          <w:rFonts w:eastAsiaTheme="majorEastAsia"/>
        </w:rPr>
      </w:pPr>
      <w:r w:rsidRPr="000C51B3">
        <w:rPr>
          <w:rFonts w:eastAsiaTheme="majorEastAsia"/>
        </w:rPr>
        <w:lastRenderedPageBreak/>
        <w:t>A</w:t>
      </w:r>
      <w:r w:rsidR="00AD2E4D" w:rsidRPr="000C51B3">
        <w:rPr>
          <w:rFonts w:eastAsiaTheme="majorEastAsia"/>
        </w:rPr>
        <w:t>ppendi</w:t>
      </w:r>
      <w:r w:rsidR="00363127" w:rsidRPr="000C51B3">
        <w:rPr>
          <w:rFonts w:eastAsiaTheme="majorEastAsia"/>
        </w:rPr>
        <w:t xml:space="preserve">x </w:t>
      </w:r>
      <w:r w:rsidR="00701DEB" w:rsidRPr="000C51B3">
        <w:rPr>
          <w:rFonts w:eastAsiaTheme="majorEastAsia"/>
        </w:rPr>
        <w:t>3</w:t>
      </w:r>
      <w:r w:rsidR="00363127" w:rsidRPr="000C51B3">
        <w:rPr>
          <w:rFonts w:eastAsiaTheme="majorEastAsia"/>
        </w:rPr>
        <w:t xml:space="preserve"> - </w:t>
      </w:r>
      <w:r w:rsidR="007B5077" w:rsidRPr="000C51B3">
        <w:rPr>
          <w:rFonts w:eastAsiaTheme="majorEastAsia"/>
        </w:rPr>
        <w:t>Risk and Audit</w:t>
      </w:r>
      <w:r w:rsidR="00E81E84" w:rsidRPr="000C51B3">
        <w:rPr>
          <w:rFonts w:eastAsiaTheme="majorEastAsia"/>
        </w:rPr>
        <w:t xml:space="preserve"> Report</w:t>
      </w:r>
    </w:p>
    <w:p w14:paraId="1CEE1817" w14:textId="77777777" w:rsidR="007E46EE" w:rsidRPr="00977B59" w:rsidRDefault="007E46EE" w:rsidP="00977B59">
      <w:pPr>
        <w:pStyle w:val="Heading2"/>
      </w:pPr>
      <w:r w:rsidRPr="00977B59">
        <w:t>Corporate Risk Review Summary</w:t>
      </w:r>
    </w:p>
    <w:p w14:paraId="751EDA88" w14:textId="29AE50BE" w:rsidR="007E46EE" w:rsidRPr="000C51B3" w:rsidRDefault="007E46EE">
      <w:pPr>
        <w:pStyle w:val="ListParagraph"/>
        <w:numPr>
          <w:ilvl w:val="0"/>
          <w:numId w:val="3"/>
        </w:numPr>
        <w:rPr>
          <w:rFonts w:ascii="Calibri" w:eastAsia="Times New Roman" w:hAnsi="Calibri" w:cs="Calibri"/>
          <w:szCs w:val="24"/>
        </w:rPr>
      </w:pPr>
      <w:r w:rsidRPr="000C51B3">
        <w:rPr>
          <w:rFonts w:ascii="Calibri" w:eastAsia="Times New Roman" w:hAnsi="Calibri" w:cs="Calibri"/>
          <w:szCs w:val="24"/>
        </w:rPr>
        <w:t xml:space="preserve">There are 12 live Corporate Risks (7 High, 5 Medium). </w:t>
      </w:r>
    </w:p>
    <w:p w14:paraId="11E62C7A" w14:textId="77777777" w:rsidR="00CB3355" w:rsidRPr="000C51B3" w:rsidRDefault="00CB3355" w:rsidP="00565DD7">
      <w:pPr>
        <w:pStyle w:val="ListParagraph"/>
        <w:spacing w:after="0"/>
        <w:ind w:left="357"/>
        <w:rPr>
          <w:rFonts w:ascii="Calibri" w:eastAsiaTheme="majorEastAsia" w:hAnsi="Calibri" w:cs="Calibri"/>
          <w:b/>
          <w:szCs w:val="26"/>
        </w:rPr>
      </w:pPr>
    </w:p>
    <w:p w14:paraId="3BB28BBE" w14:textId="220E191D" w:rsidR="007E46EE" w:rsidRPr="00977B59" w:rsidRDefault="007E46EE" w:rsidP="00977B59">
      <w:pPr>
        <w:pStyle w:val="Heading2"/>
      </w:pPr>
      <w:r w:rsidRPr="00977B59">
        <w:t xml:space="preserve">Corporate Risk Register Refresh </w:t>
      </w:r>
    </w:p>
    <w:p w14:paraId="4BA7C713" w14:textId="353CB047" w:rsidR="007E46EE" w:rsidRDefault="007E46EE">
      <w:pPr>
        <w:pStyle w:val="ListParagraph"/>
        <w:numPr>
          <w:ilvl w:val="0"/>
          <w:numId w:val="3"/>
        </w:numPr>
        <w:rPr>
          <w:rFonts w:ascii="Calibri" w:eastAsia="Times New Roman" w:hAnsi="Calibri" w:cs="Calibri"/>
          <w:szCs w:val="24"/>
        </w:rPr>
      </w:pPr>
      <w:r w:rsidRPr="000C51B3">
        <w:rPr>
          <w:rFonts w:ascii="Calibri" w:eastAsia="Times New Roman" w:hAnsi="Calibri" w:cs="Calibri"/>
          <w:szCs w:val="24"/>
        </w:rPr>
        <w:t xml:space="preserve">Following ARC and Board horizon scanning workshops, changes have been made to 9 existing </w:t>
      </w:r>
      <w:r w:rsidR="00947D2D" w:rsidRPr="000C51B3">
        <w:rPr>
          <w:rFonts w:ascii="Calibri" w:eastAsia="Times New Roman" w:hAnsi="Calibri" w:cs="Calibri"/>
          <w:szCs w:val="24"/>
        </w:rPr>
        <w:t>risks,</w:t>
      </w:r>
      <w:r w:rsidRPr="000C51B3">
        <w:rPr>
          <w:rFonts w:ascii="Calibri" w:eastAsia="Times New Roman" w:hAnsi="Calibri" w:cs="Calibri"/>
          <w:szCs w:val="24"/>
        </w:rPr>
        <w:t xml:space="preserve"> and 1 new corporate risk has been developed. </w:t>
      </w:r>
      <w:r w:rsidR="00BF3733" w:rsidRPr="000C51B3">
        <w:rPr>
          <w:rFonts w:ascii="Calibri" w:eastAsia="Times New Roman" w:hAnsi="Calibri" w:cs="Calibri"/>
          <w:szCs w:val="24"/>
        </w:rPr>
        <w:t>F</w:t>
      </w:r>
      <w:r w:rsidRPr="000C51B3">
        <w:rPr>
          <w:rFonts w:ascii="Calibri" w:eastAsia="Times New Roman" w:hAnsi="Calibri" w:cs="Calibri"/>
          <w:szCs w:val="24"/>
        </w:rPr>
        <w:t xml:space="preserve">urther changes were made against 645: Biodiversity Loss to reflect our role amongst multiple stakeholders. </w:t>
      </w:r>
    </w:p>
    <w:p w14:paraId="1980BC6A" w14:textId="77777777" w:rsidR="0097178F" w:rsidRPr="000C51B3" w:rsidRDefault="0097178F" w:rsidP="0097178F">
      <w:pPr>
        <w:pStyle w:val="ListParagraph"/>
        <w:ind w:left="357"/>
        <w:rPr>
          <w:rFonts w:ascii="Calibri" w:eastAsia="Times New Roman" w:hAnsi="Calibri" w:cs="Calibri"/>
          <w:szCs w:val="24"/>
        </w:rPr>
      </w:pPr>
    </w:p>
    <w:p w14:paraId="7E8CEF94" w14:textId="45DE94E7" w:rsidR="007E46EE" w:rsidRPr="000C51B3" w:rsidRDefault="007E46EE">
      <w:pPr>
        <w:pStyle w:val="ListParagraph"/>
        <w:numPr>
          <w:ilvl w:val="0"/>
          <w:numId w:val="3"/>
        </w:numPr>
        <w:rPr>
          <w:rFonts w:ascii="Calibri" w:eastAsia="Times New Roman" w:hAnsi="Calibri" w:cs="Calibri"/>
          <w:szCs w:val="24"/>
        </w:rPr>
      </w:pPr>
      <w:r w:rsidRPr="000C51B3">
        <w:rPr>
          <w:rFonts w:ascii="Calibri" w:eastAsia="Times New Roman" w:hAnsi="Calibri" w:cs="Calibri"/>
          <w:szCs w:val="24"/>
        </w:rPr>
        <w:t>2 strategic risk themes remain under development including a new data and evidence risk initially presented to SLT in March 2</w:t>
      </w:r>
      <w:r w:rsidR="007B6CBE" w:rsidRPr="000C51B3">
        <w:rPr>
          <w:rFonts w:ascii="Calibri" w:eastAsia="Times New Roman" w:hAnsi="Calibri" w:cs="Calibri"/>
          <w:szCs w:val="24"/>
        </w:rPr>
        <w:t>02</w:t>
      </w:r>
      <w:r w:rsidRPr="000C51B3">
        <w:rPr>
          <w:rFonts w:ascii="Calibri" w:eastAsia="Times New Roman" w:hAnsi="Calibri" w:cs="Calibri"/>
          <w:szCs w:val="24"/>
        </w:rPr>
        <w:t xml:space="preserve">6. The scope of a further corporate risk to reflect the shift in our regulatory landscape has also been agreed and both will be developed in Q1. </w:t>
      </w:r>
    </w:p>
    <w:p w14:paraId="6235F880" w14:textId="77777777" w:rsidR="00CB3355" w:rsidRPr="000C51B3" w:rsidRDefault="00CB3355" w:rsidP="007E46EE">
      <w:pPr>
        <w:pStyle w:val="ListParagraph"/>
        <w:spacing w:after="0"/>
        <w:ind w:left="357"/>
        <w:rPr>
          <w:rFonts w:ascii="Calibri" w:eastAsiaTheme="majorEastAsia" w:hAnsi="Calibri" w:cs="Calibri"/>
          <w:b/>
          <w:szCs w:val="26"/>
        </w:rPr>
      </w:pPr>
    </w:p>
    <w:p w14:paraId="7FCFEC22" w14:textId="46450DFA" w:rsidR="007E46EE" w:rsidRPr="00977B59" w:rsidRDefault="007E46EE" w:rsidP="00977B59">
      <w:pPr>
        <w:pStyle w:val="Heading2"/>
      </w:pPr>
      <w:r w:rsidRPr="00977B59">
        <w:t xml:space="preserve">Changes to Corporate Risk Register </w:t>
      </w:r>
    </w:p>
    <w:p w14:paraId="66A2DFCB" w14:textId="5803CB5E" w:rsidR="007E46EE" w:rsidRDefault="007E46EE">
      <w:pPr>
        <w:pStyle w:val="ListParagraph"/>
        <w:numPr>
          <w:ilvl w:val="0"/>
          <w:numId w:val="3"/>
        </w:numPr>
        <w:rPr>
          <w:rFonts w:ascii="Calibri" w:eastAsia="Times New Roman" w:hAnsi="Calibri" w:cs="Calibri"/>
          <w:szCs w:val="24"/>
        </w:rPr>
      </w:pPr>
      <w:r w:rsidRPr="000C51B3">
        <w:rPr>
          <w:rFonts w:ascii="Calibri" w:eastAsia="Times New Roman" w:hAnsi="Calibri" w:cs="Calibri"/>
          <w:szCs w:val="24"/>
        </w:rPr>
        <w:t xml:space="preserve">Risk 53: Marine Protected Areas was de-escalated as despite delays impacting nature, this risk primarily focuses on stakeholders and their reaction to date does not indicate a collapse in confidence. </w:t>
      </w:r>
    </w:p>
    <w:p w14:paraId="07DD0EDC" w14:textId="77777777" w:rsidR="0097178F" w:rsidRPr="000C51B3" w:rsidRDefault="0097178F" w:rsidP="0097178F">
      <w:pPr>
        <w:pStyle w:val="ListParagraph"/>
        <w:ind w:left="357"/>
        <w:rPr>
          <w:rFonts w:ascii="Calibri" w:eastAsia="Times New Roman" w:hAnsi="Calibri" w:cs="Calibri"/>
          <w:szCs w:val="24"/>
        </w:rPr>
      </w:pPr>
    </w:p>
    <w:p w14:paraId="670DB432" w14:textId="77777777" w:rsidR="0097178F" w:rsidRDefault="007E46EE" w:rsidP="0097178F">
      <w:pPr>
        <w:pStyle w:val="ListParagraph"/>
        <w:numPr>
          <w:ilvl w:val="0"/>
          <w:numId w:val="3"/>
        </w:numPr>
        <w:rPr>
          <w:rFonts w:ascii="Calibri" w:eastAsia="Times New Roman" w:hAnsi="Calibri" w:cs="Calibri"/>
          <w:szCs w:val="24"/>
        </w:rPr>
      </w:pPr>
      <w:r w:rsidRPr="000C51B3">
        <w:rPr>
          <w:rFonts w:ascii="Calibri" w:eastAsia="Times New Roman" w:hAnsi="Calibri" w:cs="Calibri"/>
          <w:szCs w:val="24"/>
        </w:rPr>
        <w:t xml:space="preserve">A refreshed 2026 to 2030 Net Zero </w:t>
      </w:r>
      <w:r w:rsidR="003110D6" w:rsidRPr="000C51B3">
        <w:rPr>
          <w:rFonts w:ascii="Calibri" w:eastAsia="Times New Roman" w:hAnsi="Calibri" w:cs="Calibri"/>
          <w:szCs w:val="24"/>
        </w:rPr>
        <w:t xml:space="preserve">Plan </w:t>
      </w:r>
      <w:r w:rsidRPr="000C51B3">
        <w:rPr>
          <w:rFonts w:ascii="Calibri" w:eastAsia="Times New Roman" w:hAnsi="Calibri" w:cs="Calibri"/>
          <w:szCs w:val="24"/>
        </w:rPr>
        <w:t>resulted in the escalation of 808: Meeting 2035 ‘Net Zero’ target as the resource requirement to reverse current trends is significant.</w:t>
      </w:r>
    </w:p>
    <w:p w14:paraId="13C6CE24" w14:textId="77777777" w:rsidR="0097178F" w:rsidRPr="0097178F" w:rsidRDefault="0097178F" w:rsidP="0097178F">
      <w:pPr>
        <w:pStyle w:val="ListParagraph"/>
        <w:rPr>
          <w:rFonts w:ascii="Calibri" w:eastAsia="Times New Roman" w:hAnsi="Calibri" w:cs="Calibri"/>
          <w:szCs w:val="24"/>
        </w:rPr>
      </w:pPr>
    </w:p>
    <w:p w14:paraId="14B78444" w14:textId="77777777" w:rsidR="0097178F" w:rsidRDefault="007E46EE" w:rsidP="0097178F">
      <w:pPr>
        <w:pStyle w:val="ListParagraph"/>
        <w:numPr>
          <w:ilvl w:val="0"/>
          <w:numId w:val="3"/>
        </w:numPr>
        <w:rPr>
          <w:rFonts w:ascii="Calibri" w:eastAsia="Times New Roman" w:hAnsi="Calibri" w:cs="Calibri"/>
          <w:szCs w:val="24"/>
        </w:rPr>
      </w:pPr>
      <w:r w:rsidRPr="0097178F">
        <w:rPr>
          <w:rFonts w:ascii="Calibri" w:eastAsia="Times New Roman" w:hAnsi="Calibri" w:cs="Calibri"/>
          <w:szCs w:val="24"/>
        </w:rPr>
        <w:t xml:space="preserve">Significant slippage materialised so the likelihood of not meeting our 253: Peatland restoration target and budget rose from 3 (likely) to 4 (highly likely). Actions were taken to mitigate spend implications </w:t>
      </w:r>
      <w:r w:rsidR="00EE5C66" w:rsidRPr="0097178F">
        <w:rPr>
          <w:rFonts w:ascii="Calibri" w:eastAsia="Times New Roman" w:hAnsi="Calibri" w:cs="Calibri"/>
          <w:szCs w:val="24"/>
        </w:rPr>
        <w:t>so</w:t>
      </w:r>
      <w:r w:rsidRPr="0097178F">
        <w:rPr>
          <w:rFonts w:ascii="Calibri" w:eastAsia="Times New Roman" w:hAnsi="Calibri" w:cs="Calibri"/>
          <w:szCs w:val="24"/>
        </w:rPr>
        <w:t xml:space="preserve"> confidence </w:t>
      </w:r>
      <w:r w:rsidR="00AB40C3" w:rsidRPr="0097178F">
        <w:rPr>
          <w:rFonts w:ascii="Calibri" w:eastAsia="Times New Roman" w:hAnsi="Calibri" w:cs="Calibri"/>
          <w:szCs w:val="24"/>
        </w:rPr>
        <w:t>should</w:t>
      </w:r>
      <w:r w:rsidR="00EE5C66" w:rsidRPr="0097178F">
        <w:rPr>
          <w:rFonts w:ascii="Calibri" w:eastAsia="Times New Roman" w:hAnsi="Calibri" w:cs="Calibri"/>
          <w:szCs w:val="24"/>
        </w:rPr>
        <w:t xml:space="preserve"> increase</w:t>
      </w:r>
      <w:r w:rsidRPr="0097178F">
        <w:rPr>
          <w:rFonts w:ascii="Calibri" w:eastAsia="Times New Roman" w:hAnsi="Calibri" w:cs="Calibri"/>
          <w:szCs w:val="24"/>
        </w:rPr>
        <w:t xml:space="preserve">. </w:t>
      </w:r>
      <w:r w:rsidR="00AB40C3" w:rsidRPr="0097178F">
        <w:rPr>
          <w:rFonts w:ascii="Calibri" w:eastAsia="Times New Roman" w:hAnsi="Calibri" w:cs="Calibri"/>
          <w:szCs w:val="24"/>
        </w:rPr>
        <w:t>T</w:t>
      </w:r>
      <w:r w:rsidRPr="0097178F">
        <w:rPr>
          <w:rFonts w:ascii="Calibri" w:eastAsia="Times New Roman" w:hAnsi="Calibri" w:cs="Calibri"/>
          <w:szCs w:val="24"/>
        </w:rPr>
        <w:t xml:space="preserve">he PA Governance Board will undertake a lessons learnt before strengthening controls. </w:t>
      </w:r>
    </w:p>
    <w:p w14:paraId="5F59F2DA" w14:textId="77777777" w:rsidR="0097178F" w:rsidRPr="0097178F" w:rsidRDefault="0097178F" w:rsidP="0097178F">
      <w:pPr>
        <w:pStyle w:val="ListParagraph"/>
        <w:rPr>
          <w:rFonts w:ascii="Calibri" w:eastAsia="Times New Roman" w:hAnsi="Calibri" w:cs="Calibri"/>
          <w:szCs w:val="24"/>
        </w:rPr>
      </w:pPr>
    </w:p>
    <w:p w14:paraId="736A9D9B" w14:textId="77777777" w:rsidR="0097178F" w:rsidRPr="0097178F" w:rsidRDefault="007E46EE" w:rsidP="0097178F">
      <w:pPr>
        <w:pStyle w:val="ListParagraph"/>
        <w:numPr>
          <w:ilvl w:val="0"/>
          <w:numId w:val="3"/>
        </w:numPr>
        <w:rPr>
          <w:rFonts w:ascii="Calibri" w:eastAsia="Times New Roman" w:hAnsi="Calibri" w:cs="Calibri"/>
          <w:szCs w:val="24"/>
        </w:rPr>
      </w:pPr>
      <w:r w:rsidRPr="0097178F">
        <w:rPr>
          <w:rFonts w:ascii="Calibri" w:eastAsia="Times New Roman" w:hAnsi="Calibri" w:cs="Calibri"/>
          <w:szCs w:val="24"/>
        </w:rPr>
        <w:t xml:space="preserve">Progress developing an evaluation framework for the new Corporate Plan, as well as developing and embedding the Conditions of Success into our Transformation Portfolio saw the score of </w:t>
      </w:r>
      <w:r w:rsidR="00224BE2" w:rsidRPr="0097178F">
        <w:rPr>
          <w:rFonts w:ascii="Calibri" w:eastAsia="Times New Roman" w:hAnsi="Calibri" w:cs="Calibri"/>
          <w:szCs w:val="24"/>
        </w:rPr>
        <w:t xml:space="preserve">Risk </w:t>
      </w:r>
      <w:r w:rsidRPr="0097178F">
        <w:rPr>
          <w:rFonts w:ascii="Calibri" w:eastAsia="Times New Roman" w:hAnsi="Calibri" w:cs="Calibri"/>
          <w:szCs w:val="24"/>
        </w:rPr>
        <w:t xml:space="preserve">85: Organisational Transformation fall from high to </w:t>
      </w:r>
      <w:r w:rsidRPr="0097178F">
        <w:rPr>
          <w:rFonts w:ascii="Calibri" w:eastAsia="Times New Roman" w:hAnsi="Calibri" w:cs="Calibri"/>
          <w:color w:val="000000" w:themeColor="text1"/>
          <w:szCs w:val="24"/>
        </w:rPr>
        <w:t xml:space="preserve">medium. </w:t>
      </w:r>
    </w:p>
    <w:p w14:paraId="5C2D2C22" w14:textId="77777777" w:rsidR="0097178F" w:rsidRPr="0097178F" w:rsidRDefault="0097178F" w:rsidP="0097178F">
      <w:pPr>
        <w:pStyle w:val="ListParagraph"/>
        <w:rPr>
          <w:rFonts w:ascii="Calibri" w:eastAsia="Times New Roman" w:hAnsi="Calibri" w:cs="Calibri"/>
          <w:szCs w:val="24"/>
        </w:rPr>
      </w:pPr>
    </w:p>
    <w:p w14:paraId="4AAFEBEF" w14:textId="6D766E19" w:rsidR="00223C29" w:rsidRPr="0097178F" w:rsidRDefault="00223C29" w:rsidP="0097178F">
      <w:pPr>
        <w:pStyle w:val="ListParagraph"/>
        <w:numPr>
          <w:ilvl w:val="0"/>
          <w:numId w:val="3"/>
        </w:numPr>
        <w:rPr>
          <w:rFonts w:ascii="Calibri" w:eastAsia="Times New Roman" w:hAnsi="Calibri" w:cs="Calibri"/>
          <w:szCs w:val="24"/>
        </w:rPr>
      </w:pPr>
      <w:r w:rsidRPr="0097178F">
        <w:rPr>
          <w:rFonts w:ascii="Calibri" w:eastAsia="Times New Roman" w:hAnsi="Calibri" w:cs="Calibri"/>
          <w:szCs w:val="24"/>
        </w:rPr>
        <w:t>The Risk Heat Map and change log below summarises all significant Q</w:t>
      </w:r>
      <w:r w:rsidR="00BF3733" w:rsidRPr="0097178F">
        <w:rPr>
          <w:rFonts w:ascii="Calibri" w:eastAsia="Times New Roman" w:hAnsi="Calibri" w:cs="Calibri"/>
          <w:szCs w:val="24"/>
        </w:rPr>
        <w:t>4</w:t>
      </w:r>
      <w:r w:rsidRPr="0097178F">
        <w:rPr>
          <w:rFonts w:ascii="Calibri" w:eastAsia="Times New Roman" w:hAnsi="Calibri" w:cs="Calibri"/>
          <w:szCs w:val="24"/>
        </w:rPr>
        <w:t xml:space="preserve"> movements:</w:t>
      </w:r>
    </w:p>
    <w:p w14:paraId="5825FB2F" w14:textId="570852D5" w:rsidR="007F243D" w:rsidRPr="000C51B3" w:rsidRDefault="007F243D">
      <w:pPr>
        <w:rPr>
          <w:rFonts w:ascii="Calibri" w:eastAsia="Times New Roman" w:hAnsi="Calibri" w:cs="Calibri"/>
          <w:b/>
          <w:bCs/>
          <w:szCs w:val="24"/>
        </w:rPr>
      </w:pPr>
      <w:r w:rsidRPr="000C51B3">
        <w:rPr>
          <w:rFonts w:ascii="Calibri" w:eastAsia="Times New Roman" w:hAnsi="Calibri" w:cs="Calibri"/>
          <w:b/>
          <w:bCs/>
          <w:szCs w:val="24"/>
        </w:rPr>
        <w:br w:type="page"/>
      </w:r>
    </w:p>
    <w:p w14:paraId="75290724" w14:textId="7A201CF5" w:rsidR="00A2483C" w:rsidRPr="00977B59" w:rsidRDefault="00552A70" w:rsidP="00977B59">
      <w:pPr>
        <w:pStyle w:val="Heading2"/>
      </w:pPr>
      <w:r w:rsidRPr="00977B59">
        <w:lastRenderedPageBreak/>
        <w:t>Risk Heat Map</w:t>
      </w:r>
    </w:p>
    <w:p w14:paraId="13D10030" w14:textId="77777777" w:rsidR="00552A70" w:rsidRPr="000C51B3" w:rsidRDefault="00552A70" w:rsidP="00223C29">
      <w:pPr>
        <w:spacing w:after="0"/>
        <w:rPr>
          <w:rFonts w:ascii="Calibri" w:eastAsia="Times New Roman" w:hAnsi="Calibri" w:cs="Calibri"/>
          <w:b/>
          <w:bCs/>
          <w:szCs w:val="24"/>
        </w:rPr>
      </w:pPr>
    </w:p>
    <w:p w14:paraId="0BBEDA65" w14:textId="77777777" w:rsidR="00EF6912" w:rsidRPr="000C51B3" w:rsidRDefault="00EF6912" w:rsidP="00EF6912">
      <w:pPr>
        <w:rPr>
          <w:rFonts w:ascii="Calibri" w:hAnsi="Calibri" w:cs="Calibri"/>
        </w:rPr>
      </w:pPr>
      <w:r w:rsidRPr="000C51B3">
        <w:rPr>
          <w:rFonts w:ascii="Calibri" w:hAnsi="Calibri" w:cs="Calibri"/>
          <w:noProof/>
        </w:rPr>
        <w:drawing>
          <wp:inline distT="0" distB="0" distL="0" distR="0" wp14:anchorId="33CD09BE" wp14:editId="5BFB8893">
            <wp:extent cx="5703683" cy="5421246"/>
            <wp:effectExtent l="0" t="0" r="0" b="8255"/>
            <wp:docPr id="974030149" name="Picture 1" descr="A table plotting corporate risks on an x axis measuring impact and a y axis measuring likelih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30149" name="Picture 1" descr="A table plotting corporate risks on an x axis measuring impact and a y axis measuring likelihood."/>
                    <pic:cNvPicPr/>
                  </pic:nvPicPr>
                  <pic:blipFill>
                    <a:blip r:embed="rId20"/>
                    <a:stretch>
                      <a:fillRect/>
                    </a:stretch>
                  </pic:blipFill>
                  <pic:spPr>
                    <a:xfrm>
                      <a:off x="0" y="0"/>
                      <a:ext cx="5712797" cy="5429908"/>
                    </a:xfrm>
                    <a:prstGeom prst="rect">
                      <a:avLst/>
                    </a:prstGeom>
                  </pic:spPr>
                </pic:pic>
              </a:graphicData>
            </a:graphic>
          </wp:inline>
        </w:drawing>
      </w:r>
    </w:p>
    <w:p w14:paraId="69D3A427" w14:textId="77777777" w:rsidR="004D15B1" w:rsidRPr="000C51B3" w:rsidRDefault="004D15B1" w:rsidP="00223C29">
      <w:pPr>
        <w:spacing w:after="0"/>
        <w:rPr>
          <w:rFonts w:ascii="Calibri" w:eastAsia="Times New Roman" w:hAnsi="Calibri" w:cs="Calibri"/>
          <w:b/>
          <w:bCs/>
          <w:szCs w:val="24"/>
        </w:rPr>
      </w:pPr>
    </w:p>
    <w:tbl>
      <w:tblPr>
        <w:tblW w:w="893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931"/>
      </w:tblGrid>
      <w:tr w:rsidR="00BE0C0A" w:rsidRPr="000C51B3" w14:paraId="038B0D62" w14:textId="77777777" w:rsidTr="009A2081">
        <w:trPr>
          <w:cantSplit/>
          <w:trHeight w:val="271"/>
          <w:tblHeader/>
        </w:trPr>
        <w:tc>
          <w:tcPr>
            <w:tcW w:w="8931" w:type="dxa"/>
            <w:shd w:val="clear" w:color="auto" w:fill="E1EBF7" w:themeFill="text2" w:themeFillTint="1A"/>
            <w:vAlign w:val="center"/>
          </w:tcPr>
          <w:p w14:paraId="197DA0B5" w14:textId="77777777" w:rsidR="00BE0C0A" w:rsidRPr="000C51B3" w:rsidRDefault="00BE0C0A" w:rsidP="009A2081">
            <w:pPr>
              <w:spacing w:after="0"/>
              <w:rPr>
                <w:rFonts w:ascii="Calibri" w:hAnsi="Calibri" w:cs="Calibri"/>
                <w:b/>
                <w:bCs/>
                <w:color w:val="1F497D" w:themeColor="text2"/>
                <w:szCs w:val="24"/>
                <w:highlight w:val="yellow"/>
              </w:rPr>
            </w:pPr>
            <w:r w:rsidRPr="000C51B3">
              <w:rPr>
                <w:rFonts w:ascii="Calibri" w:hAnsi="Calibri" w:cs="Calibri"/>
                <w:b/>
                <w:bCs/>
                <w:szCs w:val="24"/>
              </w:rPr>
              <w:t>25/26 Q4 Corporate Risk Register Change Log</w:t>
            </w:r>
          </w:p>
        </w:tc>
      </w:tr>
      <w:tr w:rsidR="00BE0C0A" w:rsidRPr="000C51B3" w14:paraId="51610DE3" w14:textId="77777777" w:rsidTr="009A2081">
        <w:trPr>
          <w:trHeight w:val="2159"/>
        </w:trPr>
        <w:tc>
          <w:tcPr>
            <w:tcW w:w="8931" w:type="dxa"/>
          </w:tcPr>
          <w:p w14:paraId="088D22F9" w14:textId="77777777" w:rsidR="00BE0C0A" w:rsidRPr="000C51B3" w:rsidRDefault="00BE0C0A" w:rsidP="009A2081">
            <w:pPr>
              <w:spacing w:after="0"/>
              <w:rPr>
                <w:rFonts w:ascii="Calibri" w:hAnsi="Calibri" w:cs="Calibri"/>
                <w:b/>
                <w:bCs/>
                <w:szCs w:val="24"/>
                <w:u w:val="single"/>
              </w:rPr>
            </w:pPr>
            <w:r w:rsidRPr="000C51B3">
              <w:rPr>
                <w:rFonts w:ascii="Calibri" w:hAnsi="Calibri" w:cs="Calibri"/>
                <w:b/>
                <w:bCs/>
                <w:szCs w:val="24"/>
                <w:u w:val="single"/>
              </w:rPr>
              <w:t>Change to Risk Register</w:t>
            </w:r>
            <w:r w:rsidRPr="000C51B3">
              <w:rPr>
                <w:rFonts w:ascii="Calibri" w:hAnsi="Calibri" w:cs="Calibri"/>
                <w:b/>
                <w:bCs/>
                <w:szCs w:val="24"/>
              </w:rPr>
              <w:t xml:space="preserve"> </w:t>
            </w:r>
          </w:p>
          <w:p w14:paraId="2983710B" w14:textId="77777777" w:rsidR="00BE0C0A" w:rsidRPr="000C51B3" w:rsidRDefault="00BE0C0A" w:rsidP="009A2081">
            <w:pPr>
              <w:spacing w:after="0"/>
              <w:rPr>
                <w:rFonts w:ascii="Calibri" w:hAnsi="Calibri" w:cs="Calibri"/>
                <w:b/>
                <w:color w:val="FF0000"/>
                <w:szCs w:val="24"/>
              </w:rPr>
            </w:pPr>
            <w:r w:rsidRPr="000C51B3">
              <w:rPr>
                <w:rFonts w:ascii="Calibri" w:hAnsi="Calibri" w:cs="Calibri"/>
                <w:b/>
                <w:bCs/>
                <w:szCs w:val="24"/>
              </w:rPr>
              <w:t>↑</w:t>
            </w:r>
            <w:r w:rsidRPr="000C51B3">
              <w:rPr>
                <w:rFonts w:ascii="Calibri" w:hAnsi="Calibri" w:cs="Calibri"/>
                <w:szCs w:val="24"/>
              </w:rPr>
              <w:t xml:space="preserve"> </w:t>
            </w:r>
            <w:r w:rsidRPr="000C51B3">
              <w:rPr>
                <w:rFonts w:ascii="Calibri" w:hAnsi="Calibri" w:cs="Calibri"/>
                <w:b/>
                <w:color w:val="FF0000"/>
                <w:szCs w:val="24"/>
              </w:rPr>
              <w:t xml:space="preserve">  </w:t>
            </w:r>
            <w:r w:rsidRPr="000C51B3">
              <w:rPr>
                <w:rFonts w:ascii="Calibri" w:hAnsi="Calibri" w:cs="Calibri"/>
                <w:b/>
                <w:szCs w:val="24"/>
              </w:rPr>
              <w:t xml:space="preserve">1 NEW </w:t>
            </w:r>
            <w:r w:rsidRPr="000C51B3">
              <w:rPr>
                <w:rFonts w:ascii="Calibri" w:hAnsi="Calibri" w:cs="Calibri"/>
                <w:b/>
                <w:bCs/>
                <w:szCs w:val="24"/>
              </w:rPr>
              <w:t>Corporate Risk Escalated</w:t>
            </w:r>
          </w:p>
          <w:p w14:paraId="32946A85" w14:textId="77777777" w:rsidR="00BE0C0A" w:rsidRPr="000C51B3" w:rsidRDefault="00BE0C0A" w:rsidP="009A2081">
            <w:pPr>
              <w:spacing w:after="0"/>
              <w:rPr>
                <w:rFonts w:ascii="Calibri" w:hAnsi="Calibri" w:cs="Calibri"/>
                <w:szCs w:val="24"/>
              </w:rPr>
            </w:pPr>
            <w:r w:rsidRPr="000C51B3">
              <w:rPr>
                <w:rFonts w:ascii="Calibri" w:hAnsi="Calibri" w:cs="Calibri"/>
                <w:szCs w:val="24"/>
              </w:rPr>
              <w:t xml:space="preserve">       808: Meeting 2035 ‘Net Zero’ target</w:t>
            </w:r>
          </w:p>
          <w:p w14:paraId="02C73AA6" w14:textId="77777777" w:rsidR="00BE0C0A" w:rsidRPr="000C51B3" w:rsidRDefault="00BE0C0A" w:rsidP="009A2081">
            <w:pPr>
              <w:spacing w:after="0"/>
              <w:rPr>
                <w:rFonts w:ascii="Calibri" w:hAnsi="Calibri" w:cs="Calibri"/>
                <w:b/>
                <w:bCs/>
                <w:szCs w:val="24"/>
              </w:rPr>
            </w:pPr>
            <w:r w:rsidRPr="000C51B3">
              <w:rPr>
                <w:rFonts w:ascii="Calibri" w:hAnsi="Calibri" w:cs="Calibri"/>
                <w:b/>
                <w:bCs/>
                <w:szCs w:val="24"/>
              </w:rPr>
              <w:t xml:space="preserve">       1 Risk De-Escalated </w:t>
            </w:r>
          </w:p>
          <w:p w14:paraId="3021ACFA" w14:textId="77777777" w:rsidR="00BE0C0A" w:rsidRPr="000C51B3" w:rsidRDefault="00BE0C0A" w:rsidP="009A2081">
            <w:pPr>
              <w:spacing w:after="0"/>
              <w:rPr>
                <w:rFonts w:ascii="Calibri" w:hAnsi="Calibri" w:cs="Calibri"/>
                <w:b/>
                <w:bCs/>
                <w:szCs w:val="24"/>
              </w:rPr>
            </w:pPr>
            <w:r w:rsidRPr="000C51B3">
              <w:rPr>
                <w:rFonts w:ascii="Calibri" w:hAnsi="Calibri" w:cs="Calibri"/>
                <w:szCs w:val="24"/>
              </w:rPr>
              <w:t xml:space="preserve">       53: Marine Protected Areas</w:t>
            </w:r>
          </w:p>
          <w:p w14:paraId="16F5AEEB" w14:textId="77777777" w:rsidR="00BE0C0A" w:rsidRPr="000C51B3" w:rsidRDefault="00BE0C0A" w:rsidP="009A2081">
            <w:pPr>
              <w:spacing w:after="0"/>
              <w:rPr>
                <w:rFonts w:ascii="Calibri" w:hAnsi="Calibri" w:cs="Calibri"/>
                <w:b/>
                <w:bCs/>
                <w:szCs w:val="24"/>
              </w:rPr>
            </w:pPr>
            <w:r w:rsidRPr="000C51B3">
              <w:rPr>
                <w:rFonts w:ascii="Calibri" w:hAnsi="Calibri" w:cs="Calibri"/>
                <w:b/>
                <w:bCs/>
                <w:szCs w:val="24"/>
              </w:rPr>
              <w:t>↑</w:t>
            </w:r>
            <w:r w:rsidRPr="000C51B3">
              <w:rPr>
                <w:rFonts w:ascii="Calibri" w:hAnsi="Calibri" w:cs="Calibri"/>
                <w:szCs w:val="24"/>
              </w:rPr>
              <w:t xml:space="preserve">   </w:t>
            </w:r>
            <w:r w:rsidRPr="000C51B3">
              <w:rPr>
                <w:rFonts w:ascii="Calibri" w:hAnsi="Calibri" w:cs="Calibri"/>
                <w:b/>
                <w:bCs/>
                <w:szCs w:val="24"/>
              </w:rPr>
              <w:t>1</w:t>
            </w:r>
            <w:r w:rsidRPr="000C51B3">
              <w:rPr>
                <w:rFonts w:ascii="Calibri" w:hAnsi="Calibri" w:cs="Calibri"/>
                <w:b/>
                <w:szCs w:val="24"/>
              </w:rPr>
              <w:t xml:space="preserve"> </w:t>
            </w:r>
            <w:r w:rsidRPr="000C51B3">
              <w:rPr>
                <w:rFonts w:ascii="Calibri" w:hAnsi="Calibri" w:cs="Calibri"/>
                <w:b/>
                <w:bCs/>
                <w:szCs w:val="24"/>
              </w:rPr>
              <w:t>Risk Score Increased</w:t>
            </w:r>
          </w:p>
          <w:p w14:paraId="6A442B69" w14:textId="77777777" w:rsidR="00BE0C0A" w:rsidRPr="000C51B3" w:rsidRDefault="00BE0C0A" w:rsidP="009A2081">
            <w:pPr>
              <w:spacing w:after="0"/>
              <w:rPr>
                <w:rFonts w:ascii="Calibri" w:hAnsi="Calibri" w:cs="Calibri"/>
                <w:szCs w:val="24"/>
              </w:rPr>
            </w:pPr>
            <w:r w:rsidRPr="000C51B3">
              <w:rPr>
                <w:rFonts w:ascii="Calibri" w:hAnsi="Calibri" w:cs="Calibri"/>
                <w:b/>
                <w:bCs/>
                <w:szCs w:val="24"/>
              </w:rPr>
              <w:t xml:space="preserve">       </w:t>
            </w:r>
            <w:r w:rsidRPr="000C51B3">
              <w:rPr>
                <w:rFonts w:ascii="Calibri" w:hAnsi="Calibri" w:cs="Calibri"/>
                <w:szCs w:val="24"/>
              </w:rPr>
              <w:t>253: Peatland restoration target and budget (remains High)</w:t>
            </w:r>
          </w:p>
          <w:p w14:paraId="54424445" w14:textId="77777777" w:rsidR="00BE0C0A" w:rsidRPr="000C51B3" w:rsidRDefault="00BE0C0A" w:rsidP="009A2081">
            <w:pPr>
              <w:spacing w:after="0"/>
              <w:rPr>
                <w:rFonts w:ascii="Calibri" w:hAnsi="Calibri" w:cs="Calibri"/>
                <w:b/>
                <w:bCs/>
                <w:szCs w:val="24"/>
              </w:rPr>
            </w:pPr>
            <w:r w:rsidRPr="000C51B3">
              <w:rPr>
                <w:rFonts w:ascii="Calibri" w:hAnsi="Calibri" w:cs="Calibri"/>
                <w:szCs w:val="24"/>
              </w:rPr>
              <w:t xml:space="preserve">       </w:t>
            </w:r>
            <w:r w:rsidRPr="000C51B3">
              <w:rPr>
                <w:rFonts w:ascii="Calibri" w:hAnsi="Calibri" w:cs="Calibri"/>
                <w:b/>
                <w:bCs/>
                <w:szCs w:val="24"/>
              </w:rPr>
              <w:t xml:space="preserve">2 Risk Scores Decreased </w:t>
            </w:r>
          </w:p>
          <w:p w14:paraId="0D41DED7" w14:textId="77777777" w:rsidR="00BE0C0A" w:rsidRPr="000C51B3" w:rsidRDefault="00BE0C0A" w:rsidP="009A2081">
            <w:pPr>
              <w:spacing w:after="0"/>
              <w:rPr>
                <w:rFonts w:ascii="Calibri" w:hAnsi="Calibri" w:cs="Calibri"/>
                <w:szCs w:val="24"/>
              </w:rPr>
            </w:pPr>
            <w:r w:rsidRPr="000C51B3">
              <w:rPr>
                <w:rFonts w:ascii="Calibri" w:hAnsi="Calibri" w:cs="Calibri"/>
                <w:szCs w:val="24"/>
              </w:rPr>
              <w:t xml:space="preserve">       85: Organisational Transformation (From High to Medium)</w:t>
            </w:r>
          </w:p>
          <w:p w14:paraId="330E946E" w14:textId="77777777" w:rsidR="00BE0C0A" w:rsidRPr="000C51B3" w:rsidRDefault="00BE0C0A" w:rsidP="009A2081">
            <w:pPr>
              <w:spacing w:after="0"/>
              <w:rPr>
                <w:rFonts w:ascii="Calibri" w:hAnsi="Calibri" w:cs="Calibri"/>
                <w:szCs w:val="24"/>
              </w:rPr>
            </w:pPr>
            <w:r w:rsidRPr="000C51B3">
              <w:rPr>
                <w:rFonts w:ascii="Calibri" w:hAnsi="Calibri" w:cs="Calibri"/>
                <w:b/>
                <w:bCs/>
                <w:szCs w:val="24"/>
              </w:rPr>
              <w:t xml:space="preserve">       </w:t>
            </w:r>
            <w:r w:rsidRPr="000C51B3">
              <w:rPr>
                <w:rFonts w:ascii="Calibri" w:hAnsi="Calibri" w:cs="Calibri"/>
                <w:szCs w:val="24"/>
              </w:rPr>
              <w:t>393: Future Funding and Financial Sustainability (From Very High to High)</w:t>
            </w:r>
          </w:p>
        </w:tc>
      </w:tr>
    </w:tbl>
    <w:p w14:paraId="4ECAB991" w14:textId="77777777" w:rsidR="009849E9" w:rsidRPr="000C51B3" w:rsidRDefault="009849E9" w:rsidP="008D20BE">
      <w:pPr>
        <w:keepNext/>
        <w:keepLines/>
        <w:spacing w:before="40" w:after="0" w:line="259" w:lineRule="auto"/>
        <w:outlineLvl w:val="1"/>
        <w:rPr>
          <w:rFonts w:ascii="Calibri" w:eastAsiaTheme="majorEastAsia" w:hAnsi="Calibri" w:cs="Calibri"/>
          <w:b/>
          <w:color w:val="007DC3"/>
          <w:sz w:val="28"/>
          <w:szCs w:val="28"/>
        </w:rPr>
        <w:sectPr w:rsidR="009849E9" w:rsidRPr="000C51B3" w:rsidSect="00947D2D">
          <w:pgSz w:w="11906" w:h="16838" w:code="9"/>
          <w:pgMar w:top="1440" w:right="1440" w:bottom="1440" w:left="1440" w:header="567" w:footer="709" w:gutter="0"/>
          <w:cols w:space="708"/>
          <w:docGrid w:linePitch="360"/>
        </w:sectPr>
      </w:pPr>
    </w:p>
    <w:p w14:paraId="751C7DEE" w14:textId="6BF5764B" w:rsidR="002B6BB7" w:rsidRPr="000C51B3" w:rsidRDefault="00363127" w:rsidP="000C51B3">
      <w:pPr>
        <w:pStyle w:val="Heading1"/>
        <w:rPr>
          <w:rFonts w:eastAsiaTheme="majorEastAsia"/>
        </w:rPr>
      </w:pPr>
      <w:r w:rsidRPr="000C51B3">
        <w:rPr>
          <w:rFonts w:eastAsiaTheme="majorEastAsia"/>
        </w:rPr>
        <w:lastRenderedPageBreak/>
        <w:t>A</w:t>
      </w:r>
      <w:r w:rsidR="00AD2E4D" w:rsidRPr="000C51B3">
        <w:rPr>
          <w:rFonts w:eastAsiaTheme="majorEastAsia"/>
        </w:rPr>
        <w:t>ppendi</w:t>
      </w:r>
      <w:r w:rsidRPr="000C51B3">
        <w:rPr>
          <w:rFonts w:eastAsiaTheme="majorEastAsia"/>
        </w:rPr>
        <w:t xml:space="preserve">x </w:t>
      </w:r>
      <w:r w:rsidR="00701DEB" w:rsidRPr="000C51B3">
        <w:rPr>
          <w:rFonts w:eastAsiaTheme="majorEastAsia"/>
        </w:rPr>
        <w:t>4</w:t>
      </w:r>
      <w:r w:rsidRPr="000C51B3">
        <w:rPr>
          <w:rFonts w:eastAsiaTheme="majorEastAsia"/>
        </w:rPr>
        <w:t xml:space="preserve"> - </w:t>
      </w:r>
      <w:r w:rsidR="007B5077" w:rsidRPr="000C51B3">
        <w:rPr>
          <w:rFonts w:eastAsiaTheme="majorEastAsia"/>
        </w:rPr>
        <w:t>Detailed Performance Report</w:t>
      </w:r>
    </w:p>
    <w:tbl>
      <w:tblPr>
        <w:tblStyle w:val="PlainTable1"/>
        <w:tblW w:w="5000" w:type="pct"/>
        <w:tblLook w:val="04A0" w:firstRow="1" w:lastRow="0" w:firstColumn="1" w:lastColumn="0" w:noHBand="0" w:noVBand="1"/>
        <w:tblCaption w:val="90 Day plan for NatureScot Priorities"/>
        <w:tblDescription w:val="List of what we plan to achieve over the next 90 days against each of the NatureScot priorities "/>
      </w:tblPr>
      <w:tblGrid>
        <w:gridCol w:w="5825"/>
        <w:gridCol w:w="8123"/>
      </w:tblGrid>
      <w:tr w:rsidR="00B574D9" w:rsidRPr="000C51B3" w14:paraId="646AB6A0" w14:textId="77777777" w:rsidTr="00E3754C">
        <w:trPr>
          <w:cnfStyle w:val="100000000000" w:firstRow="1" w:lastRow="0" w:firstColumn="0" w:lastColumn="0" w:oddVBand="0" w:evenVBand="0" w:oddHBand="0" w:evenHBand="0" w:firstRowFirstColumn="0" w:firstRowLastColumn="0" w:lastRowFirstColumn="0" w:lastRowLastColumn="0"/>
          <w:cantSplit/>
          <w:trHeight w:val="416"/>
          <w:tblHeader/>
        </w:trPr>
        <w:tc>
          <w:tcPr>
            <w:cnfStyle w:val="001000000000" w:firstRow="0" w:lastRow="0" w:firstColumn="1" w:lastColumn="0" w:oddVBand="0" w:evenVBand="0" w:oddHBand="0" w:evenHBand="0" w:firstRowFirstColumn="0" w:firstRowLastColumn="0" w:lastRowFirstColumn="0" w:lastRowLastColumn="0"/>
            <w:tcW w:w="2088" w:type="pct"/>
            <w:shd w:val="clear" w:color="auto" w:fill="DBE5F1" w:themeFill="accent1" w:themeFillTint="33"/>
          </w:tcPr>
          <w:p w14:paraId="1567FD0A" w14:textId="77777777" w:rsidR="00B574D9" w:rsidRPr="000C51B3" w:rsidRDefault="00B574D9" w:rsidP="009A2081">
            <w:pPr>
              <w:rPr>
                <w:rFonts w:ascii="Calibri" w:hAnsi="Calibri" w:cs="Calibri"/>
                <w:bCs w:val="0"/>
                <w:szCs w:val="24"/>
              </w:rPr>
            </w:pPr>
            <w:r w:rsidRPr="000C51B3">
              <w:rPr>
                <w:rFonts w:ascii="Calibri" w:hAnsi="Calibri" w:cs="Calibri"/>
                <w:szCs w:val="24"/>
              </w:rPr>
              <w:t xml:space="preserve">Q4 BP Focus </w:t>
            </w:r>
          </w:p>
        </w:tc>
        <w:tc>
          <w:tcPr>
            <w:tcW w:w="2912" w:type="pct"/>
            <w:shd w:val="clear" w:color="auto" w:fill="DBE5F1" w:themeFill="accent1" w:themeFillTint="33"/>
          </w:tcPr>
          <w:p w14:paraId="51632AB8" w14:textId="77777777" w:rsidR="00B574D9" w:rsidRPr="000C51B3" w:rsidRDefault="00B574D9" w:rsidP="009A2081">
            <w:pPr>
              <w:cnfStyle w:val="100000000000" w:firstRow="1" w:lastRow="0" w:firstColumn="0" w:lastColumn="0" w:oddVBand="0" w:evenVBand="0" w:oddHBand="0" w:evenHBand="0" w:firstRowFirstColumn="0" w:firstRowLastColumn="0" w:lastRowFirstColumn="0" w:lastRowLastColumn="0"/>
              <w:rPr>
                <w:rFonts w:ascii="Calibri" w:hAnsi="Calibri" w:cs="Calibri"/>
                <w:bCs w:val="0"/>
                <w:szCs w:val="24"/>
              </w:rPr>
            </w:pPr>
            <w:r w:rsidRPr="000C51B3">
              <w:rPr>
                <w:rFonts w:ascii="Calibri" w:hAnsi="Calibri" w:cs="Calibri"/>
                <w:bCs w:val="0"/>
                <w:szCs w:val="24"/>
              </w:rPr>
              <w:t>Q4 BP deliverable</w:t>
            </w:r>
          </w:p>
        </w:tc>
      </w:tr>
      <w:tr w:rsidR="00B574D9" w:rsidRPr="000C51B3" w14:paraId="5947BFAF" w14:textId="77777777" w:rsidTr="00E3754C">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C000"/>
          </w:tcPr>
          <w:p w14:paraId="6CECF389" w14:textId="77777777" w:rsidR="00B574D9" w:rsidRPr="000C51B3" w:rsidRDefault="00B574D9" w:rsidP="009A2081">
            <w:pPr>
              <w:rPr>
                <w:rFonts w:ascii="Calibri" w:hAnsi="Calibri" w:cs="Calibri"/>
                <w:szCs w:val="24"/>
              </w:rPr>
            </w:pPr>
            <w:r w:rsidRPr="000C51B3">
              <w:rPr>
                <w:rFonts w:ascii="Calibri" w:hAnsi="Calibri" w:cs="Calibri"/>
                <w:szCs w:val="24"/>
              </w:rPr>
              <w:t xml:space="preserve"> Lead the delivery of 30% of land and sea being protected by 2030 </w:t>
            </w:r>
          </w:p>
        </w:tc>
      </w:tr>
      <w:tr w:rsidR="00B574D9" w:rsidRPr="000C51B3" w14:paraId="40D223DA" w14:textId="77777777" w:rsidTr="00E3754C">
        <w:trPr>
          <w:trHeight w:val="567"/>
        </w:trPr>
        <w:tc>
          <w:tcPr>
            <w:cnfStyle w:val="001000000000" w:firstRow="0" w:lastRow="0" w:firstColumn="1" w:lastColumn="0" w:oddVBand="0" w:evenVBand="0" w:oddHBand="0" w:evenHBand="0" w:firstRowFirstColumn="0" w:firstRowLastColumn="0" w:lastRowFirstColumn="0" w:lastRowLastColumn="0"/>
            <w:tcW w:w="2088" w:type="pct"/>
          </w:tcPr>
          <w:p w14:paraId="5BB1618D" w14:textId="14434AA6" w:rsidR="00B574D9" w:rsidRPr="000C51B3" w:rsidRDefault="00B574D9" w:rsidP="009A2081">
            <w:pPr>
              <w:ind w:left="459" w:hanging="459"/>
              <w:rPr>
                <w:rFonts w:ascii="Calibri" w:hAnsi="Calibri" w:cs="Calibri"/>
                <w:b w:val="0"/>
                <w:bCs w:val="0"/>
                <w:szCs w:val="24"/>
              </w:rPr>
            </w:pPr>
            <w:r w:rsidRPr="000C51B3">
              <w:rPr>
                <w:rFonts w:ascii="Calibri" w:hAnsi="Calibri" w:cs="Calibri"/>
                <w:b w:val="0"/>
                <w:bCs w:val="0"/>
                <w:szCs w:val="24"/>
              </w:rPr>
              <w:t>2.1   Publish and action the SPA review implementation plan. Design New Freshwater Pearl Mussel SACs.</w:t>
            </w:r>
          </w:p>
          <w:p w14:paraId="5BEB9F5B" w14:textId="77777777" w:rsidR="00707711" w:rsidRPr="000C51B3" w:rsidRDefault="00707711" w:rsidP="009A2081">
            <w:pPr>
              <w:ind w:left="459" w:hanging="459"/>
              <w:rPr>
                <w:rFonts w:ascii="Calibri" w:hAnsi="Calibri" w:cs="Calibri"/>
                <w:szCs w:val="24"/>
              </w:rPr>
            </w:pPr>
          </w:p>
          <w:p w14:paraId="3EF84EFD" w14:textId="74938F41" w:rsidR="00B574D9" w:rsidRPr="000C51B3" w:rsidRDefault="00B574D9" w:rsidP="009A2081">
            <w:pPr>
              <w:ind w:left="459" w:hanging="459"/>
              <w:rPr>
                <w:rFonts w:ascii="Calibri" w:hAnsi="Calibri" w:cs="Calibri"/>
                <w:b w:val="0"/>
                <w:bCs w:val="0"/>
                <w:szCs w:val="24"/>
              </w:rPr>
            </w:pPr>
            <w:r w:rsidRPr="000C51B3">
              <w:rPr>
                <w:rFonts w:ascii="Calibri" w:hAnsi="Calibri" w:cs="Calibri"/>
                <w:b w:val="0"/>
                <w:bCs w:val="0"/>
                <w:szCs w:val="24"/>
              </w:rPr>
              <w:t>2.2   Publish the UK Habitats Regulations report.</w:t>
            </w:r>
          </w:p>
          <w:p w14:paraId="7C36F3FA" w14:textId="7672BC95" w:rsidR="00B574D9" w:rsidRPr="000C51B3" w:rsidRDefault="00B574D9" w:rsidP="009A2081">
            <w:pPr>
              <w:ind w:left="459" w:hanging="459"/>
              <w:rPr>
                <w:rFonts w:ascii="Calibri" w:hAnsi="Calibri" w:cs="Calibri"/>
                <w:b w:val="0"/>
                <w:bCs w:val="0"/>
                <w:szCs w:val="24"/>
              </w:rPr>
            </w:pPr>
            <w:r w:rsidRPr="000C51B3">
              <w:rPr>
                <w:rFonts w:ascii="Calibri" w:hAnsi="Calibri" w:cs="Calibri"/>
                <w:b w:val="0"/>
                <w:bCs w:val="0"/>
                <w:szCs w:val="24"/>
              </w:rPr>
              <w:t>2.3   Finalise and commence implementation plan for Delivering Healthy Ecosystems. Support implementation of improvements to managing the Scottish MPA network.</w:t>
            </w:r>
          </w:p>
          <w:p w14:paraId="633AB1F5" w14:textId="77777777" w:rsidR="00B574D9" w:rsidRPr="000C51B3" w:rsidRDefault="00B574D9" w:rsidP="009A2081">
            <w:pPr>
              <w:ind w:left="459" w:hanging="459"/>
              <w:rPr>
                <w:rFonts w:ascii="Calibri" w:hAnsi="Calibri" w:cs="Calibri"/>
                <w:szCs w:val="24"/>
              </w:rPr>
            </w:pPr>
            <w:r w:rsidRPr="000C51B3">
              <w:rPr>
                <w:rFonts w:ascii="Calibri" w:hAnsi="Calibri" w:cs="Calibri"/>
                <w:b w:val="0"/>
                <w:bCs w:val="0"/>
                <w:szCs w:val="24"/>
              </w:rPr>
              <w:t>2.4   Provide support to Scottish Government on next steps as required.</w:t>
            </w:r>
          </w:p>
          <w:p w14:paraId="5DC9F2D2" w14:textId="77777777" w:rsidR="00B574D9" w:rsidRPr="000C51B3" w:rsidRDefault="00B574D9" w:rsidP="009A2081">
            <w:pPr>
              <w:ind w:left="459" w:hanging="459"/>
              <w:rPr>
                <w:rFonts w:ascii="Calibri" w:hAnsi="Calibri" w:cs="Calibri"/>
                <w:b w:val="0"/>
                <w:bCs w:val="0"/>
                <w:szCs w:val="24"/>
              </w:rPr>
            </w:pPr>
          </w:p>
        </w:tc>
        <w:tc>
          <w:tcPr>
            <w:tcW w:w="2912" w:type="pct"/>
          </w:tcPr>
          <w:p w14:paraId="1A3636F3" w14:textId="5C7D08A1" w:rsidR="00A32A9C" w:rsidRPr="000C51B3" w:rsidRDefault="00B574D9" w:rsidP="00707711">
            <w:pPr>
              <w:ind w:left="482" w:hanging="482"/>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0C51B3">
              <w:rPr>
                <w:rFonts w:ascii="Calibri" w:hAnsi="Calibri" w:cs="Calibri"/>
                <w:szCs w:val="24"/>
              </w:rPr>
              <w:t xml:space="preserve">2.1  Timescale for provision of advice to Scottish Ministers on SPA review agreed </w:t>
            </w:r>
            <w:r w:rsidR="00707711" w:rsidRPr="000C51B3">
              <w:rPr>
                <w:rFonts w:ascii="Calibri" w:hAnsi="Calibri" w:cs="Calibri"/>
                <w:szCs w:val="24"/>
              </w:rPr>
              <w:t>for Q1</w:t>
            </w:r>
            <w:r w:rsidRPr="000C51B3">
              <w:rPr>
                <w:rFonts w:ascii="Calibri" w:hAnsi="Calibri" w:cs="Calibri"/>
                <w:szCs w:val="24"/>
              </w:rPr>
              <w:t xml:space="preserve">. Scientific case for designation of SACs drafted anticipating final advice to Scottish Ministers </w:t>
            </w:r>
            <w:r w:rsidR="00A229D2" w:rsidRPr="000C51B3">
              <w:rPr>
                <w:rFonts w:ascii="Calibri" w:hAnsi="Calibri" w:cs="Calibri"/>
                <w:szCs w:val="24"/>
              </w:rPr>
              <w:t>by</w:t>
            </w:r>
            <w:r w:rsidRPr="000C51B3">
              <w:rPr>
                <w:rFonts w:ascii="Calibri" w:hAnsi="Calibri" w:cs="Calibri"/>
                <w:szCs w:val="24"/>
              </w:rPr>
              <w:t xml:space="preserve"> Q2</w:t>
            </w:r>
            <w:r w:rsidR="00707711" w:rsidRPr="000C51B3">
              <w:rPr>
                <w:rFonts w:ascii="Calibri" w:hAnsi="Calibri" w:cs="Calibri"/>
                <w:szCs w:val="24"/>
              </w:rPr>
              <w:t>.</w:t>
            </w:r>
            <w:r w:rsidRPr="000C51B3">
              <w:rPr>
                <w:rFonts w:ascii="Calibri" w:hAnsi="Calibri" w:cs="Calibri"/>
                <w:szCs w:val="24"/>
              </w:rPr>
              <w:t xml:space="preserve"> </w:t>
            </w:r>
          </w:p>
          <w:p w14:paraId="277554EE" w14:textId="6DC16BA7" w:rsidR="00B574D9" w:rsidRPr="000C51B3" w:rsidRDefault="00B574D9" w:rsidP="00707711">
            <w:pPr>
              <w:ind w:left="482" w:hanging="482"/>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0C51B3">
              <w:rPr>
                <w:rFonts w:ascii="Calibri" w:hAnsi="Calibri" w:cs="Calibri"/>
                <w:szCs w:val="24"/>
              </w:rPr>
              <w:t>2.2  UK Hab</w:t>
            </w:r>
            <w:r w:rsidR="007B6CBE" w:rsidRPr="000C51B3">
              <w:rPr>
                <w:rFonts w:ascii="Calibri" w:hAnsi="Calibri" w:cs="Calibri"/>
                <w:szCs w:val="24"/>
              </w:rPr>
              <w:t>itat</w:t>
            </w:r>
            <w:r w:rsidRPr="000C51B3">
              <w:rPr>
                <w:rFonts w:ascii="Calibri" w:hAnsi="Calibri" w:cs="Calibri"/>
                <w:szCs w:val="24"/>
              </w:rPr>
              <w:t xml:space="preserve"> Regs report published</w:t>
            </w:r>
            <w:r w:rsidR="00707711" w:rsidRPr="000C51B3">
              <w:rPr>
                <w:rFonts w:ascii="Calibri" w:hAnsi="Calibri" w:cs="Calibri"/>
                <w:szCs w:val="24"/>
              </w:rPr>
              <w:t>.</w:t>
            </w:r>
          </w:p>
          <w:p w14:paraId="5B4804DA" w14:textId="5C5823EC" w:rsidR="00B574D9" w:rsidRPr="000C51B3" w:rsidRDefault="00B574D9" w:rsidP="00707711">
            <w:pPr>
              <w:ind w:left="482" w:hanging="482"/>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0C51B3">
              <w:rPr>
                <w:rFonts w:ascii="Calibri" w:hAnsi="Calibri" w:cs="Calibri"/>
                <w:szCs w:val="24"/>
              </w:rPr>
              <w:t xml:space="preserve">2.3  Monitoring for DHE implementation schedule prepared, running throughout 2026/27 and operationalising approach in </w:t>
            </w:r>
            <w:r w:rsidR="00A229D2" w:rsidRPr="000C51B3">
              <w:rPr>
                <w:rFonts w:ascii="Calibri" w:hAnsi="Calibri" w:cs="Calibri"/>
                <w:szCs w:val="24"/>
              </w:rPr>
              <w:t>20</w:t>
            </w:r>
            <w:r w:rsidRPr="000C51B3">
              <w:rPr>
                <w:rFonts w:ascii="Calibri" w:hAnsi="Calibri" w:cs="Calibri"/>
                <w:szCs w:val="24"/>
              </w:rPr>
              <w:t>27/28</w:t>
            </w:r>
            <w:r w:rsidR="00707711" w:rsidRPr="000C51B3">
              <w:rPr>
                <w:rFonts w:ascii="Calibri" w:hAnsi="Calibri" w:cs="Calibri"/>
                <w:szCs w:val="24"/>
              </w:rPr>
              <w:t>.</w:t>
            </w:r>
            <w:r w:rsidRPr="000C51B3">
              <w:rPr>
                <w:rFonts w:ascii="Calibri" w:hAnsi="Calibri" w:cs="Calibri"/>
                <w:szCs w:val="24"/>
              </w:rPr>
              <w:t xml:space="preserve">  </w:t>
            </w:r>
          </w:p>
          <w:p w14:paraId="74EF0997" w14:textId="77777777" w:rsidR="00B574D9" w:rsidRPr="000C51B3" w:rsidRDefault="00B574D9" w:rsidP="00707711">
            <w:pPr>
              <w:ind w:left="482" w:hanging="482"/>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p>
          <w:p w14:paraId="17228829" w14:textId="77777777" w:rsidR="00BA09FE" w:rsidRPr="000C51B3" w:rsidRDefault="00BA09FE" w:rsidP="00707711">
            <w:pPr>
              <w:ind w:left="482" w:hanging="482"/>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p>
          <w:p w14:paraId="114FE35D" w14:textId="77777777" w:rsidR="00B574D9" w:rsidRPr="000C51B3" w:rsidRDefault="00B574D9" w:rsidP="00707711">
            <w:pPr>
              <w:ind w:left="482" w:hanging="482"/>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0C51B3">
              <w:rPr>
                <w:rFonts w:ascii="Calibri" w:hAnsi="Calibri" w:cs="Calibri"/>
                <w:szCs w:val="24"/>
              </w:rPr>
              <w:t>2.4 NatureScot MPA advice has been published on NatureScot website.  Pre-consultation with key stakeholders (fishing industry, local authorities, NGOs) progressing.</w:t>
            </w:r>
          </w:p>
        </w:tc>
      </w:tr>
      <w:tr w:rsidR="00B574D9" w:rsidRPr="000C51B3" w14:paraId="6260947B" w14:textId="77777777" w:rsidTr="00E3754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D050"/>
          </w:tcPr>
          <w:p w14:paraId="58B63D75" w14:textId="77777777" w:rsidR="00B574D9" w:rsidRPr="000C51B3" w:rsidRDefault="00B574D9" w:rsidP="009A2081">
            <w:pPr>
              <w:rPr>
                <w:rFonts w:ascii="Calibri" w:hAnsi="Calibri" w:cs="Calibri"/>
                <w:szCs w:val="24"/>
              </w:rPr>
            </w:pPr>
            <w:r w:rsidRPr="000C51B3">
              <w:rPr>
                <w:rFonts w:ascii="Calibri" w:hAnsi="Calibri" w:cs="Calibri"/>
                <w:szCs w:val="24"/>
              </w:rPr>
              <w:t>Build stronger collaboration reducing the impacts of deer and modernise our wildlife management and underpinning licencing functions to enable a net zero and nature positive future</w:t>
            </w:r>
          </w:p>
        </w:tc>
      </w:tr>
      <w:tr w:rsidR="00B574D9" w:rsidRPr="000C51B3" w14:paraId="53AC30F0" w14:textId="77777777" w:rsidTr="00E3754C">
        <w:trPr>
          <w:trHeight w:val="510"/>
        </w:trPr>
        <w:tc>
          <w:tcPr>
            <w:cnfStyle w:val="001000000000" w:firstRow="0" w:lastRow="0" w:firstColumn="1" w:lastColumn="0" w:oddVBand="0" w:evenVBand="0" w:oddHBand="0" w:evenHBand="0" w:firstRowFirstColumn="0" w:firstRowLastColumn="0" w:lastRowFirstColumn="0" w:lastRowLastColumn="0"/>
            <w:tcW w:w="2088" w:type="pct"/>
          </w:tcPr>
          <w:p w14:paraId="2E2D30DD" w14:textId="77777777" w:rsidR="00B574D9" w:rsidRPr="000C51B3" w:rsidRDefault="00B574D9" w:rsidP="009A2081">
            <w:pPr>
              <w:ind w:left="459" w:hanging="459"/>
              <w:rPr>
                <w:rFonts w:ascii="Calibri" w:hAnsi="Calibri" w:cs="Calibri"/>
                <w:b w:val="0"/>
                <w:bCs w:val="0"/>
                <w:szCs w:val="24"/>
              </w:rPr>
            </w:pPr>
            <w:r w:rsidRPr="000C51B3">
              <w:rPr>
                <w:rFonts w:ascii="Calibri" w:hAnsi="Calibri" w:cs="Calibri"/>
                <w:b w:val="0"/>
                <w:bCs w:val="0"/>
                <w:szCs w:val="24"/>
              </w:rPr>
              <w:t>4.1   Deliver female deer reduction incentive schemes.</w:t>
            </w:r>
          </w:p>
          <w:p w14:paraId="1ECEC422" w14:textId="77777777" w:rsidR="00A229D2" w:rsidRPr="000C51B3" w:rsidRDefault="00A229D2" w:rsidP="009A2081">
            <w:pPr>
              <w:ind w:left="459" w:hanging="459"/>
              <w:rPr>
                <w:rFonts w:ascii="Calibri" w:hAnsi="Calibri" w:cs="Calibri"/>
                <w:szCs w:val="24"/>
              </w:rPr>
            </w:pPr>
          </w:p>
          <w:p w14:paraId="16B863A2" w14:textId="67400A0F" w:rsidR="00B574D9" w:rsidRPr="000C51B3" w:rsidRDefault="00B574D9" w:rsidP="009A2081">
            <w:pPr>
              <w:ind w:left="459" w:hanging="459"/>
              <w:rPr>
                <w:rFonts w:ascii="Calibri" w:hAnsi="Calibri" w:cs="Calibri"/>
                <w:szCs w:val="24"/>
              </w:rPr>
            </w:pPr>
            <w:r w:rsidRPr="000C51B3">
              <w:rPr>
                <w:rFonts w:ascii="Calibri" w:hAnsi="Calibri" w:cs="Calibri"/>
                <w:b w:val="0"/>
                <w:bCs w:val="0"/>
                <w:szCs w:val="24"/>
              </w:rPr>
              <w:t>4.2   Complete payments for Goose schemes.</w:t>
            </w:r>
          </w:p>
          <w:p w14:paraId="48DD1C8F" w14:textId="77777777" w:rsidR="00B574D9" w:rsidRPr="000C51B3" w:rsidRDefault="00B574D9" w:rsidP="009A2081">
            <w:pPr>
              <w:ind w:left="459" w:hanging="459"/>
              <w:rPr>
                <w:rFonts w:ascii="Calibri" w:hAnsi="Calibri" w:cs="Calibri"/>
                <w:szCs w:val="24"/>
              </w:rPr>
            </w:pPr>
            <w:r w:rsidRPr="000C51B3">
              <w:rPr>
                <w:rFonts w:ascii="Calibri" w:hAnsi="Calibri" w:cs="Calibri"/>
                <w:b w:val="0"/>
                <w:bCs w:val="0"/>
                <w:szCs w:val="24"/>
              </w:rPr>
              <w:t>4.3   Secure finance for priority INNS projects.</w:t>
            </w:r>
          </w:p>
          <w:p w14:paraId="659D780F" w14:textId="77777777" w:rsidR="00B574D9" w:rsidRPr="000C51B3" w:rsidRDefault="00B574D9" w:rsidP="009A2081">
            <w:pPr>
              <w:ind w:left="459" w:hanging="459"/>
              <w:rPr>
                <w:rFonts w:ascii="Calibri" w:hAnsi="Calibri" w:cs="Calibri"/>
                <w:b w:val="0"/>
                <w:bCs w:val="0"/>
                <w:szCs w:val="24"/>
              </w:rPr>
            </w:pPr>
          </w:p>
          <w:p w14:paraId="6513B6AE" w14:textId="3C670F3E" w:rsidR="00B574D9" w:rsidRPr="000C51B3" w:rsidRDefault="00B574D9" w:rsidP="009A2081">
            <w:pPr>
              <w:ind w:left="459" w:hanging="459"/>
              <w:rPr>
                <w:rFonts w:ascii="Calibri" w:hAnsi="Calibri" w:cs="Calibri"/>
                <w:b w:val="0"/>
                <w:bCs w:val="0"/>
                <w:szCs w:val="24"/>
              </w:rPr>
            </w:pPr>
            <w:r w:rsidRPr="000C51B3">
              <w:rPr>
                <w:rFonts w:ascii="Calibri" w:hAnsi="Calibri" w:cs="Calibri"/>
                <w:b w:val="0"/>
                <w:bCs w:val="0"/>
                <w:szCs w:val="24"/>
              </w:rPr>
              <w:t>4.4   Delivery of licensing service within service standards.</w:t>
            </w:r>
          </w:p>
          <w:p w14:paraId="40542C3E" w14:textId="77777777" w:rsidR="00B574D9" w:rsidRPr="000C51B3" w:rsidRDefault="00B574D9" w:rsidP="009A2081">
            <w:pPr>
              <w:ind w:left="459" w:hanging="459"/>
              <w:rPr>
                <w:rFonts w:ascii="Calibri" w:hAnsi="Calibri" w:cs="Calibri"/>
                <w:szCs w:val="24"/>
              </w:rPr>
            </w:pPr>
            <w:r w:rsidRPr="000C51B3">
              <w:rPr>
                <w:rFonts w:ascii="Calibri" w:hAnsi="Calibri" w:cs="Calibri"/>
                <w:b w:val="0"/>
                <w:bCs w:val="0"/>
                <w:szCs w:val="24"/>
              </w:rPr>
              <w:t xml:space="preserve">         Develop Trap Licensing and launch Q4 or early Q1.</w:t>
            </w:r>
          </w:p>
        </w:tc>
        <w:tc>
          <w:tcPr>
            <w:tcW w:w="2912" w:type="pct"/>
            <w:tcBorders>
              <w:bottom w:val="single" w:sz="4" w:space="0" w:color="BFBFBF" w:themeColor="background1" w:themeShade="BF"/>
            </w:tcBorders>
          </w:tcPr>
          <w:p w14:paraId="78322A1A" w14:textId="190CC060" w:rsidR="00B574D9" w:rsidRPr="000C51B3" w:rsidRDefault="00B574D9" w:rsidP="009A2081">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0C51B3">
              <w:rPr>
                <w:rFonts w:ascii="Calibri" w:hAnsi="Calibri" w:cs="Calibri"/>
                <w:szCs w:val="24"/>
              </w:rPr>
              <w:t>4.1   Deer incentive schemes supported in Cairngorms, Loch Lom</w:t>
            </w:r>
            <w:r w:rsidR="003105B3" w:rsidRPr="000C51B3">
              <w:rPr>
                <w:rFonts w:ascii="Calibri" w:hAnsi="Calibri" w:cs="Calibri"/>
                <w:szCs w:val="24"/>
              </w:rPr>
              <w:t>o</w:t>
            </w:r>
            <w:r w:rsidRPr="000C51B3">
              <w:rPr>
                <w:rFonts w:ascii="Calibri" w:hAnsi="Calibri" w:cs="Calibri"/>
                <w:szCs w:val="24"/>
              </w:rPr>
              <w:t xml:space="preserve">nd, South Loch Ness and Central Scotland. </w:t>
            </w:r>
          </w:p>
          <w:p w14:paraId="378610A5" w14:textId="79086520" w:rsidR="00B574D9" w:rsidRPr="000C51B3" w:rsidRDefault="00B574D9" w:rsidP="009A2081">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0C51B3">
              <w:rPr>
                <w:rFonts w:ascii="Calibri" w:hAnsi="Calibri" w:cs="Calibri"/>
                <w:szCs w:val="24"/>
              </w:rPr>
              <w:t xml:space="preserve">4.2  </w:t>
            </w:r>
            <w:r w:rsidR="0083530F" w:rsidRPr="000C51B3">
              <w:rPr>
                <w:rFonts w:ascii="Calibri" w:hAnsi="Calibri" w:cs="Calibri"/>
                <w:szCs w:val="24"/>
              </w:rPr>
              <w:t>All g</w:t>
            </w:r>
            <w:r w:rsidRPr="000C51B3">
              <w:rPr>
                <w:rFonts w:ascii="Calibri" w:hAnsi="Calibri" w:cs="Calibri"/>
                <w:szCs w:val="24"/>
              </w:rPr>
              <w:t>oose scheme payments made on time and within agreed budget</w:t>
            </w:r>
            <w:r w:rsidR="00A229D2" w:rsidRPr="000C51B3">
              <w:rPr>
                <w:rFonts w:ascii="Calibri" w:hAnsi="Calibri" w:cs="Calibri"/>
                <w:szCs w:val="24"/>
              </w:rPr>
              <w:t>.</w:t>
            </w:r>
          </w:p>
          <w:p w14:paraId="0DD83FC8" w14:textId="5DA26546" w:rsidR="00B574D9" w:rsidRPr="000C51B3" w:rsidRDefault="00B574D9" w:rsidP="009A2081">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0C51B3">
              <w:rPr>
                <w:rFonts w:ascii="Calibri" w:hAnsi="Calibri" w:cs="Calibri"/>
                <w:szCs w:val="24"/>
              </w:rPr>
              <w:t xml:space="preserve">4.3  </w:t>
            </w:r>
            <w:r w:rsidR="00A229D2" w:rsidRPr="000C51B3">
              <w:rPr>
                <w:rFonts w:ascii="Calibri" w:hAnsi="Calibri" w:cs="Calibri"/>
                <w:szCs w:val="24"/>
              </w:rPr>
              <w:t xml:space="preserve"> </w:t>
            </w:r>
            <w:r w:rsidRPr="000C51B3">
              <w:rPr>
                <w:rFonts w:ascii="Calibri" w:hAnsi="Calibri" w:cs="Calibri"/>
                <w:szCs w:val="24"/>
              </w:rPr>
              <w:t xml:space="preserve">Mink control and </w:t>
            </w:r>
            <w:r w:rsidR="009349EE" w:rsidRPr="000C51B3">
              <w:rPr>
                <w:rFonts w:ascii="Calibri" w:hAnsi="Calibri" w:cs="Calibri"/>
                <w:szCs w:val="24"/>
              </w:rPr>
              <w:t xml:space="preserve">invasive </w:t>
            </w:r>
            <w:r w:rsidRPr="000C51B3">
              <w:rPr>
                <w:rFonts w:ascii="Calibri" w:hAnsi="Calibri" w:cs="Calibri"/>
                <w:szCs w:val="24"/>
              </w:rPr>
              <w:t xml:space="preserve">plant </w:t>
            </w:r>
            <w:r w:rsidR="009349EE" w:rsidRPr="000C51B3">
              <w:rPr>
                <w:rFonts w:ascii="Calibri" w:hAnsi="Calibri" w:cs="Calibri"/>
                <w:szCs w:val="24"/>
              </w:rPr>
              <w:t>control</w:t>
            </w:r>
            <w:r w:rsidRPr="000C51B3">
              <w:rPr>
                <w:rFonts w:ascii="Calibri" w:hAnsi="Calibri" w:cs="Calibri"/>
                <w:szCs w:val="24"/>
              </w:rPr>
              <w:t xml:space="preserve"> - </w:t>
            </w:r>
            <w:r w:rsidR="009349EE" w:rsidRPr="000C51B3">
              <w:rPr>
                <w:rFonts w:ascii="Calibri" w:hAnsi="Calibri" w:cs="Calibri"/>
                <w:szCs w:val="24"/>
              </w:rPr>
              <w:t>F</w:t>
            </w:r>
            <w:r w:rsidRPr="000C51B3">
              <w:rPr>
                <w:rFonts w:ascii="Calibri" w:hAnsi="Calibri" w:cs="Calibri"/>
                <w:szCs w:val="24"/>
              </w:rPr>
              <w:t xml:space="preserve">ull funding grant approved for next two years </w:t>
            </w:r>
            <w:r w:rsidR="009349EE" w:rsidRPr="000C51B3">
              <w:rPr>
                <w:rFonts w:ascii="Calibri" w:hAnsi="Calibri" w:cs="Calibri"/>
                <w:szCs w:val="24"/>
              </w:rPr>
              <w:t>with a p</w:t>
            </w:r>
            <w:r w:rsidRPr="000C51B3">
              <w:rPr>
                <w:rFonts w:ascii="Calibri" w:hAnsi="Calibri" w:cs="Calibri"/>
                <w:szCs w:val="24"/>
              </w:rPr>
              <w:t xml:space="preserve">artnership agreement to be </w:t>
            </w:r>
            <w:r w:rsidR="003105B3" w:rsidRPr="000C51B3">
              <w:rPr>
                <w:rFonts w:ascii="Calibri" w:hAnsi="Calibri" w:cs="Calibri"/>
                <w:szCs w:val="24"/>
              </w:rPr>
              <w:t>established</w:t>
            </w:r>
            <w:r w:rsidRPr="000C51B3">
              <w:rPr>
                <w:rFonts w:ascii="Calibri" w:hAnsi="Calibri" w:cs="Calibri"/>
                <w:szCs w:val="24"/>
              </w:rPr>
              <w:t>.</w:t>
            </w:r>
          </w:p>
          <w:p w14:paraId="3C138398" w14:textId="521C8525" w:rsidR="00B574D9" w:rsidRPr="000C51B3" w:rsidRDefault="00B574D9" w:rsidP="009A2081">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0C51B3">
              <w:rPr>
                <w:rFonts w:ascii="Calibri" w:hAnsi="Calibri" w:cs="Calibri"/>
                <w:szCs w:val="24"/>
              </w:rPr>
              <w:t>4.4   Licensing service delivered inc</w:t>
            </w:r>
            <w:r w:rsidR="003105B3" w:rsidRPr="000C51B3">
              <w:rPr>
                <w:rFonts w:ascii="Calibri" w:hAnsi="Calibri" w:cs="Calibri"/>
                <w:szCs w:val="24"/>
              </w:rPr>
              <w:t>luding</w:t>
            </w:r>
            <w:r w:rsidRPr="000C51B3">
              <w:rPr>
                <w:rFonts w:ascii="Calibri" w:hAnsi="Calibri" w:cs="Calibri"/>
                <w:szCs w:val="24"/>
              </w:rPr>
              <w:t xml:space="preserve"> area-based licences for Orkney ravens</w:t>
            </w:r>
            <w:r w:rsidR="0083530F" w:rsidRPr="000C51B3">
              <w:rPr>
                <w:rFonts w:ascii="Calibri" w:hAnsi="Calibri" w:cs="Calibri"/>
                <w:szCs w:val="24"/>
              </w:rPr>
              <w:t>,</w:t>
            </w:r>
            <w:r w:rsidRPr="000C51B3">
              <w:rPr>
                <w:rFonts w:ascii="Calibri" w:hAnsi="Calibri" w:cs="Calibri"/>
                <w:szCs w:val="24"/>
              </w:rPr>
              <w:t xml:space="preserve"> and engagement </w:t>
            </w:r>
            <w:r w:rsidR="003105B3" w:rsidRPr="000C51B3">
              <w:rPr>
                <w:rFonts w:ascii="Calibri" w:hAnsi="Calibri" w:cs="Calibri"/>
                <w:szCs w:val="24"/>
              </w:rPr>
              <w:t>ahead of</w:t>
            </w:r>
            <w:r w:rsidRPr="000C51B3">
              <w:rPr>
                <w:rFonts w:ascii="Calibri" w:hAnsi="Calibri" w:cs="Calibri"/>
                <w:szCs w:val="24"/>
              </w:rPr>
              <w:t xml:space="preserve"> gull breeding season. Licencing development reprioritised </w:t>
            </w:r>
            <w:r w:rsidR="00095438" w:rsidRPr="000C51B3">
              <w:rPr>
                <w:rFonts w:ascii="Calibri" w:hAnsi="Calibri" w:cs="Calibri"/>
                <w:szCs w:val="24"/>
              </w:rPr>
              <w:t>to reflect</w:t>
            </w:r>
            <w:r w:rsidRPr="000C51B3">
              <w:rPr>
                <w:rFonts w:ascii="Calibri" w:hAnsi="Calibri" w:cs="Calibri"/>
                <w:szCs w:val="24"/>
              </w:rPr>
              <w:t xml:space="preserve"> NE </w:t>
            </w:r>
            <w:r w:rsidR="00A229D2" w:rsidRPr="000C51B3">
              <w:rPr>
                <w:rFonts w:ascii="Calibri" w:hAnsi="Calibri" w:cs="Calibri"/>
                <w:szCs w:val="24"/>
              </w:rPr>
              <w:t>Act</w:t>
            </w:r>
            <w:r w:rsidRPr="000C51B3">
              <w:rPr>
                <w:rFonts w:ascii="Calibri" w:hAnsi="Calibri" w:cs="Calibri"/>
                <w:szCs w:val="24"/>
              </w:rPr>
              <w:t xml:space="preserve"> focus on Muirburn amendments and delivery of that framework for Sep 2026.  Trap licensing will be developed 2026/27.  </w:t>
            </w:r>
          </w:p>
        </w:tc>
      </w:tr>
    </w:tbl>
    <w:p w14:paraId="0FC498C9" w14:textId="33FCAA5C" w:rsidR="0093004B" w:rsidRPr="000C51B3" w:rsidRDefault="0093004B">
      <w:pPr>
        <w:rPr>
          <w:rFonts w:ascii="Calibri" w:hAnsi="Calibri" w:cs="Calibri"/>
          <w:b/>
          <w:bCs/>
        </w:rPr>
      </w:pPr>
      <w:r w:rsidRPr="000C51B3">
        <w:rPr>
          <w:rFonts w:ascii="Calibri" w:hAnsi="Calibri" w:cs="Calibri"/>
          <w:b/>
          <w:bCs/>
        </w:rPr>
        <w:t>Online Licensing Performance Measure</w:t>
      </w:r>
    </w:p>
    <w:tbl>
      <w:tblPr>
        <w:tblStyle w:val="TableGrid"/>
        <w:tblW w:w="4844" w:type="pct"/>
        <w:tblLook w:val="04A0" w:firstRow="1" w:lastRow="0" w:firstColumn="1" w:lastColumn="0" w:noHBand="0" w:noVBand="1"/>
        <w:tblCaption w:val="90 Day plan for NatureScot Priorities"/>
        <w:tblDescription w:val="List of what we plan to achieve over the next 90 days against each of the NatureScot priorities "/>
      </w:tblPr>
      <w:tblGrid>
        <w:gridCol w:w="3346"/>
        <w:gridCol w:w="870"/>
        <w:gridCol w:w="843"/>
        <w:gridCol w:w="876"/>
        <w:gridCol w:w="7578"/>
      </w:tblGrid>
      <w:tr w:rsidR="00DD4F7B" w:rsidRPr="000C51B3" w14:paraId="70F49D66" w14:textId="77777777" w:rsidTr="00DD4F7B">
        <w:tc>
          <w:tcPr>
            <w:tcW w:w="1255" w:type="pct"/>
            <w:shd w:val="clear" w:color="auto" w:fill="DDD9C3" w:themeFill="background2" w:themeFillShade="E6"/>
          </w:tcPr>
          <w:p w14:paraId="5EA4D39F" w14:textId="77777777" w:rsidR="00DD4F7B" w:rsidRPr="000C51B3" w:rsidRDefault="00DD4F7B" w:rsidP="00CE181B">
            <w:pPr>
              <w:rPr>
                <w:rFonts w:ascii="Calibri" w:hAnsi="Calibri" w:cs="Calibri"/>
                <w:b/>
                <w:bCs/>
              </w:rPr>
            </w:pPr>
            <w:r w:rsidRPr="000C51B3">
              <w:rPr>
                <w:rFonts w:ascii="Calibri" w:hAnsi="Calibri" w:cs="Calibri"/>
                <w:b/>
                <w:bCs/>
              </w:rPr>
              <w:t xml:space="preserve">Measure </w:t>
            </w:r>
          </w:p>
        </w:tc>
        <w:tc>
          <w:tcPr>
            <w:tcW w:w="339" w:type="pct"/>
            <w:shd w:val="clear" w:color="auto" w:fill="DDD9C3" w:themeFill="background2" w:themeFillShade="E6"/>
          </w:tcPr>
          <w:p w14:paraId="7457744B" w14:textId="77777777" w:rsidR="00DD4F7B" w:rsidRPr="000C51B3" w:rsidRDefault="00DD4F7B" w:rsidP="00CE181B">
            <w:pPr>
              <w:rPr>
                <w:rFonts w:ascii="Calibri" w:hAnsi="Calibri" w:cs="Calibri"/>
                <w:b/>
                <w:bCs/>
              </w:rPr>
            </w:pPr>
            <w:r w:rsidRPr="000C51B3">
              <w:rPr>
                <w:rFonts w:ascii="Calibri" w:hAnsi="Calibri" w:cs="Calibri"/>
                <w:b/>
                <w:bCs/>
              </w:rPr>
              <w:t>Q3</w:t>
            </w:r>
          </w:p>
        </w:tc>
        <w:tc>
          <w:tcPr>
            <w:tcW w:w="329" w:type="pct"/>
            <w:shd w:val="clear" w:color="auto" w:fill="DDD9C3" w:themeFill="background2" w:themeFillShade="E6"/>
          </w:tcPr>
          <w:p w14:paraId="5A1552E9" w14:textId="77777777" w:rsidR="00DD4F7B" w:rsidRPr="000C51B3" w:rsidRDefault="00DD4F7B" w:rsidP="00CE181B">
            <w:pPr>
              <w:rPr>
                <w:rFonts w:ascii="Calibri" w:hAnsi="Calibri" w:cs="Calibri"/>
                <w:b/>
                <w:bCs/>
              </w:rPr>
            </w:pPr>
            <w:r w:rsidRPr="000C51B3">
              <w:rPr>
                <w:rFonts w:ascii="Calibri" w:hAnsi="Calibri" w:cs="Calibri"/>
                <w:b/>
                <w:bCs/>
              </w:rPr>
              <w:t>Q4</w:t>
            </w:r>
          </w:p>
        </w:tc>
        <w:tc>
          <w:tcPr>
            <w:tcW w:w="256" w:type="pct"/>
            <w:shd w:val="clear" w:color="auto" w:fill="DDD9C3" w:themeFill="background2" w:themeFillShade="E6"/>
          </w:tcPr>
          <w:p w14:paraId="7F1AA39C" w14:textId="3517273B" w:rsidR="00DD4F7B" w:rsidRPr="000C51B3" w:rsidRDefault="000259B7" w:rsidP="00CE181B">
            <w:pPr>
              <w:jc w:val="center"/>
              <w:rPr>
                <w:rFonts w:ascii="Calibri" w:hAnsi="Calibri" w:cs="Calibri"/>
                <w:b/>
                <w:bCs/>
              </w:rPr>
            </w:pPr>
            <w:r w:rsidRPr="000C51B3">
              <w:rPr>
                <w:rFonts w:ascii="Calibri" w:hAnsi="Calibri" w:cs="Calibri"/>
                <w:b/>
                <w:bCs/>
              </w:rPr>
              <w:t>RAG</w:t>
            </w:r>
          </w:p>
        </w:tc>
        <w:tc>
          <w:tcPr>
            <w:tcW w:w="2821" w:type="pct"/>
            <w:shd w:val="clear" w:color="auto" w:fill="DDD9C3" w:themeFill="background2" w:themeFillShade="E6"/>
          </w:tcPr>
          <w:p w14:paraId="3C039840" w14:textId="77777777" w:rsidR="00DD4F7B" w:rsidRPr="000C51B3" w:rsidRDefault="00DD4F7B" w:rsidP="00CE181B">
            <w:pPr>
              <w:rPr>
                <w:rFonts w:ascii="Calibri" w:hAnsi="Calibri" w:cs="Calibri"/>
                <w:b/>
                <w:bCs/>
              </w:rPr>
            </w:pPr>
            <w:r w:rsidRPr="000C51B3">
              <w:rPr>
                <w:rFonts w:ascii="Calibri" w:hAnsi="Calibri" w:cs="Calibri"/>
                <w:b/>
                <w:bCs/>
              </w:rPr>
              <w:t>Comment</w:t>
            </w:r>
          </w:p>
        </w:tc>
      </w:tr>
      <w:tr w:rsidR="00DD4F7B" w:rsidRPr="000C51B3" w14:paraId="34BFB619" w14:textId="77777777" w:rsidTr="000259B7">
        <w:tc>
          <w:tcPr>
            <w:tcW w:w="1255" w:type="pct"/>
          </w:tcPr>
          <w:p w14:paraId="5AE1F0D8" w14:textId="02C93878" w:rsidR="00DD4F7B" w:rsidRPr="000C51B3" w:rsidRDefault="00DD4F7B" w:rsidP="00CE181B">
            <w:pPr>
              <w:rPr>
                <w:rFonts w:ascii="Calibri" w:hAnsi="Calibri" w:cs="Calibri"/>
              </w:rPr>
            </w:pPr>
            <w:r w:rsidRPr="000C51B3">
              <w:rPr>
                <w:rFonts w:ascii="Calibri" w:hAnsi="Calibri" w:cs="Calibri"/>
              </w:rPr>
              <w:t xml:space="preserve">Licences processed online </w:t>
            </w:r>
          </w:p>
        </w:tc>
        <w:tc>
          <w:tcPr>
            <w:tcW w:w="339" w:type="pct"/>
          </w:tcPr>
          <w:p w14:paraId="28E16982" w14:textId="77777777" w:rsidR="00DD4F7B" w:rsidRPr="000C51B3" w:rsidRDefault="00DD4F7B" w:rsidP="00CE181B">
            <w:pPr>
              <w:rPr>
                <w:rFonts w:ascii="Calibri" w:hAnsi="Calibri" w:cs="Calibri"/>
              </w:rPr>
            </w:pPr>
            <w:r w:rsidRPr="000C51B3">
              <w:rPr>
                <w:rFonts w:ascii="Calibri" w:hAnsi="Calibri" w:cs="Calibri"/>
              </w:rPr>
              <w:t>355</w:t>
            </w:r>
          </w:p>
        </w:tc>
        <w:tc>
          <w:tcPr>
            <w:tcW w:w="329" w:type="pct"/>
          </w:tcPr>
          <w:p w14:paraId="6A996E4D" w14:textId="77777777" w:rsidR="00DD4F7B" w:rsidRPr="000C51B3" w:rsidRDefault="00DD4F7B" w:rsidP="00CE181B">
            <w:pPr>
              <w:rPr>
                <w:rFonts w:ascii="Calibri" w:hAnsi="Calibri" w:cs="Calibri"/>
              </w:rPr>
            </w:pPr>
            <w:r w:rsidRPr="000C51B3">
              <w:rPr>
                <w:rFonts w:ascii="Calibri" w:hAnsi="Calibri" w:cs="Calibri"/>
              </w:rPr>
              <w:t>404</w:t>
            </w:r>
          </w:p>
        </w:tc>
        <w:tc>
          <w:tcPr>
            <w:tcW w:w="256" w:type="pct"/>
            <w:shd w:val="clear" w:color="auto" w:fill="FFCE3C"/>
          </w:tcPr>
          <w:p w14:paraId="1B296428" w14:textId="50FABE4D" w:rsidR="00DD4F7B" w:rsidRPr="000C51B3" w:rsidRDefault="000259B7" w:rsidP="00CE181B">
            <w:pPr>
              <w:jc w:val="center"/>
              <w:rPr>
                <w:rFonts w:ascii="Calibri" w:hAnsi="Calibri" w:cs="Calibri"/>
                <w:sz w:val="28"/>
                <w:szCs w:val="28"/>
              </w:rPr>
            </w:pPr>
            <w:r w:rsidRPr="000C51B3">
              <w:rPr>
                <w:rFonts w:ascii="Calibri" w:hAnsi="Calibri" w:cs="Calibri"/>
              </w:rPr>
              <w:t>Amber</w:t>
            </w:r>
          </w:p>
        </w:tc>
        <w:tc>
          <w:tcPr>
            <w:tcW w:w="2821" w:type="pct"/>
          </w:tcPr>
          <w:p w14:paraId="1DF40064" w14:textId="77777777" w:rsidR="00DD4F7B" w:rsidRPr="000C51B3" w:rsidRDefault="00DD4F7B" w:rsidP="00CE181B">
            <w:pPr>
              <w:rPr>
                <w:rFonts w:ascii="Calibri" w:hAnsi="Calibri" w:cs="Calibri"/>
              </w:rPr>
            </w:pPr>
            <w:r w:rsidRPr="000C51B3">
              <w:rPr>
                <w:rFonts w:ascii="Calibri" w:hAnsi="Calibri" w:cs="Calibri"/>
              </w:rPr>
              <w:t>Continued fluctuation due to seasonality</w:t>
            </w:r>
          </w:p>
        </w:tc>
      </w:tr>
    </w:tbl>
    <w:tbl>
      <w:tblPr>
        <w:tblStyle w:val="PlainTable1"/>
        <w:tblW w:w="5000" w:type="pct"/>
        <w:tblLook w:val="04A0" w:firstRow="1" w:lastRow="0" w:firstColumn="1" w:lastColumn="0" w:noHBand="0" w:noVBand="1"/>
        <w:tblCaption w:val="90 Day plan for NatureScot Priorities"/>
        <w:tblDescription w:val="List of what we plan to achieve over the next 90 days against each of the NatureScot priorities "/>
      </w:tblPr>
      <w:tblGrid>
        <w:gridCol w:w="5825"/>
        <w:gridCol w:w="8123"/>
      </w:tblGrid>
      <w:tr w:rsidR="00B574D9" w:rsidRPr="000C51B3" w14:paraId="5F7F5809" w14:textId="77777777" w:rsidTr="00E3754C">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C000"/>
          </w:tcPr>
          <w:p w14:paraId="0FDE5569" w14:textId="77777777" w:rsidR="00B574D9" w:rsidRPr="000C51B3" w:rsidRDefault="00B574D9" w:rsidP="009A2081">
            <w:pPr>
              <w:rPr>
                <w:rFonts w:ascii="Calibri" w:hAnsi="Calibri" w:cs="Calibri"/>
                <w:szCs w:val="24"/>
              </w:rPr>
            </w:pPr>
            <w:r w:rsidRPr="000C51B3">
              <w:rPr>
                <w:rFonts w:ascii="Calibri" w:hAnsi="Calibri" w:cs="Calibri"/>
                <w:szCs w:val="24"/>
              </w:rPr>
              <w:lastRenderedPageBreak/>
              <w:t>Engage and influence planning and other regulatory systems to ensure they deliver for nature and climate</w:t>
            </w:r>
          </w:p>
        </w:tc>
      </w:tr>
      <w:tr w:rsidR="00B574D9" w:rsidRPr="000C51B3" w14:paraId="1D567E68" w14:textId="77777777" w:rsidTr="00E3754C">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2088" w:type="pct"/>
          </w:tcPr>
          <w:p w14:paraId="336148A2" w14:textId="77777777" w:rsidR="00B574D9" w:rsidRPr="000C51B3" w:rsidRDefault="00B574D9" w:rsidP="009A2081">
            <w:pPr>
              <w:ind w:left="452" w:hanging="452"/>
              <w:rPr>
                <w:rFonts w:ascii="Calibri" w:hAnsi="Calibri" w:cs="Calibri"/>
                <w:szCs w:val="24"/>
              </w:rPr>
            </w:pPr>
            <w:bookmarkStart w:id="7" w:name="_Hlk178602051"/>
            <w:r w:rsidRPr="000C51B3">
              <w:rPr>
                <w:rFonts w:ascii="Calibri" w:hAnsi="Calibri" w:cs="Calibri"/>
                <w:b w:val="0"/>
                <w:bCs w:val="0"/>
                <w:szCs w:val="24"/>
              </w:rPr>
              <w:t>3.1   Launch a consultation on a draft biodiversity metric for planning.</w:t>
            </w:r>
          </w:p>
          <w:p w14:paraId="700C3BF0" w14:textId="77777777" w:rsidR="00B574D9" w:rsidRPr="000C51B3" w:rsidRDefault="00B574D9" w:rsidP="009A2081">
            <w:pPr>
              <w:ind w:left="459" w:hanging="459"/>
              <w:rPr>
                <w:rFonts w:ascii="Calibri" w:hAnsi="Calibri" w:cs="Calibri"/>
                <w:szCs w:val="24"/>
              </w:rPr>
            </w:pPr>
            <w:r w:rsidRPr="000C51B3">
              <w:rPr>
                <w:rFonts w:ascii="Calibri" w:hAnsi="Calibri" w:cs="Calibri"/>
                <w:b w:val="0"/>
                <w:bCs w:val="0"/>
                <w:szCs w:val="24"/>
              </w:rPr>
              <w:t>3.3   Prepare draft tool guidance and materials for consultation.</w:t>
            </w:r>
          </w:p>
        </w:tc>
        <w:tc>
          <w:tcPr>
            <w:tcW w:w="2912" w:type="pct"/>
            <w:tcBorders>
              <w:top w:val="single" w:sz="4" w:space="0" w:color="BFBFBF" w:themeColor="background1" w:themeShade="BF"/>
              <w:right w:val="single" w:sz="4" w:space="0" w:color="BFBFBF" w:themeColor="background1" w:themeShade="BF"/>
            </w:tcBorders>
          </w:tcPr>
          <w:p w14:paraId="1C34E80B" w14:textId="5063FB17" w:rsidR="0011009F" w:rsidRPr="000C51B3" w:rsidRDefault="00B574D9" w:rsidP="0011009F">
            <w:pPr>
              <w:ind w:left="465" w:hanging="465"/>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0C51B3">
              <w:rPr>
                <w:rFonts w:ascii="Calibri" w:hAnsi="Calibri" w:cs="Calibri"/>
                <w:szCs w:val="24"/>
              </w:rPr>
              <w:t xml:space="preserve">3.1   </w:t>
            </w:r>
            <w:r w:rsidR="00F77251" w:rsidRPr="000C51B3">
              <w:rPr>
                <w:rFonts w:ascii="Calibri" w:hAnsi="Calibri" w:cs="Calibri"/>
                <w:szCs w:val="24"/>
              </w:rPr>
              <w:t>Consultation on MVP anticipated in Q2.</w:t>
            </w:r>
          </w:p>
          <w:p w14:paraId="5B8968AB" w14:textId="77777777" w:rsidR="00BA09FE" w:rsidRPr="000C51B3" w:rsidRDefault="00BA09FE" w:rsidP="0011009F">
            <w:pPr>
              <w:ind w:left="465" w:hanging="465"/>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p>
          <w:p w14:paraId="46D2BAD6" w14:textId="777195B6" w:rsidR="00B574D9" w:rsidRPr="000C51B3" w:rsidRDefault="00B574D9" w:rsidP="0011009F">
            <w:pPr>
              <w:ind w:left="465" w:hanging="465"/>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0C51B3">
              <w:rPr>
                <w:rFonts w:ascii="Calibri" w:hAnsi="Calibri" w:cs="Calibri"/>
                <w:szCs w:val="24"/>
              </w:rPr>
              <w:t>3.3   Preparation proceeding well in relation to the updated project plan and subject to the issues noted at 3.1</w:t>
            </w:r>
            <w:r w:rsidR="00A229D2" w:rsidRPr="000C51B3">
              <w:rPr>
                <w:rFonts w:ascii="Calibri" w:hAnsi="Calibri" w:cs="Calibri"/>
                <w:szCs w:val="24"/>
              </w:rPr>
              <w:t>.</w:t>
            </w:r>
          </w:p>
        </w:tc>
      </w:tr>
      <w:tr w:rsidR="00B574D9" w:rsidRPr="000C51B3" w14:paraId="11A5B4AA" w14:textId="77777777" w:rsidTr="00E3754C">
        <w:trPr>
          <w:trHeight w:val="561"/>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BFBFBF" w:themeColor="background1" w:themeShade="BF"/>
            </w:tcBorders>
            <w:shd w:val="clear" w:color="auto" w:fill="92D050"/>
          </w:tcPr>
          <w:p w14:paraId="1A3C2D61" w14:textId="77777777" w:rsidR="00B574D9" w:rsidRPr="000C51B3" w:rsidRDefault="00B574D9" w:rsidP="009A2081">
            <w:pPr>
              <w:rPr>
                <w:rFonts w:ascii="Calibri" w:hAnsi="Calibri" w:cs="Calibri"/>
                <w:szCs w:val="24"/>
              </w:rPr>
            </w:pPr>
            <w:r w:rsidRPr="000C51B3">
              <w:rPr>
                <w:rFonts w:ascii="Calibri" w:hAnsi="Calibri" w:cs="Calibri"/>
                <w:szCs w:val="24"/>
              </w:rPr>
              <w:t>Influence the transformation of marine management through new marine planning, protection and fisheries management frameworks, and working with the marine renewable energy sector</w:t>
            </w:r>
          </w:p>
        </w:tc>
      </w:tr>
      <w:tr w:rsidR="00B574D9" w:rsidRPr="000C51B3" w14:paraId="53F5E3C8" w14:textId="77777777" w:rsidTr="00E3754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088" w:type="pct"/>
          </w:tcPr>
          <w:p w14:paraId="1D1089BE" w14:textId="77777777" w:rsidR="00B574D9" w:rsidRPr="000C51B3" w:rsidRDefault="00B574D9" w:rsidP="009A2081">
            <w:pPr>
              <w:ind w:left="459" w:hanging="459"/>
              <w:rPr>
                <w:rFonts w:ascii="Calibri" w:hAnsi="Calibri" w:cs="Calibri"/>
                <w:b w:val="0"/>
                <w:bCs w:val="0"/>
                <w:szCs w:val="24"/>
              </w:rPr>
            </w:pPr>
            <w:bookmarkStart w:id="8" w:name="_Hlk178602124"/>
            <w:r w:rsidRPr="000C51B3">
              <w:rPr>
                <w:rFonts w:ascii="Calibri" w:hAnsi="Calibri" w:cs="Calibri"/>
                <w:b w:val="0"/>
                <w:bCs w:val="0"/>
                <w:szCs w:val="24"/>
              </w:rPr>
              <w:t xml:space="preserve">1.6   Begin implementing the coastal and marine ecosystem restoration plan.  </w:t>
            </w:r>
          </w:p>
          <w:p w14:paraId="1E810967" w14:textId="77777777" w:rsidR="00B574D9" w:rsidRPr="000C51B3" w:rsidRDefault="00B574D9" w:rsidP="009A2081">
            <w:pPr>
              <w:ind w:left="459" w:hanging="459"/>
              <w:rPr>
                <w:rFonts w:ascii="Calibri" w:hAnsi="Calibri" w:cs="Calibri"/>
                <w:b w:val="0"/>
                <w:bCs w:val="0"/>
                <w:szCs w:val="24"/>
              </w:rPr>
            </w:pPr>
            <w:r w:rsidRPr="000C51B3">
              <w:rPr>
                <w:rFonts w:ascii="Calibri" w:hAnsi="Calibri" w:cs="Calibri"/>
                <w:b w:val="0"/>
                <w:bCs w:val="0"/>
                <w:szCs w:val="24"/>
              </w:rPr>
              <w:t>3.2   Continue to support off-shore windfarm application processes.</w:t>
            </w:r>
          </w:p>
        </w:tc>
        <w:tc>
          <w:tcPr>
            <w:tcW w:w="2912" w:type="pct"/>
            <w:tcBorders>
              <w:right w:val="single" w:sz="4" w:space="0" w:color="BFBFBF" w:themeColor="background1" w:themeShade="BF"/>
            </w:tcBorders>
          </w:tcPr>
          <w:p w14:paraId="575283EA" w14:textId="6F61BD9E" w:rsidR="00B574D9" w:rsidRPr="000C51B3" w:rsidRDefault="00B574D9" w:rsidP="009A2081">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0C51B3">
              <w:rPr>
                <w:rFonts w:ascii="Calibri" w:hAnsi="Calibri" w:cs="Calibri"/>
                <w:szCs w:val="24"/>
              </w:rPr>
              <w:t>1.6   New Scottish Seabird Conservation Action Plan team have taken up post in NatureScot.  Governance arrangements and a Delivery Pathway developed.</w:t>
            </w:r>
          </w:p>
          <w:p w14:paraId="139B9D80" w14:textId="5DAD9E51" w:rsidR="00B574D9" w:rsidRPr="000C51B3" w:rsidRDefault="00B574D9" w:rsidP="009A2081">
            <w:pPr>
              <w:ind w:left="464" w:hanging="464"/>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0C51B3">
              <w:rPr>
                <w:rFonts w:ascii="Calibri" w:hAnsi="Calibri" w:cs="Calibri"/>
                <w:szCs w:val="24"/>
              </w:rPr>
              <w:t xml:space="preserve">3.2   Advised on Marram, Ayre Offshore wind and EMEC Tidal stream developments. Advised on </w:t>
            </w:r>
            <w:r w:rsidR="00A229D2" w:rsidRPr="000C51B3">
              <w:rPr>
                <w:rFonts w:ascii="Calibri" w:hAnsi="Calibri" w:cs="Calibri"/>
                <w:szCs w:val="24"/>
              </w:rPr>
              <w:t>three</w:t>
            </w:r>
            <w:r w:rsidRPr="000C51B3">
              <w:rPr>
                <w:rFonts w:ascii="Calibri" w:hAnsi="Calibri" w:cs="Calibri"/>
                <w:szCs w:val="24"/>
              </w:rPr>
              <w:t xml:space="preserve"> seabird compensation plans. Commented on Scottish Government Hab</w:t>
            </w:r>
            <w:r w:rsidR="007B6CBE" w:rsidRPr="000C51B3">
              <w:rPr>
                <w:rFonts w:ascii="Calibri" w:hAnsi="Calibri" w:cs="Calibri"/>
                <w:szCs w:val="24"/>
              </w:rPr>
              <w:t>itat</w:t>
            </w:r>
            <w:r w:rsidRPr="000C51B3">
              <w:rPr>
                <w:rFonts w:ascii="Calibri" w:hAnsi="Calibri" w:cs="Calibri"/>
                <w:szCs w:val="24"/>
              </w:rPr>
              <w:t xml:space="preserve"> Regs Appraisal reform draft guidance.</w:t>
            </w:r>
          </w:p>
        </w:tc>
      </w:tr>
    </w:tbl>
    <w:p w14:paraId="6DF4E86B" w14:textId="77777777" w:rsidR="002D1CC4" w:rsidRPr="000C51B3" w:rsidRDefault="002D1CC4">
      <w:pPr>
        <w:rPr>
          <w:rFonts w:ascii="Calibri" w:hAnsi="Calibri" w:cs="Calibri"/>
        </w:rPr>
      </w:pPr>
    </w:p>
    <w:tbl>
      <w:tblPr>
        <w:tblStyle w:val="TableGrid"/>
        <w:tblW w:w="5000" w:type="pct"/>
        <w:tblLook w:val="04A0" w:firstRow="1" w:lastRow="0" w:firstColumn="1" w:lastColumn="0" w:noHBand="0" w:noVBand="1"/>
      </w:tblPr>
      <w:tblGrid>
        <w:gridCol w:w="3482"/>
        <w:gridCol w:w="920"/>
        <w:gridCol w:w="900"/>
        <w:gridCol w:w="816"/>
        <w:gridCol w:w="7830"/>
      </w:tblGrid>
      <w:tr w:rsidR="00D50FBD" w:rsidRPr="000C51B3" w14:paraId="0836B485" w14:textId="77777777" w:rsidTr="00CE181B">
        <w:tc>
          <w:tcPr>
            <w:tcW w:w="1258" w:type="pct"/>
            <w:shd w:val="clear" w:color="auto" w:fill="DDD9C3" w:themeFill="background2" w:themeFillShade="E6"/>
          </w:tcPr>
          <w:p w14:paraId="4043365A" w14:textId="77777777" w:rsidR="00D50FBD" w:rsidRPr="000C51B3" w:rsidRDefault="00D50FBD" w:rsidP="00CE181B">
            <w:pPr>
              <w:rPr>
                <w:rFonts w:ascii="Calibri" w:hAnsi="Calibri" w:cs="Calibri"/>
                <w:b/>
                <w:bCs/>
              </w:rPr>
            </w:pPr>
            <w:r w:rsidRPr="000C51B3">
              <w:rPr>
                <w:rFonts w:ascii="Calibri" w:hAnsi="Calibri" w:cs="Calibri"/>
                <w:b/>
                <w:bCs/>
              </w:rPr>
              <w:t xml:space="preserve">Measure </w:t>
            </w:r>
          </w:p>
        </w:tc>
        <w:tc>
          <w:tcPr>
            <w:tcW w:w="339" w:type="pct"/>
            <w:shd w:val="clear" w:color="auto" w:fill="DDD9C3" w:themeFill="background2" w:themeFillShade="E6"/>
          </w:tcPr>
          <w:p w14:paraId="6D88F834" w14:textId="77777777" w:rsidR="00D50FBD" w:rsidRPr="000C51B3" w:rsidRDefault="00D50FBD" w:rsidP="00CE181B">
            <w:pPr>
              <w:rPr>
                <w:rFonts w:ascii="Calibri" w:hAnsi="Calibri" w:cs="Calibri"/>
                <w:b/>
                <w:bCs/>
              </w:rPr>
            </w:pPr>
            <w:r w:rsidRPr="000C51B3">
              <w:rPr>
                <w:rFonts w:ascii="Calibri" w:hAnsi="Calibri" w:cs="Calibri"/>
                <w:b/>
                <w:bCs/>
              </w:rPr>
              <w:t>Q3</w:t>
            </w:r>
          </w:p>
        </w:tc>
        <w:tc>
          <w:tcPr>
            <w:tcW w:w="332" w:type="pct"/>
            <w:shd w:val="clear" w:color="auto" w:fill="DDD9C3" w:themeFill="background2" w:themeFillShade="E6"/>
          </w:tcPr>
          <w:p w14:paraId="3AA6D71B" w14:textId="77777777" w:rsidR="00D50FBD" w:rsidRPr="000C51B3" w:rsidRDefault="00D50FBD" w:rsidP="00CE181B">
            <w:pPr>
              <w:rPr>
                <w:rFonts w:ascii="Calibri" w:hAnsi="Calibri" w:cs="Calibri"/>
                <w:b/>
                <w:bCs/>
              </w:rPr>
            </w:pPr>
            <w:r w:rsidRPr="000C51B3">
              <w:rPr>
                <w:rFonts w:ascii="Calibri" w:hAnsi="Calibri" w:cs="Calibri"/>
                <w:b/>
                <w:bCs/>
              </w:rPr>
              <w:t>Q4</w:t>
            </w:r>
          </w:p>
        </w:tc>
        <w:tc>
          <w:tcPr>
            <w:tcW w:w="255" w:type="pct"/>
            <w:shd w:val="clear" w:color="auto" w:fill="DDD9C3" w:themeFill="background2" w:themeFillShade="E6"/>
          </w:tcPr>
          <w:p w14:paraId="2D96F629" w14:textId="2DA27B49" w:rsidR="00D50FBD" w:rsidRPr="000C51B3" w:rsidRDefault="00D50FBD" w:rsidP="00CE181B">
            <w:pPr>
              <w:jc w:val="center"/>
              <w:rPr>
                <w:rFonts w:ascii="Calibri" w:hAnsi="Calibri" w:cs="Calibri"/>
                <w:b/>
                <w:bCs/>
              </w:rPr>
            </w:pPr>
            <w:r w:rsidRPr="000C51B3">
              <w:rPr>
                <w:rFonts w:ascii="Calibri" w:hAnsi="Calibri" w:cs="Calibri"/>
                <w:b/>
                <w:bCs/>
              </w:rPr>
              <w:t>RAG</w:t>
            </w:r>
          </w:p>
        </w:tc>
        <w:tc>
          <w:tcPr>
            <w:tcW w:w="2816" w:type="pct"/>
            <w:shd w:val="clear" w:color="auto" w:fill="DDD9C3" w:themeFill="background2" w:themeFillShade="E6"/>
          </w:tcPr>
          <w:p w14:paraId="136E4416" w14:textId="77777777" w:rsidR="00D50FBD" w:rsidRPr="000C51B3" w:rsidRDefault="00D50FBD" w:rsidP="00CE181B">
            <w:pPr>
              <w:rPr>
                <w:rFonts w:ascii="Calibri" w:hAnsi="Calibri" w:cs="Calibri"/>
                <w:b/>
                <w:bCs/>
              </w:rPr>
            </w:pPr>
            <w:r w:rsidRPr="000C51B3">
              <w:rPr>
                <w:rFonts w:ascii="Calibri" w:hAnsi="Calibri" w:cs="Calibri"/>
                <w:b/>
                <w:bCs/>
              </w:rPr>
              <w:t>Comment</w:t>
            </w:r>
          </w:p>
        </w:tc>
      </w:tr>
      <w:tr w:rsidR="00D50FBD" w:rsidRPr="000C51B3" w14:paraId="5A49FFB8" w14:textId="77777777" w:rsidTr="00D8498E">
        <w:tc>
          <w:tcPr>
            <w:tcW w:w="1258" w:type="pct"/>
          </w:tcPr>
          <w:p w14:paraId="0BA10864" w14:textId="6F55E99B" w:rsidR="00D50FBD" w:rsidRPr="000C51B3" w:rsidRDefault="00D50FBD" w:rsidP="00CE181B">
            <w:pPr>
              <w:rPr>
                <w:rFonts w:ascii="Calibri" w:hAnsi="Calibri" w:cs="Calibri"/>
              </w:rPr>
            </w:pPr>
            <w:r w:rsidRPr="000C51B3">
              <w:rPr>
                <w:rFonts w:ascii="Calibri" w:hAnsi="Calibri" w:cs="Calibri"/>
              </w:rPr>
              <w:t xml:space="preserve">Marine energy consultations </w:t>
            </w:r>
          </w:p>
        </w:tc>
        <w:tc>
          <w:tcPr>
            <w:tcW w:w="339" w:type="pct"/>
          </w:tcPr>
          <w:p w14:paraId="3BCB9E79" w14:textId="77777777" w:rsidR="00D50FBD" w:rsidRPr="000C51B3" w:rsidRDefault="00D50FBD" w:rsidP="00CE181B">
            <w:pPr>
              <w:rPr>
                <w:rFonts w:ascii="Calibri" w:hAnsi="Calibri" w:cs="Calibri"/>
              </w:rPr>
            </w:pPr>
            <w:r w:rsidRPr="000C51B3">
              <w:rPr>
                <w:rFonts w:ascii="Calibri" w:hAnsi="Calibri" w:cs="Calibri"/>
              </w:rPr>
              <w:t>90</w:t>
            </w:r>
          </w:p>
        </w:tc>
        <w:tc>
          <w:tcPr>
            <w:tcW w:w="332" w:type="pct"/>
          </w:tcPr>
          <w:p w14:paraId="0D8B6000" w14:textId="77777777" w:rsidR="00D50FBD" w:rsidRPr="000C51B3" w:rsidRDefault="00D50FBD" w:rsidP="00CE181B">
            <w:pPr>
              <w:rPr>
                <w:rFonts w:ascii="Calibri" w:hAnsi="Calibri" w:cs="Calibri"/>
              </w:rPr>
            </w:pPr>
            <w:r w:rsidRPr="000C51B3">
              <w:rPr>
                <w:rFonts w:ascii="Calibri" w:hAnsi="Calibri" w:cs="Calibri"/>
              </w:rPr>
              <w:t>80</w:t>
            </w:r>
          </w:p>
        </w:tc>
        <w:tc>
          <w:tcPr>
            <w:tcW w:w="255" w:type="pct"/>
            <w:shd w:val="clear" w:color="auto" w:fill="29B95C"/>
          </w:tcPr>
          <w:p w14:paraId="36EEA3E3" w14:textId="596C20D8" w:rsidR="00D50FBD" w:rsidRPr="000C51B3" w:rsidRDefault="00D8498E" w:rsidP="00CE181B">
            <w:pPr>
              <w:jc w:val="center"/>
              <w:rPr>
                <w:rFonts w:ascii="Calibri" w:hAnsi="Calibri" w:cs="Calibri"/>
                <w:color w:val="00B050"/>
              </w:rPr>
            </w:pPr>
            <w:r w:rsidRPr="000C51B3">
              <w:rPr>
                <w:rFonts w:ascii="Calibri" w:hAnsi="Calibri" w:cs="Calibri"/>
                <w:color w:val="000000" w:themeColor="text1"/>
              </w:rPr>
              <w:t>Green</w:t>
            </w:r>
          </w:p>
        </w:tc>
        <w:tc>
          <w:tcPr>
            <w:tcW w:w="2816" w:type="pct"/>
          </w:tcPr>
          <w:p w14:paraId="7C1204AB" w14:textId="77777777" w:rsidR="00D50FBD" w:rsidRPr="000C51B3" w:rsidRDefault="00D50FBD" w:rsidP="00CE181B">
            <w:pPr>
              <w:rPr>
                <w:rFonts w:ascii="Calibri" w:hAnsi="Calibri" w:cs="Calibri"/>
              </w:rPr>
            </w:pPr>
            <w:r w:rsidRPr="000C51B3">
              <w:rPr>
                <w:rFonts w:ascii="Calibri" w:hAnsi="Calibri" w:cs="Calibri"/>
              </w:rPr>
              <w:t>Four significant consultations noted plus further work on other large projects</w:t>
            </w:r>
          </w:p>
        </w:tc>
      </w:tr>
    </w:tbl>
    <w:p w14:paraId="7DEC1572" w14:textId="77777777" w:rsidR="002D1CC4" w:rsidRPr="000C51B3" w:rsidRDefault="002D1CC4">
      <w:pPr>
        <w:rPr>
          <w:rFonts w:ascii="Calibri" w:hAnsi="Calibri" w:cs="Calibri"/>
        </w:rPr>
      </w:pPr>
    </w:p>
    <w:tbl>
      <w:tblPr>
        <w:tblStyle w:val="PlainTable1"/>
        <w:tblW w:w="5000" w:type="pct"/>
        <w:tblLook w:val="04A0" w:firstRow="1" w:lastRow="0" w:firstColumn="1" w:lastColumn="0" w:noHBand="0" w:noVBand="1"/>
        <w:tblCaption w:val="90 Day plan for NatureScot Priorities"/>
        <w:tblDescription w:val="List of what we plan to achieve over the next 90 days against each of the NatureScot priorities "/>
      </w:tblPr>
      <w:tblGrid>
        <w:gridCol w:w="5825"/>
        <w:gridCol w:w="8123"/>
      </w:tblGrid>
      <w:tr w:rsidR="00B574D9" w:rsidRPr="000C51B3" w14:paraId="2882E7A9" w14:textId="77777777" w:rsidTr="00D465A8">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C000"/>
          </w:tcPr>
          <w:bookmarkEnd w:id="7"/>
          <w:bookmarkEnd w:id="8"/>
          <w:p w14:paraId="1B3056E9" w14:textId="77777777" w:rsidR="00B574D9" w:rsidRPr="000C51B3" w:rsidRDefault="00B574D9" w:rsidP="009A2081">
            <w:pPr>
              <w:rPr>
                <w:rFonts w:ascii="Calibri" w:hAnsi="Calibri" w:cs="Calibri"/>
                <w:szCs w:val="24"/>
              </w:rPr>
            </w:pPr>
            <w:r w:rsidRPr="000C51B3">
              <w:rPr>
                <w:rFonts w:ascii="Calibri" w:hAnsi="Calibri" w:cs="Calibri"/>
                <w:szCs w:val="24"/>
              </w:rPr>
              <w:t>Scale up Peatland Restoration by delivering Peatland ACTION funding to projects</w:t>
            </w:r>
          </w:p>
        </w:tc>
      </w:tr>
      <w:tr w:rsidR="00B574D9" w:rsidRPr="000C51B3" w14:paraId="3A28FF6F" w14:textId="77777777" w:rsidTr="00E3754C">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088" w:type="pct"/>
          </w:tcPr>
          <w:p w14:paraId="40FE0F05" w14:textId="77777777" w:rsidR="00B574D9" w:rsidRPr="000C51B3" w:rsidRDefault="00B574D9" w:rsidP="009A2081">
            <w:pPr>
              <w:ind w:left="447" w:hanging="447"/>
              <w:rPr>
                <w:rFonts w:ascii="Calibri" w:hAnsi="Calibri" w:cs="Calibri"/>
                <w:b w:val="0"/>
                <w:bCs w:val="0"/>
                <w:szCs w:val="24"/>
              </w:rPr>
            </w:pPr>
            <w:bookmarkStart w:id="9" w:name="_Hlk161416668"/>
            <w:r w:rsidRPr="000C51B3">
              <w:rPr>
                <w:rFonts w:ascii="Calibri" w:hAnsi="Calibri" w:cs="Calibri"/>
                <w:b w:val="0"/>
                <w:bCs w:val="0"/>
                <w:szCs w:val="24"/>
              </w:rPr>
              <w:t xml:space="preserve">1.1   Demonstrate/evidence the multiple benefits of restoration to facilitate integration of peatland ambitions into land use plans and operations.   </w:t>
            </w:r>
          </w:p>
        </w:tc>
        <w:tc>
          <w:tcPr>
            <w:tcW w:w="2912" w:type="pct"/>
          </w:tcPr>
          <w:p w14:paraId="60E40D0B" w14:textId="20C88D0B" w:rsidR="00B529B0" w:rsidRPr="000C51B3" w:rsidRDefault="00B574D9" w:rsidP="00707711">
            <w:pPr>
              <w:ind w:left="482" w:hanging="482"/>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bookmarkStart w:id="10" w:name="_Hlk201150469"/>
            <w:r w:rsidRPr="000C51B3">
              <w:rPr>
                <w:rFonts w:ascii="Calibri" w:hAnsi="Calibri" w:cs="Calibri"/>
                <w:szCs w:val="24"/>
              </w:rPr>
              <w:t xml:space="preserve">1.1  </w:t>
            </w:r>
            <w:bookmarkEnd w:id="10"/>
            <w:r w:rsidR="00B529B0" w:rsidRPr="000C51B3">
              <w:rPr>
                <w:rFonts w:ascii="Calibri" w:hAnsi="Calibri" w:cs="Calibri"/>
                <w:sz w:val="22"/>
                <w14:ligatures w14:val="standardContextual"/>
              </w:rPr>
              <w:t xml:space="preserve"> </w:t>
            </w:r>
            <w:r w:rsidR="00D465A8" w:rsidRPr="000C51B3">
              <w:rPr>
                <w:rFonts w:ascii="Calibri" w:hAnsi="Calibri" w:cs="Calibri"/>
                <w:szCs w:val="24"/>
              </w:rPr>
              <w:t xml:space="preserve">On track to deliver </w:t>
            </w:r>
            <w:r w:rsidR="00BD7D6A" w:rsidRPr="000C51B3">
              <w:rPr>
                <w:rFonts w:ascii="Calibri" w:hAnsi="Calibri" w:cs="Calibri"/>
                <w:szCs w:val="24"/>
              </w:rPr>
              <w:t xml:space="preserve">just over </w:t>
            </w:r>
            <w:r w:rsidR="00D465A8" w:rsidRPr="000C51B3">
              <w:rPr>
                <w:rFonts w:ascii="Calibri" w:hAnsi="Calibri" w:cs="Calibri"/>
                <w:szCs w:val="24"/>
              </w:rPr>
              <w:t>1</w:t>
            </w:r>
            <w:r w:rsidR="00BD7D6A" w:rsidRPr="000C51B3">
              <w:rPr>
                <w:rFonts w:ascii="Calibri" w:hAnsi="Calibri" w:cs="Calibri"/>
                <w:szCs w:val="24"/>
              </w:rPr>
              <w:t>0</w:t>
            </w:r>
            <w:r w:rsidR="00D465A8" w:rsidRPr="000C51B3">
              <w:rPr>
                <w:rFonts w:ascii="Calibri" w:hAnsi="Calibri" w:cs="Calibri"/>
                <w:szCs w:val="24"/>
              </w:rPr>
              <w:t>,000ha of peatland, short of our stretch target to deliver 12,000ha</w:t>
            </w:r>
          </w:p>
          <w:p w14:paraId="6D92F760" w14:textId="27D54CEB" w:rsidR="00B574D9" w:rsidRPr="000C51B3" w:rsidRDefault="00B574D9" w:rsidP="009A2081">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14:paraId="3CFE6911" w14:textId="77777777" w:rsidR="00D8498E" w:rsidRPr="000C51B3" w:rsidRDefault="00D8498E">
      <w:pPr>
        <w:rPr>
          <w:rFonts w:ascii="Calibri" w:hAnsi="Calibri" w:cs="Calibri"/>
        </w:rPr>
      </w:pPr>
    </w:p>
    <w:p w14:paraId="25401C9B" w14:textId="77777777" w:rsidR="00D8498E" w:rsidRPr="000C51B3" w:rsidRDefault="00D8498E">
      <w:pPr>
        <w:rPr>
          <w:rFonts w:ascii="Calibri" w:hAnsi="Calibri" w:cs="Calibri"/>
        </w:rPr>
      </w:pPr>
    </w:p>
    <w:p w14:paraId="759B5BD0" w14:textId="77777777" w:rsidR="00D8498E" w:rsidRPr="000C51B3" w:rsidRDefault="00D8498E">
      <w:pPr>
        <w:rPr>
          <w:rFonts w:ascii="Calibri" w:hAnsi="Calibri" w:cs="Calibri"/>
        </w:rPr>
      </w:pPr>
    </w:p>
    <w:p w14:paraId="05F9323B" w14:textId="77777777" w:rsidR="00D8498E" w:rsidRPr="000C51B3" w:rsidRDefault="00D8498E">
      <w:pPr>
        <w:rPr>
          <w:rFonts w:ascii="Calibri" w:hAnsi="Calibri" w:cs="Calibri"/>
        </w:rPr>
      </w:pPr>
    </w:p>
    <w:tbl>
      <w:tblPr>
        <w:tblStyle w:val="PlainTable1"/>
        <w:tblW w:w="5000" w:type="pct"/>
        <w:tblLook w:val="04A0" w:firstRow="1" w:lastRow="0" w:firstColumn="1" w:lastColumn="0" w:noHBand="0" w:noVBand="1"/>
        <w:tblCaption w:val="90 Day plan for NatureScot Priorities"/>
        <w:tblDescription w:val="List of what we plan to achieve over the next 90 days against each of the NatureScot priorities "/>
      </w:tblPr>
      <w:tblGrid>
        <w:gridCol w:w="5825"/>
        <w:gridCol w:w="8123"/>
      </w:tblGrid>
      <w:tr w:rsidR="00B574D9" w:rsidRPr="000C51B3" w14:paraId="01C4810B" w14:textId="77777777" w:rsidTr="00E3754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D050"/>
          </w:tcPr>
          <w:bookmarkEnd w:id="9"/>
          <w:p w14:paraId="51DC0BFB" w14:textId="77777777" w:rsidR="00B574D9" w:rsidRPr="000C51B3" w:rsidRDefault="00B574D9" w:rsidP="009A2081">
            <w:pPr>
              <w:pStyle w:val="ListParagraph"/>
              <w:ind w:left="0" w:firstLine="22"/>
              <w:rPr>
                <w:rFonts w:ascii="Calibri" w:hAnsi="Calibri" w:cs="Calibri"/>
                <w:szCs w:val="24"/>
              </w:rPr>
            </w:pPr>
            <w:r w:rsidRPr="000C51B3">
              <w:rPr>
                <w:rFonts w:ascii="Calibri" w:hAnsi="Calibri" w:cs="Calibri"/>
                <w:szCs w:val="24"/>
              </w:rPr>
              <w:lastRenderedPageBreak/>
              <w:t>Demonstrate how agriculture can be transformed with new approaches to deliver targeted outcomes for nature and climate</w:t>
            </w:r>
          </w:p>
        </w:tc>
      </w:tr>
      <w:tr w:rsidR="00B574D9" w:rsidRPr="000C51B3" w14:paraId="4EFA5EE9" w14:textId="77777777" w:rsidTr="00E3754C">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088" w:type="pct"/>
          </w:tcPr>
          <w:p w14:paraId="6A9722D7" w14:textId="77777777" w:rsidR="00B574D9" w:rsidRPr="000C51B3" w:rsidRDefault="00B574D9" w:rsidP="009A2081">
            <w:pPr>
              <w:ind w:left="448" w:hanging="448"/>
              <w:rPr>
                <w:rFonts w:ascii="Calibri" w:hAnsi="Calibri" w:cs="Calibri"/>
                <w:b w:val="0"/>
                <w:bCs w:val="0"/>
                <w:szCs w:val="24"/>
              </w:rPr>
            </w:pPr>
            <w:r w:rsidRPr="000C51B3">
              <w:rPr>
                <w:rFonts w:ascii="Calibri" w:hAnsi="Calibri" w:cs="Calibri"/>
                <w:b w:val="0"/>
                <w:bCs w:val="0"/>
                <w:szCs w:val="24"/>
              </w:rPr>
              <w:t>1.2   Issue contracts to successful 2025 scheme applicants.</w:t>
            </w:r>
          </w:p>
          <w:p w14:paraId="43207384" w14:textId="77777777" w:rsidR="00B574D9" w:rsidRPr="000C51B3" w:rsidRDefault="00B574D9" w:rsidP="009A2081">
            <w:pPr>
              <w:ind w:left="452" w:hanging="452"/>
              <w:rPr>
                <w:rFonts w:ascii="Calibri" w:hAnsi="Calibri" w:cs="Calibri"/>
                <w:szCs w:val="24"/>
              </w:rPr>
            </w:pPr>
            <w:r w:rsidRPr="000C51B3">
              <w:rPr>
                <w:rFonts w:ascii="Calibri" w:hAnsi="Calibri" w:cs="Calibri"/>
                <w:b w:val="0"/>
                <w:bCs w:val="0"/>
                <w:szCs w:val="24"/>
              </w:rPr>
              <w:t>1.3   Farmers and crofters continuing on their transformation towards practising sustainable farming and regenerative agriculture.</w:t>
            </w:r>
          </w:p>
          <w:p w14:paraId="4EFC5E87" w14:textId="77777777" w:rsidR="00B574D9" w:rsidRPr="000C51B3" w:rsidRDefault="00B574D9" w:rsidP="009A2081">
            <w:pPr>
              <w:ind w:left="452" w:hanging="452"/>
              <w:rPr>
                <w:rFonts w:ascii="Calibri" w:hAnsi="Calibri" w:cs="Calibri"/>
                <w:b w:val="0"/>
                <w:bCs w:val="0"/>
                <w:szCs w:val="24"/>
              </w:rPr>
            </w:pPr>
            <w:r w:rsidRPr="000C51B3">
              <w:rPr>
                <w:rFonts w:ascii="Calibri" w:hAnsi="Calibri" w:cs="Calibri"/>
                <w:b w:val="0"/>
                <w:bCs w:val="0"/>
                <w:szCs w:val="24"/>
              </w:rPr>
              <w:t>1.4   Update tools released to users ahead of Single Application Form (SAF) date in 2026.</w:t>
            </w:r>
          </w:p>
          <w:p w14:paraId="42C33723" w14:textId="77777777" w:rsidR="00B574D9" w:rsidRPr="000C51B3" w:rsidRDefault="00B574D9" w:rsidP="009A2081">
            <w:pPr>
              <w:ind w:left="452" w:hanging="452"/>
              <w:rPr>
                <w:rFonts w:ascii="Calibri" w:hAnsi="Calibri" w:cs="Calibri"/>
                <w:b w:val="0"/>
                <w:bCs w:val="0"/>
                <w:szCs w:val="24"/>
              </w:rPr>
            </w:pPr>
            <w:r w:rsidRPr="000C51B3">
              <w:rPr>
                <w:rFonts w:ascii="Calibri" w:hAnsi="Calibri" w:cs="Calibri"/>
                <w:b w:val="0"/>
                <w:bCs w:val="0"/>
                <w:szCs w:val="24"/>
              </w:rPr>
              <w:t xml:space="preserve">         Support users ahead of SAF date of 15 May.</w:t>
            </w:r>
          </w:p>
        </w:tc>
        <w:tc>
          <w:tcPr>
            <w:tcW w:w="2912" w:type="pct"/>
          </w:tcPr>
          <w:p w14:paraId="5627083D" w14:textId="27C13685" w:rsidR="00B574D9" w:rsidRPr="000C51B3" w:rsidRDefault="00B574D9" w:rsidP="009A2081">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0C51B3">
              <w:rPr>
                <w:rFonts w:ascii="Calibri" w:hAnsi="Calibri" w:cs="Calibri"/>
                <w:szCs w:val="24"/>
              </w:rPr>
              <w:t xml:space="preserve">1.2  </w:t>
            </w:r>
            <w:r w:rsidR="00865AD4" w:rsidRPr="000C51B3">
              <w:rPr>
                <w:rFonts w:ascii="Calibri" w:hAnsi="Calibri" w:cs="Calibri"/>
                <w:szCs w:val="24"/>
              </w:rPr>
              <w:t xml:space="preserve"> </w:t>
            </w:r>
            <w:r w:rsidR="00A8652D" w:rsidRPr="000C51B3">
              <w:rPr>
                <w:rFonts w:ascii="Calibri" w:hAnsi="Calibri" w:cs="Calibri"/>
                <w:szCs w:val="24"/>
              </w:rPr>
              <w:t xml:space="preserve">AECS contracts </w:t>
            </w:r>
            <w:r w:rsidR="00707711" w:rsidRPr="000C51B3">
              <w:rPr>
                <w:rFonts w:ascii="Calibri" w:hAnsi="Calibri" w:cs="Calibri"/>
                <w:szCs w:val="24"/>
              </w:rPr>
              <w:t xml:space="preserve">for 2025 </w:t>
            </w:r>
            <w:r w:rsidRPr="000C51B3">
              <w:rPr>
                <w:rFonts w:ascii="Calibri" w:hAnsi="Calibri" w:cs="Calibri"/>
                <w:szCs w:val="24"/>
              </w:rPr>
              <w:t>successful</w:t>
            </w:r>
            <w:r w:rsidR="00A8652D" w:rsidRPr="000C51B3">
              <w:rPr>
                <w:rFonts w:ascii="Calibri" w:hAnsi="Calibri" w:cs="Calibri"/>
                <w:szCs w:val="24"/>
              </w:rPr>
              <w:t>ly delivered.</w:t>
            </w:r>
          </w:p>
          <w:p w14:paraId="711CC2FF" w14:textId="77777777" w:rsidR="00BA09FE" w:rsidRPr="000C51B3" w:rsidRDefault="00BA09FE" w:rsidP="009A2081">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p>
          <w:p w14:paraId="255C47E1" w14:textId="5DC50A75" w:rsidR="00B574D9" w:rsidRPr="000C51B3" w:rsidRDefault="00B574D9" w:rsidP="00095438">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0C51B3">
              <w:rPr>
                <w:rFonts w:ascii="Calibri" w:hAnsi="Calibri" w:cs="Calibri"/>
                <w:szCs w:val="24"/>
              </w:rPr>
              <w:t>1.3   Over 1</w:t>
            </w:r>
            <w:r w:rsidR="00865AD4" w:rsidRPr="000C51B3">
              <w:rPr>
                <w:rFonts w:ascii="Calibri" w:hAnsi="Calibri" w:cs="Calibri"/>
                <w:szCs w:val="24"/>
              </w:rPr>
              <w:t>,</w:t>
            </w:r>
            <w:r w:rsidRPr="000C51B3">
              <w:rPr>
                <w:rFonts w:ascii="Calibri" w:hAnsi="Calibri" w:cs="Calibri"/>
                <w:szCs w:val="24"/>
              </w:rPr>
              <w:t xml:space="preserve">000 farmers and crofters engaged in the FBS tool.  Revised guidance on AECS issued.  Input to SG’s code of sustainable and regenerative agriculture now published. </w:t>
            </w:r>
          </w:p>
          <w:p w14:paraId="603E3EC1" w14:textId="77777777" w:rsidR="00B574D9" w:rsidRPr="000C51B3" w:rsidRDefault="00B574D9" w:rsidP="009A2081">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0C51B3">
              <w:rPr>
                <w:rFonts w:ascii="Calibri" w:hAnsi="Calibri" w:cs="Calibri"/>
                <w:szCs w:val="24"/>
              </w:rPr>
              <w:t xml:space="preserve">1.4   FarmBioScot tool mapping functionality revised based on user feedback.  </w:t>
            </w:r>
          </w:p>
        </w:tc>
      </w:tr>
      <w:tr w:rsidR="00B574D9" w:rsidRPr="000C51B3" w14:paraId="0D0FF9CB" w14:textId="77777777" w:rsidTr="00E3754C">
        <w:trPr>
          <w:trHeight w:val="57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C000"/>
          </w:tcPr>
          <w:p w14:paraId="7617E097" w14:textId="77777777" w:rsidR="00B574D9" w:rsidRPr="000C51B3" w:rsidRDefault="00B574D9" w:rsidP="009A2081">
            <w:pPr>
              <w:rPr>
                <w:rFonts w:ascii="Calibri" w:hAnsi="Calibri" w:cs="Calibri"/>
                <w:szCs w:val="24"/>
              </w:rPr>
            </w:pPr>
            <w:r w:rsidRPr="000C51B3">
              <w:rPr>
                <w:rFonts w:ascii="Calibri" w:hAnsi="Calibri" w:cs="Calibri"/>
                <w:szCs w:val="24"/>
              </w:rPr>
              <w:t>Influence the regulatory, policy, market and institutional infrastructure needed to stimulate private sector investment into nature</w:t>
            </w:r>
          </w:p>
        </w:tc>
      </w:tr>
      <w:tr w:rsidR="00B574D9" w:rsidRPr="000C51B3" w14:paraId="30235E51" w14:textId="77777777" w:rsidTr="00E3754C">
        <w:trPr>
          <w:cnfStyle w:val="000000100000" w:firstRow="0" w:lastRow="0" w:firstColumn="0" w:lastColumn="0" w:oddVBand="0" w:evenVBand="0" w:oddHBand="1" w:evenHBand="0" w:firstRowFirstColumn="0" w:firstRowLastColumn="0" w:lastRowFirstColumn="0" w:lastRowLastColumn="0"/>
          <w:trHeight w:val="1541"/>
        </w:trPr>
        <w:tc>
          <w:tcPr>
            <w:cnfStyle w:val="001000000000" w:firstRow="0" w:lastRow="0" w:firstColumn="1" w:lastColumn="0" w:oddVBand="0" w:evenVBand="0" w:oddHBand="0" w:evenHBand="0" w:firstRowFirstColumn="0" w:firstRowLastColumn="0" w:lastRowFirstColumn="0" w:lastRowLastColumn="0"/>
            <w:tcW w:w="2088" w:type="pct"/>
          </w:tcPr>
          <w:p w14:paraId="38EE9AD1" w14:textId="47638607" w:rsidR="00B574D9" w:rsidRPr="000C51B3" w:rsidRDefault="00B574D9" w:rsidP="009A2081">
            <w:pPr>
              <w:ind w:left="487" w:hanging="487"/>
              <w:rPr>
                <w:rFonts w:ascii="Calibri" w:hAnsi="Calibri" w:cs="Calibri"/>
                <w:szCs w:val="24"/>
              </w:rPr>
            </w:pPr>
            <w:r w:rsidRPr="000C51B3">
              <w:rPr>
                <w:rFonts w:ascii="Calibri" w:hAnsi="Calibri" w:cs="Calibri"/>
                <w:b w:val="0"/>
                <w:bCs w:val="0"/>
                <w:szCs w:val="24"/>
              </w:rPr>
              <w:t>3.4   Review success</w:t>
            </w:r>
            <w:r w:rsidR="00A229D2" w:rsidRPr="000C51B3">
              <w:rPr>
                <w:rFonts w:ascii="Calibri" w:hAnsi="Calibri" w:cs="Calibri"/>
                <w:b w:val="0"/>
                <w:bCs w:val="0"/>
                <w:szCs w:val="24"/>
              </w:rPr>
              <w:t>,</w:t>
            </w:r>
            <w:r w:rsidRPr="000C51B3">
              <w:rPr>
                <w:rFonts w:ascii="Calibri" w:hAnsi="Calibri" w:cs="Calibri"/>
                <w:b w:val="0"/>
                <w:bCs w:val="0"/>
                <w:szCs w:val="24"/>
              </w:rPr>
              <w:t xml:space="preserve"> uptake and evaluate the applicability of the approach.</w:t>
            </w:r>
          </w:p>
          <w:p w14:paraId="75F55D8D" w14:textId="77777777" w:rsidR="00707711" w:rsidRPr="000C51B3" w:rsidRDefault="00707711" w:rsidP="009A2081">
            <w:pPr>
              <w:ind w:left="487" w:hanging="487"/>
              <w:rPr>
                <w:rFonts w:ascii="Calibri" w:hAnsi="Calibri" w:cs="Calibri"/>
                <w:szCs w:val="24"/>
              </w:rPr>
            </w:pPr>
          </w:p>
          <w:p w14:paraId="2B6AE3EF" w14:textId="77777777" w:rsidR="00707711" w:rsidRPr="000C51B3" w:rsidRDefault="00707711" w:rsidP="009A2081">
            <w:pPr>
              <w:ind w:left="487" w:hanging="487"/>
              <w:rPr>
                <w:rFonts w:ascii="Calibri" w:hAnsi="Calibri" w:cs="Calibri"/>
                <w:b w:val="0"/>
                <w:bCs w:val="0"/>
                <w:szCs w:val="24"/>
              </w:rPr>
            </w:pPr>
          </w:p>
          <w:p w14:paraId="788D8793" w14:textId="77777777" w:rsidR="00BA09FE" w:rsidRPr="000C51B3" w:rsidRDefault="00BA09FE" w:rsidP="009A2081">
            <w:pPr>
              <w:ind w:left="487" w:hanging="487"/>
              <w:rPr>
                <w:rFonts w:ascii="Calibri" w:hAnsi="Calibri" w:cs="Calibri"/>
                <w:szCs w:val="24"/>
              </w:rPr>
            </w:pPr>
          </w:p>
          <w:p w14:paraId="4FD93A8E" w14:textId="27DD129B" w:rsidR="00B574D9" w:rsidRPr="000C51B3" w:rsidRDefault="00707711" w:rsidP="00707711">
            <w:pPr>
              <w:ind w:left="487" w:hanging="487"/>
              <w:rPr>
                <w:rFonts w:ascii="Calibri" w:hAnsi="Calibri" w:cs="Calibri"/>
                <w:szCs w:val="24"/>
              </w:rPr>
            </w:pPr>
            <w:r w:rsidRPr="000C51B3">
              <w:rPr>
                <w:rFonts w:ascii="Calibri" w:hAnsi="Calibri" w:cs="Calibri"/>
                <w:b w:val="0"/>
                <w:bCs w:val="0"/>
                <w:szCs w:val="24"/>
              </w:rPr>
              <w:t>3</w:t>
            </w:r>
            <w:r w:rsidR="00B574D9" w:rsidRPr="000C51B3">
              <w:rPr>
                <w:rFonts w:ascii="Calibri" w:hAnsi="Calibri" w:cs="Calibri"/>
                <w:b w:val="0"/>
                <w:bCs w:val="0"/>
                <w:szCs w:val="24"/>
              </w:rPr>
              <w:t>.5   Agree a list of six exemplar landscape scale nature restoration projects</w:t>
            </w:r>
            <w:r w:rsidRPr="000C51B3">
              <w:rPr>
                <w:rFonts w:ascii="Calibri" w:hAnsi="Calibri" w:cs="Calibri"/>
                <w:b w:val="0"/>
                <w:bCs w:val="0"/>
                <w:szCs w:val="24"/>
              </w:rPr>
              <w:t>.</w:t>
            </w:r>
            <w:r w:rsidR="00B574D9" w:rsidRPr="000C51B3">
              <w:rPr>
                <w:rFonts w:ascii="Calibri" w:hAnsi="Calibri" w:cs="Calibri"/>
                <w:b w:val="0"/>
                <w:bCs w:val="0"/>
                <w:szCs w:val="24"/>
              </w:rPr>
              <w:t xml:space="preserve"> Pay grant claims and transfer knowledge and experience gained through the publication of outcomes.</w:t>
            </w:r>
          </w:p>
        </w:tc>
        <w:tc>
          <w:tcPr>
            <w:tcW w:w="2912" w:type="pct"/>
          </w:tcPr>
          <w:p w14:paraId="5BA848B4" w14:textId="691FE0DC" w:rsidR="00B574D9" w:rsidRPr="000C51B3" w:rsidRDefault="00B574D9" w:rsidP="009A2081">
            <w:pPr>
              <w:ind w:left="464" w:hanging="464"/>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0C51B3">
              <w:rPr>
                <w:rFonts w:ascii="Calibri" w:hAnsi="Calibri" w:cs="Calibri"/>
                <w:szCs w:val="24"/>
              </w:rPr>
              <w:t>3.4   FIRNS evaluation repor</w:t>
            </w:r>
            <w:r w:rsidR="00095438" w:rsidRPr="000C51B3">
              <w:rPr>
                <w:rFonts w:ascii="Calibri" w:hAnsi="Calibri" w:cs="Calibri"/>
                <w:szCs w:val="24"/>
              </w:rPr>
              <w:t xml:space="preserve">t </w:t>
            </w:r>
            <w:r w:rsidRPr="000C51B3">
              <w:rPr>
                <w:rFonts w:ascii="Calibri" w:hAnsi="Calibri" w:cs="Calibri"/>
                <w:szCs w:val="24"/>
              </w:rPr>
              <w:t>– final draft under review. Carbon Contract Pilot review underway. Nature Finance into Action event in collaboration with the S</w:t>
            </w:r>
            <w:r w:rsidR="00095438" w:rsidRPr="000C51B3">
              <w:rPr>
                <w:rFonts w:ascii="Calibri" w:hAnsi="Calibri" w:cs="Calibri"/>
                <w:szCs w:val="24"/>
              </w:rPr>
              <w:t xml:space="preserve">cottish </w:t>
            </w:r>
            <w:r w:rsidRPr="000C51B3">
              <w:rPr>
                <w:rFonts w:ascii="Calibri" w:hAnsi="Calibri" w:cs="Calibri"/>
                <w:szCs w:val="24"/>
              </w:rPr>
              <w:t>F</w:t>
            </w:r>
            <w:r w:rsidR="00095438" w:rsidRPr="000C51B3">
              <w:rPr>
                <w:rFonts w:ascii="Calibri" w:hAnsi="Calibri" w:cs="Calibri"/>
                <w:szCs w:val="24"/>
              </w:rPr>
              <w:t xml:space="preserve">orum on </w:t>
            </w:r>
            <w:r w:rsidRPr="000C51B3">
              <w:rPr>
                <w:rFonts w:ascii="Calibri" w:hAnsi="Calibri" w:cs="Calibri"/>
                <w:szCs w:val="24"/>
              </w:rPr>
              <w:t>N</w:t>
            </w:r>
            <w:r w:rsidR="00095438" w:rsidRPr="000C51B3">
              <w:rPr>
                <w:rFonts w:ascii="Calibri" w:hAnsi="Calibri" w:cs="Calibri"/>
                <w:szCs w:val="24"/>
              </w:rPr>
              <w:t>atural Capital (SFNC)</w:t>
            </w:r>
            <w:r w:rsidRPr="000C51B3">
              <w:rPr>
                <w:rFonts w:ascii="Calibri" w:hAnsi="Calibri" w:cs="Calibri"/>
                <w:szCs w:val="24"/>
              </w:rPr>
              <w:t xml:space="preserve"> showed support and promising results. KPI list for Nature Finance projects established to help pilot projects. </w:t>
            </w:r>
          </w:p>
          <w:p w14:paraId="504CDF67" w14:textId="33950EDA" w:rsidR="00B574D9" w:rsidRPr="000C51B3" w:rsidRDefault="00B574D9" w:rsidP="00865AD4">
            <w:pPr>
              <w:ind w:left="464" w:hanging="464"/>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0C51B3">
              <w:rPr>
                <w:rFonts w:ascii="Calibri" w:hAnsi="Calibri" w:cs="Calibri"/>
                <w:szCs w:val="24"/>
              </w:rPr>
              <w:t xml:space="preserve">3.5   Cabinet Secretary approved nine </w:t>
            </w:r>
            <w:r w:rsidR="00095438" w:rsidRPr="000C51B3">
              <w:rPr>
                <w:rFonts w:ascii="Calibri" w:hAnsi="Calibri" w:cs="Calibri"/>
                <w:szCs w:val="24"/>
              </w:rPr>
              <w:t xml:space="preserve">landscape scale </w:t>
            </w:r>
            <w:r w:rsidRPr="000C51B3">
              <w:rPr>
                <w:rFonts w:ascii="Calibri" w:hAnsi="Calibri" w:cs="Calibri"/>
                <w:szCs w:val="24"/>
              </w:rPr>
              <w:t>projects. Exemplar projects were informed. Aim to undertake community consultation by end Q3 2026/27</w:t>
            </w:r>
            <w:r w:rsidR="00865AD4" w:rsidRPr="000C51B3">
              <w:rPr>
                <w:rFonts w:ascii="Calibri" w:hAnsi="Calibri" w:cs="Calibri"/>
                <w:szCs w:val="24"/>
              </w:rPr>
              <w:t xml:space="preserve">. </w:t>
            </w:r>
            <w:r w:rsidRPr="000C51B3">
              <w:rPr>
                <w:rFonts w:ascii="Calibri" w:hAnsi="Calibri" w:cs="Calibri"/>
                <w:szCs w:val="24"/>
              </w:rPr>
              <w:t>Plans to work on a resource page on the Nature Finance Exchange platform, combine with FIRNS Co</w:t>
            </w:r>
            <w:r w:rsidR="00095438" w:rsidRPr="000C51B3">
              <w:rPr>
                <w:rFonts w:ascii="Calibri" w:hAnsi="Calibri" w:cs="Calibri"/>
                <w:szCs w:val="24"/>
              </w:rPr>
              <w:t xml:space="preserve">mmunity of </w:t>
            </w:r>
            <w:r w:rsidRPr="000C51B3">
              <w:rPr>
                <w:rFonts w:ascii="Calibri" w:hAnsi="Calibri" w:cs="Calibri"/>
                <w:szCs w:val="24"/>
              </w:rPr>
              <w:t>P</w:t>
            </w:r>
            <w:r w:rsidR="00095438" w:rsidRPr="000C51B3">
              <w:rPr>
                <w:rFonts w:ascii="Calibri" w:hAnsi="Calibri" w:cs="Calibri"/>
                <w:szCs w:val="24"/>
              </w:rPr>
              <w:t>ractice</w:t>
            </w:r>
            <w:r w:rsidRPr="000C51B3">
              <w:rPr>
                <w:rFonts w:ascii="Calibri" w:hAnsi="Calibri" w:cs="Calibri"/>
                <w:szCs w:val="24"/>
              </w:rPr>
              <w:t xml:space="preserve"> and join up with the SFNC or E</w:t>
            </w:r>
            <w:r w:rsidR="00DA7159" w:rsidRPr="000C51B3">
              <w:rPr>
                <w:rFonts w:ascii="Calibri" w:hAnsi="Calibri" w:cs="Calibri"/>
                <w:szCs w:val="24"/>
              </w:rPr>
              <w:t xml:space="preserve">cosystems </w:t>
            </w:r>
            <w:r w:rsidRPr="000C51B3">
              <w:rPr>
                <w:rFonts w:ascii="Calibri" w:hAnsi="Calibri" w:cs="Calibri"/>
                <w:szCs w:val="24"/>
              </w:rPr>
              <w:t>K</w:t>
            </w:r>
            <w:r w:rsidR="00DA7159" w:rsidRPr="000C51B3">
              <w:rPr>
                <w:rFonts w:ascii="Calibri" w:hAnsi="Calibri" w:cs="Calibri"/>
                <w:szCs w:val="24"/>
              </w:rPr>
              <w:t xml:space="preserve">nowledge </w:t>
            </w:r>
            <w:r w:rsidRPr="000C51B3">
              <w:rPr>
                <w:rFonts w:ascii="Calibri" w:hAnsi="Calibri" w:cs="Calibri"/>
                <w:szCs w:val="24"/>
              </w:rPr>
              <w:t>N</w:t>
            </w:r>
            <w:r w:rsidR="00DA7159" w:rsidRPr="000C51B3">
              <w:rPr>
                <w:rFonts w:ascii="Calibri" w:hAnsi="Calibri" w:cs="Calibri"/>
                <w:szCs w:val="24"/>
              </w:rPr>
              <w:t>etwork</w:t>
            </w:r>
            <w:r w:rsidRPr="000C51B3">
              <w:rPr>
                <w:rFonts w:ascii="Calibri" w:hAnsi="Calibri" w:cs="Calibri"/>
                <w:szCs w:val="24"/>
              </w:rPr>
              <w:t xml:space="preserve">. </w:t>
            </w:r>
          </w:p>
        </w:tc>
      </w:tr>
      <w:tr w:rsidR="00B574D9" w:rsidRPr="000C51B3" w14:paraId="305FD658" w14:textId="77777777" w:rsidTr="00E3754C">
        <w:trPr>
          <w:trHeight w:val="553"/>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D050"/>
          </w:tcPr>
          <w:p w14:paraId="57E6127B" w14:textId="77777777" w:rsidR="00B574D9" w:rsidRPr="000C51B3" w:rsidRDefault="00B574D9" w:rsidP="009A2081">
            <w:pPr>
              <w:rPr>
                <w:rFonts w:ascii="Calibri" w:hAnsi="Calibri" w:cs="Calibri"/>
                <w:szCs w:val="24"/>
              </w:rPr>
            </w:pPr>
            <w:r w:rsidRPr="000C51B3">
              <w:rPr>
                <w:rFonts w:ascii="Calibri" w:hAnsi="Calibri" w:cs="Calibri"/>
                <w:szCs w:val="24"/>
              </w:rPr>
              <w:t>Drive the establishment of Natural Capital as an integral part of public and private business planning and investment decisions at national, landscape and landholding/business scales</w:t>
            </w:r>
          </w:p>
        </w:tc>
      </w:tr>
      <w:tr w:rsidR="00B574D9" w:rsidRPr="000C51B3" w14:paraId="79070275" w14:textId="77777777" w:rsidTr="00E3754C">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2088" w:type="pct"/>
          </w:tcPr>
          <w:p w14:paraId="377EDE82" w14:textId="50E3FAC3" w:rsidR="00B574D9" w:rsidRPr="000C51B3" w:rsidRDefault="00B574D9" w:rsidP="009A2081">
            <w:pPr>
              <w:ind w:left="459" w:hanging="459"/>
              <w:rPr>
                <w:rFonts w:ascii="Calibri" w:hAnsi="Calibri" w:cs="Calibri"/>
                <w:b w:val="0"/>
                <w:bCs w:val="0"/>
                <w:szCs w:val="24"/>
              </w:rPr>
            </w:pPr>
            <w:r w:rsidRPr="000C51B3">
              <w:rPr>
                <w:rFonts w:ascii="Calibri" w:hAnsi="Calibri" w:cs="Calibri"/>
                <w:b w:val="0"/>
                <w:bCs w:val="0"/>
                <w:szCs w:val="24"/>
              </w:rPr>
              <w:t>1.5   Release updated version of Natural Capital Tool incorporating changes following further piloting and co-design engagement.</w:t>
            </w:r>
            <w:r w:rsidR="00DD7184" w:rsidRPr="000C51B3">
              <w:rPr>
                <w:rFonts w:ascii="Calibri" w:hAnsi="Calibri" w:cs="Calibri"/>
                <w:b w:val="0"/>
                <w:bCs w:val="0"/>
                <w:szCs w:val="24"/>
              </w:rPr>
              <w:t xml:space="preserve"> </w:t>
            </w:r>
            <w:r w:rsidRPr="000C51B3">
              <w:rPr>
                <w:rFonts w:ascii="Calibri" w:hAnsi="Calibri" w:cs="Calibri"/>
                <w:b w:val="0"/>
                <w:bCs w:val="0"/>
                <w:szCs w:val="24"/>
              </w:rPr>
              <w:t>Agree with SG how NCT will support delivery of ARP.</w:t>
            </w:r>
          </w:p>
          <w:p w14:paraId="192B0290" w14:textId="77777777" w:rsidR="00B574D9" w:rsidRPr="000C51B3" w:rsidRDefault="00B574D9" w:rsidP="009A2081">
            <w:pPr>
              <w:tabs>
                <w:tab w:val="left" w:pos="346"/>
              </w:tabs>
              <w:ind w:left="487" w:hanging="487"/>
              <w:rPr>
                <w:rFonts w:ascii="Calibri" w:hAnsi="Calibri" w:cs="Calibri"/>
                <w:b w:val="0"/>
                <w:bCs w:val="0"/>
                <w:szCs w:val="24"/>
              </w:rPr>
            </w:pPr>
            <w:r w:rsidRPr="000C51B3">
              <w:rPr>
                <w:rFonts w:ascii="Calibri" w:hAnsi="Calibri" w:cs="Calibri"/>
                <w:b w:val="0"/>
                <w:bCs w:val="0"/>
                <w:szCs w:val="24"/>
              </w:rPr>
              <w:t>3.6   Write-up the code.</w:t>
            </w:r>
          </w:p>
        </w:tc>
        <w:tc>
          <w:tcPr>
            <w:tcW w:w="2912" w:type="pct"/>
          </w:tcPr>
          <w:p w14:paraId="220DFFEB" w14:textId="1299C5AB" w:rsidR="00B574D9" w:rsidRPr="000C51B3" w:rsidRDefault="00B574D9" w:rsidP="009A2081">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0C51B3">
              <w:rPr>
                <w:rFonts w:ascii="Calibri" w:hAnsi="Calibri" w:cs="Calibri"/>
                <w:szCs w:val="24"/>
              </w:rPr>
              <w:t>1.5   Updated version</w:t>
            </w:r>
            <w:r w:rsidR="002742B2" w:rsidRPr="000C51B3">
              <w:rPr>
                <w:rFonts w:ascii="Calibri" w:hAnsi="Calibri" w:cs="Calibri"/>
                <w:szCs w:val="24"/>
              </w:rPr>
              <w:t xml:space="preserve"> of Natural Capital Tool</w:t>
            </w:r>
            <w:r w:rsidRPr="000C51B3">
              <w:rPr>
                <w:rFonts w:ascii="Calibri" w:hAnsi="Calibri" w:cs="Calibri"/>
                <w:szCs w:val="24"/>
              </w:rPr>
              <w:t xml:space="preserve"> to be released in April</w:t>
            </w:r>
            <w:r w:rsidR="00DD7184" w:rsidRPr="000C51B3">
              <w:rPr>
                <w:rFonts w:ascii="Calibri" w:hAnsi="Calibri" w:cs="Calibri"/>
                <w:szCs w:val="24"/>
              </w:rPr>
              <w:t>.</w:t>
            </w:r>
          </w:p>
          <w:p w14:paraId="6CFBBF35" w14:textId="77777777" w:rsidR="00B574D9" w:rsidRPr="000C51B3" w:rsidRDefault="00B574D9" w:rsidP="002742B2">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p>
          <w:p w14:paraId="5178B70E" w14:textId="77777777" w:rsidR="00865AD4" w:rsidRPr="000C51B3" w:rsidRDefault="00865AD4" w:rsidP="00865AD4">
            <w:pPr>
              <w:ind w:left="544" w:hanging="544"/>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p>
          <w:p w14:paraId="47DA29DB" w14:textId="77777777" w:rsidR="00865AD4" w:rsidRPr="000C51B3" w:rsidRDefault="00865AD4" w:rsidP="00865AD4">
            <w:pPr>
              <w:ind w:left="544" w:hanging="544"/>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p>
          <w:p w14:paraId="10E33F7B" w14:textId="36999A5A" w:rsidR="00B574D9" w:rsidRPr="000C51B3" w:rsidRDefault="00B574D9" w:rsidP="0097178F">
            <w:pPr>
              <w:ind w:left="482" w:hanging="482"/>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C51B3">
              <w:rPr>
                <w:rFonts w:ascii="Calibri" w:hAnsi="Calibri" w:cs="Calibri"/>
                <w:szCs w:val="24"/>
              </w:rPr>
              <w:t>3.6</w:t>
            </w:r>
            <w:r w:rsidR="00865AD4" w:rsidRPr="000C51B3">
              <w:rPr>
                <w:rFonts w:ascii="Calibri" w:hAnsi="Calibri" w:cs="Calibri"/>
                <w:szCs w:val="24"/>
              </w:rPr>
              <w:t xml:space="preserve">   </w:t>
            </w:r>
            <w:r w:rsidR="002742B2" w:rsidRPr="000C51B3">
              <w:rPr>
                <w:rFonts w:ascii="Calibri" w:hAnsi="Calibri" w:cs="Calibri"/>
                <w:szCs w:val="24"/>
              </w:rPr>
              <w:t>Support</w:t>
            </w:r>
            <w:r w:rsidR="00557FB0" w:rsidRPr="000C51B3">
              <w:rPr>
                <w:rFonts w:ascii="Calibri" w:hAnsi="Calibri" w:cs="Calibri"/>
                <w:szCs w:val="24"/>
              </w:rPr>
              <w:t>ed</w:t>
            </w:r>
            <w:r w:rsidR="002742B2" w:rsidRPr="000C51B3">
              <w:rPr>
                <w:rFonts w:ascii="Calibri" w:hAnsi="Calibri" w:cs="Calibri"/>
                <w:szCs w:val="24"/>
              </w:rPr>
              <w:t xml:space="preserve"> the write-up of the 'Ecosystem Restoration Code Competent</w:t>
            </w:r>
            <w:r w:rsidR="00865AD4" w:rsidRPr="000C51B3">
              <w:rPr>
                <w:rFonts w:ascii="Calibri" w:hAnsi="Calibri" w:cs="Calibri"/>
                <w:szCs w:val="24"/>
              </w:rPr>
              <w:t xml:space="preserve"> </w:t>
            </w:r>
            <w:r w:rsidR="002742B2" w:rsidRPr="000C51B3">
              <w:rPr>
                <w:rFonts w:ascii="Calibri" w:hAnsi="Calibri" w:cs="Calibri"/>
                <w:szCs w:val="24"/>
              </w:rPr>
              <w:t>Model' published March 25th.</w:t>
            </w:r>
          </w:p>
        </w:tc>
      </w:tr>
      <w:tr w:rsidR="00B574D9" w:rsidRPr="000C51B3" w14:paraId="656DD5D7" w14:textId="77777777" w:rsidTr="00E3754C">
        <w:trPr>
          <w:trHeight w:val="483"/>
        </w:trPr>
        <w:tc>
          <w:tcPr>
            <w:cnfStyle w:val="001000000000" w:firstRow="0" w:lastRow="0" w:firstColumn="1" w:lastColumn="0" w:oddVBand="0" w:evenVBand="0" w:oddHBand="0" w:evenHBand="0" w:firstRowFirstColumn="0" w:firstRowLastColumn="0" w:lastRowFirstColumn="0" w:lastRowLastColumn="0"/>
            <w:tcW w:w="2088" w:type="pct"/>
            <w:shd w:val="clear" w:color="auto" w:fill="92D050"/>
          </w:tcPr>
          <w:p w14:paraId="1CF64C39" w14:textId="77777777" w:rsidR="00B574D9" w:rsidRPr="000C51B3" w:rsidRDefault="00B574D9" w:rsidP="009A2081">
            <w:pPr>
              <w:pStyle w:val="ListParagraph"/>
              <w:ind w:left="22"/>
              <w:rPr>
                <w:rFonts w:ascii="Calibri" w:hAnsi="Calibri" w:cs="Calibri"/>
                <w:b w:val="0"/>
                <w:bCs w:val="0"/>
                <w:szCs w:val="24"/>
              </w:rPr>
            </w:pPr>
            <w:r w:rsidRPr="000C51B3">
              <w:rPr>
                <w:rFonts w:ascii="Calibri" w:hAnsi="Calibri" w:cs="Calibri"/>
                <w:b w:val="0"/>
                <w:bCs w:val="0"/>
                <w:szCs w:val="24"/>
              </w:rPr>
              <w:lastRenderedPageBreak/>
              <w:t>Deliver new ways of working to stimulate achievement of our ambitions</w:t>
            </w:r>
          </w:p>
        </w:tc>
        <w:tc>
          <w:tcPr>
            <w:tcW w:w="2912" w:type="pct"/>
            <w:shd w:val="clear" w:color="auto" w:fill="92D050"/>
          </w:tcPr>
          <w:p w14:paraId="2FD6FB27" w14:textId="77777777" w:rsidR="00B574D9" w:rsidRPr="000C51B3" w:rsidRDefault="00B574D9" w:rsidP="009A2081">
            <w:pPr>
              <w:pStyle w:val="ListParagraph"/>
              <w:ind w:left="360"/>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p>
        </w:tc>
      </w:tr>
      <w:tr w:rsidR="00B574D9" w:rsidRPr="000C51B3" w14:paraId="251BDEA5" w14:textId="77777777" w:rsidTr="00E3754C">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088" w:type="pct"/>
          </w:tcPr>
          <w:p w14:paraId="72220369" w14:textId="096E28AD" w:rsidR="0054131B" w:rsidRPr="000C51B3" w:rsidRDefault="00B574D9" w:rsidP="00865AD4">
            <w:pPr>
              <w:ind w:left="482" w:hanging="482"/>
              <w:rPr>
                <w:rFonts w:ascii="Calibri" w:eastAsia="Times New Roman" w:hAnsi="Calibri" w:cs="Calibri"/>
                <w:b w:val="0"/>
                <w:bCs w:val="0"/>
              </w:rPr>
            </w:pPr>
            <w:r w:rsidRPr="000C51B3">
              <w:rPr>
                <w:rFonts w:ascii="Calibri" w:hAnsi="Calibri" w:cs="Calibri"/>
                <w:b w:val="0"/>
                <w:bCs w:val="0"/>
                <w:szCs w:val="24"/>
              </w:rPr>
              <w:t xml:space="preserve">5.1   </w:t>
            </w:r>
            <w:r w:rsidR="0054131B" w:rsidRPr="000C51B3">
              <w:rPr>
                <w:rFonts w:ascii="Calibri" w:eastAsia="Times New Roman" w:hAnsi="Calibri" w:cs="Calibri"/>
                <w:b w:val="0"/>
                <w:bCs w:val="0"/>
              </w:rPr>
              <w:t xml:space="preserve">Strategic Resource Planning: Continue to take forward Cornerstones, including interim time recording solution for 2026/27 and </w:t>
            </w:r>
            <w:r w:rsidR="00865AD4" w:rsidRPr="000C51B3">
              <w:rPr>
                <w:rFonts w:ascii="Calibri" w:eastAsia="Times New Roman" w:hAnsi="Calibri" w:cs="Calibri"/>
                <w:b w:val="0"/>
                <w:bCs w:val="0"/>
              </w:rPr>
              <w:t>i</w:t>
            </w:r>
            <w:r w:rsidR="0054131B" w:rsidRPr="000C51B3">
              <w:rPr>
                <w:rFonts w:ascii="Calibri" w:eastAsia="Times New Roman" w:hAnsi="Calibri" w:cs="Calibri"/>
                <w:b w:val="0"/>
                <w:bCs w:val="0"/>
              </w:rPr>
              <w:t>dentify resource to lead delivery of Strategic Workforce Planning in support of new Corporate Plan.</w:t>
            </w:r>
          </w:p>
          <w:p w14:paraId="53BB0FBC" w14:textId="77777777" w:rsidR="00B574D9" w:rsidRPr="000C51B3" w:rsidRDefault="00B574D9" w:rsidP="009A2081">
            <w:pPr>
              <w:rPr>
                <w:rFonts w:ascii="Calibri" w:hAnsi="Calibri" w:cs="Calibri"/>
                <w:b w:val="0"/>
                <w:bCs w:val="0"/>
                <w:szCs w:val="24"/>
              </w:rPr>
            </w:pPr>
            <w:r w:rsidRPr="000C51B3">
              <w:rPr>
                <w:rFonts w:ascii="Calibri" w:hAnsi="Calibri" w:cs="Calibri"/>
                <w:b w:val="0"/>
                <w:bCs w:val="0"/>
                <w:szCs w:val="24"/>
              </w:rPr>
              <w:t>5.2   Facilitate Perth Office move.</w:t>
            </w:r>
          </w:p>
          <w:p w14:paraId="6E44C743" w14:textId="77777777" w:rsidR="0054131B" w:rsidRPr="000C51B3" w:rsidRDefault="0054131B" w:rsidP="009A2081">
            <w:pPr>
              <w:rPr>
                <w:rFonts w:ascii="Calibri" w:hAnsi="Calibri" w:cs="Calibri"/>
                <w:szCs w:val="24"/>
              </w:rPr>
            </w:pPr>
          </w:p>
          <w:p w14:paraId="2DCB7694" w14:textId="77777777" w:rsidR="0054131B" w:rsidRPr="000C51B3" w:rsidRDefault="0054131B" w:rsidP="009A2081">
            <w:pPr>
              <w:rPr>
                <w:rFonts w:ascii="Calibri" w:hAnsi="Calibri" w:cs="Calibri"/>
                <w:szCs w:val="24"/>
              </w:rPr>
            </w:pPr>
          </w:p>
          <w:p w14:paraId="5BD13EFE" w14:textId="77777777" w:rsidR="0054131B" w:rsidRPr="000C51B3" w:rsidRDefault="0054131B" w:rsidP="009A2081">
            <w:pPr>
              <w:rPr>
                <w:rFonts w:ascii="Calibri" w:hAnsi="Calibri" w:cs="Calibri"/>
                <w:szCs w:val="24"/>
              </w:rPr>
            </w:pPr>
          </w:p>
          <w:p w14:paraId="60C04A2B" w14:textId="77777777" w:rsidR="0054131B" w:rsidRPr="000C51B3" w:rsidRDefault="0054131B" w:rsidP="009A2081">
            <w:pPr>
              <w:rPr>
                <w:rFonts w:ascii="Calibri" w:hAnsi="Calibri" w:cs="Calibri"/>
                <w:szCs w:val="24"/>
              </w:rPr>
            </w:pPr>
          </w:p>
          <w:p w14:paraId="75B5ED4E" w14:textId="77777777" w:rsidR="0054131B" w:rsidRPr="000C51B3" w:rsidRDefault="0054131B" w:rsidP="009A2081">
            <w:pPr>
              <w:rPr>
                <w:rFonts w:ascii="Calibri" w:hAnsi="Calibri" w:cs="Calibri"/>
                <w:szCs w:val="24"/>
              </w:rPr>
            </w:pPr>
          </w:p>
          <w:p w14:paraId="2D797454" w14:textId="77777777" w:rsidR="0054131B" w:rsidRPr="000C51B3" w:rsidRDefault="0054131B" w:rsidP="009A2081">
            <w:pPr>
              <w:rPr>
                <w:rFonts w:ascii="Calibri" w:hAnsi="Calibri" w:cs="Calibri"/>
                <w:szCs w:val="24"/>
              </w:rPr>
            </w:pPr>
          </w:p>
          <w:p w14:paraId="46BF2D28" w14:textId="77777777" w:rsidR="0054131B" w:rsidRPr="000C51B3" w:rsidRDefault="0054131B" w:rsidP="009A2081">
            <w:pPr>
              <w:rPr>
                <w:rFonts w:ascii="Calibri" w:hAnsi="Calibri" w:cs="Calibri"/>
                <w:szCs w:val="24"/>
              </w:rPr>
            </w:pPr>
          </w:p>
          <w:p w14:paraId="4329CACC" w14:textId="7B3B8632" w:rsidR="00B574D9" w:rsidRPr="000C51B3" w:rsidRDefault="00B574D9" w:rsidP="00707711">
            <w:pPr>
              <w:ind w:left="482" w:hanging="482"/>
              <w:rPr>
                <w:rFonts w:ascii="Calibri" w:hAnsi="Calibri" w:cs="Calibri"/>
                <w:b w:val="0"/>
                <w:bCs w:val="0"/>
                <w:szCs w:val="24"/>
              </w:rPr>
            </w:pPr>
            <w:r w:rsidRPr="000C51B3">
              <w:rPr>
                <w:rFonts w:ascii="Calibri" w:hAnsi="Calibri" w:cs="Calibri"/>
                <w:b w:val="0"/>
                <w:bCs w:val="0"/>
                <w:szCs w:val="24"/>
              </w:rPr>
              <w:t>5.3   Review AI Trial and adopt/go to tender for solution.          Start review of Business case for Objective Nexus suitability for next year. GIS Programme: Develop Infrastructure and web GIS application.</w:t>
            </w:r>
          </w:p>
          <w:p w14:paraId="4C0240B6" w14:textId="77777777" w:rsidR="0054131B" w:rsidRPr="000C51B3" w:rsidRDefault="0054131B" w:rsidP="009A2081">
            <w:pPr>
              <w:ind w:left="487" w:hanging="487"/>
              <w:rPr>
                <w:rFonts w:ascii="Calibri" w:hAnsi="Calibri" w:cs="Calibri"/>
                <w:szCs w:val="24"/>
              </w:rPr>
            </w:pPr>
          </w:p>
          <w:p w14:paraId="05D8BADE" w14:textId="77777777" w:rsidR="0054131B" w:rsidRPr="000C51B3" w:rsidRDefault="0054131B" w:rsidP="009A2081">
            <w:pPr>
              <w:ind w:left="487" w:hanging="487"/>
              <w:rPr>
                <w:rFonts w:ascii="Calibri" w:hAnsi="Calibri" w:cs="Calibri"/>
                <w:szCs w:val="24"/>
              </w:rPr>
            </w:pPr>
          </w:p>
          <w:p w14:paraId="2C333DBF" w14:textId="77777777" w:rsidR="0054131B" w:rsidRPr="000C51B3" w:rsidRDefault="0054131B" w:rsidP="009A2081">
            <w:pPr>
              <w:ind w:left="487" w:hanging="487"/>
              <w:rPr>
                <w:rFonts w:ascii="Calibri" w:hAnsi="Calibri" w:cs="Calibri"/>
                <w:szCs w:val="24"/>
              </w:rPr>
            </w:pPr>
          </w:p>
          <w:p w14:paraId="3555CA6E" w14:textId="36F74E31" w:rsidR="00B574D9" w:rsidRPr="000C51B3" w:rsidRDefault="0054131B" w:rsidP="009A2081">
            <w:pPr>
              <w:ind w:left="487" w:hanging="487"/>
              <w:rPr>
                <w:rFonts w:ascii="Calibri" w:hAnsi="Calibri" w:cs="Calibri"/>
                <w:szCs w:val="24"/>
              </w:rPr>
            </w:pPr>
            <w:r w:rsidRPr="000C51B3">
              <w:rPr>
                <w:rFonts w:ascii="Calibri" w:hAnsi="Calibri" w:cs="Calibri"/>
                <w:b w:val="0"/>
                <w:bCs w:val="0"/>
                <w:szCs w:val="24"/>
              </w:rPr>
              <w:t>6</w:t>
            </w:r>
            <w:r w:rsidR="00B574D9" w:rsidRPr="000C51B3">
              <w:rPr>
                <w:rFonts w:ascii="Calibri" w:hAnsi="Calibri" w:cs="Calibri"/>
                <w:b w:val="0"/>
                <w:bCs w:val="0"/>
                <w:szCs w:val="24"/>
              </w:rPr>
              <w:t>.1   Review pilot people management skills and leadership programmes for collective and individual leadership linked to IDG for roll out 2026/27.</w:t>
            </w:r>
          </w:p>
          <w:p w14:paraId="4C46442F" w14:textId="77777777" w:rsidR="0054131B" w:rsidRPr="000C51B3" w:rsidRDefault="0054131B" w:rsidP="009A2081">
            <w:pPr>
              <w:ind w:left="487" w:hanging="487"/>
              <w:rPr>
                <w:rFonts w:ascii="Calibri" w:hAnsi="Calibri" w:cs="Calibri"/>
                <w:b w:val="0"/>
                <w:bCs w:val="0"/>
                <w:szCs w:val="24"/>
              </w:rPr>
            </w:pPr>
          </w:p>
          <w:p w14:paraId="37439B07" w14:textId="77777777" w:rsidR="00B574D9" w:rsidRPr="000C51B3" w:rsidRDefault="00B574D9" w:rsidP="009A2081">
            <w:pPr>
              <w:ind w:left="452" w:hanging="452"/>
              <w:rPr>
                <w:rFonts w:ascii="Calibri" w:hAnsi="Calibri" w:cs="Calibri"/>
                <w:b w:val="0"/>
                <w:bCs w:val="0"/>
                <w:szCs w:val="24"/>
              </w:rPr>
            </w:pPr>
            <w:r w:rsidRPr="000C51B3">
              <w:rPr>
                <w:rFonts w:ascii="Calibri" w:hAnsi="Calibri" w:cs="Calibri"/>
                <w:b w:val="0"/>
                <w:bCs w:val="0"/>
                <w:szCs w:val="24"/>
              </w:rPr>
              <w:t>6.2   Seasonal promotion of Make Space for Nature campaign and The Scottish Outdoor Access Code.</w:t>
            </w:r>
          </w:p>
          <w:p w14:paraId="379F36CE" w14:textId="77777777" w:rsidR="00B574D9" w:rsidRPr="000C51B3" w:rsidRDefault="00B574D9" w:rsidP="009A2081">
            <w:pPr>
              <w:ind w:left="452" w:hanging="452"/>
              <w:rPr>
                <w:rFonts w:ascii="Calibri" w:hAnsi="Calibri" w:cs="Calibri"/>
                <w:szCs w:val="24"/>
              </w:rPr>
            </w:pPr>
            <w:r w:rsidRPr="000C51B3">
              <w:rPr>
                <w:rFonts w:ascii="Calibri" w:hAnsi="Calibri" w:cs="Calibri"/>
                <w:b w:val="0"/>
                <w:bCs w:val="0"/>
                <w:szCs w:val="24"/>
              </w:rPr>
              <w:t xml:space="preserve">         Accessibility: Lead contractor support for continued work to meet evolving accessibility legislation.</w:t>
            </w:r>
          </w:p>
          <w:p w14:paraId="5B75BEF0" w14:textId="77777777" w:rsidR="007453AD" w:rsidRPr="000C51B3" w:rsidRDefault="007453AD" w:rsidP="009A2081">
            <w:pPr>
              <w:ind w:left="452" w:hanging="452"/>
              <w:rPr>
                <w:rFonts w:ascii="Calibri" w:hAnsi="Calibri" w:cs="Calibri"/>
                <w:b w:val="0"/>
                <w:bCs w:val="0"/>
                <w:szCs w:val="24"/>
              </w:rPr>
            </w:pPr>
          </w:p>
          <w:p w14:paraId="72065FD0" w14:textId="77777777" w:rsidR="00B574D9" w:rsidRPr="000C51B3" w:rsidRDefault="00B574D9" w:rsidP="009A2081">
            <w:pPr>
              <w:rPr>
                <w:rFonts w:ascii="Calibri" w:hAnsi="Calibri" w:cs="Calibri"/>
                <w:b w:val="0"/>
                <w:bCs w:val="0"/>
                <w:szCs w:val="24"/>
              </w:rPr>
            </w:pPr>
            <w:r w:rsidRPr="000C51B3">
              <w:rPr>
                <w:rFonts w:ascii="Calibri" w:hAnsi="Calibri" w:cs="Calibri"/>
                <w:b w:val="0"/>
                <w:bCs w:val="0"/>
                <w:szCs w:val="24"/>
              </w:rPr>
              <w:t>7.1   Test new SharePoint Learning Hub (Digital skills).</w:t>
            </w:r>
          </w:p>
          <w:p w14:paraId="7996ACBD" w14:textId="586EE20E" w:rsidR="00B574D9" w:rsidRPr="000C51B3" w:rsidRDefault="00B574D9" w:rsidP="009A2081">
            <w:pPr>
              <w:rPr>
                <w:rFonts w:ascii="Calibri" w:hAnsi="Calibri" w:cs="Calibri"/>
                <w:b w:val="0"/>
                <w:bCs w:val="0"/>
                <w:szCs w:val="24"/>
              </w:rPr>
            </w:pPr>
            <w:r w:rsidRPr="000C51B3">
              <w:rPr>
                <w:rFonts w:ascii="Calibri" w:hAnsi="Calibri" w:cs="Calibri"/>
                <w:b w:val="0"/>
                <w:bCs w:val="0"/>
                <w:szCs w:val="24"/>
              </w:rPr>
              <w:t xml:space="preserve">         </w:t>
            </w:r>
            <w:r w:rsidR="00707711" w:rsidRPr="000C51B3">
              <w:rPr>
                <w:rFonts w:ascii="Calibri" w:hAnsi="Calibri" w:cs="Calibri"/>
                <w:b w:val="0"/>
                <w:bCs w:val="0"/>
                <w:szCs w:val="24"/>
              </w:rPr>
              <w:t xml:space="preserve">Stress Indicator Tool </w:t>
            </w:r>
            <w:r w:rsidRPr="000C51B3">
              <w:rPr>
                <w:rFonts w:ascii="Calibri" w:hAnsi="Calibri" w:cs="Calibri"/>
                <w:b w:val="0"/>
                <w:bCs w:val="0"/>
                <w:szCs w:val="24"/>
              </w:rPr>
              <w:t>Action plan delivery.</w:t>
            </w:r>
          </w:p>
          <w:p w14:paraId="246DCA5E" w14:textId="77777777" w:rsidR="00B574D9" w:rsidRPr="000C51B3" w:rsidRDefault="00B574D9" w:rsidP="009A2081">
            <w:pPr>
              <w:rPr>
                <w:rFonts w:ascii="Calibri" w:hAnsi="Calibri" w:cs="Calibri"/>
                <w:b w:val="0"/>
                <w:bCs w:val="0"/>
                <w:szCs w:val="24"/>
              </w:rPr>
            </w:pPr>
            <w:r w:rsidRPr="000C51B3">
              <w:rPr>
                <w:rFonts w:ascii="Calibri" w:hAnsi="Calibri" w:cs="Calibri"/>
                <w:b w:val="0"/>
                <w:bCs w:val="0"/>
                <w:szCs w:val="24"/>
              </w:rPr>
              <w:t xml:space="preserve">         Roadmap for safety culture in place.</w:t>
            </w:r>
          </w:p>
          <w:p w14:paraId="00CDEC97" w14:textId="5B90EB19" w:rsidR="00B574D9" w:rsidRPr="000C51B3" w:rsidRDefault="00B574D9" w:rsidP="00DD7184">
            <w:pPr>
              <w:rPr>
                <w:rFonts w:ascii="Calibri" w:hAnsi="Calibri" w:cs="Calibri"/>
                <w:b w:val="0"/>
                <w:bCs w:val="0"/>
                <w:szCs w:val="24"/>
              </w:rPr>
            </w:pPr>
            <w:r w:rsidRPr="000C51B3">
              <w:rPr>
                <w:rFonts w:ascii="Calibri" w:hAnsi="Calibri" w:cs="Calibri"/>
                <w:b w:val="0"/>
                <w:bCs w:val="0"/>
                <w:szCs w:val="24"/>
              </w:rPr>
              <w:t xml:space="preserve">         Equality outcome actions delivery.</w:t>
            </w:r>
          </w:p>
          <w:p w14:paraId="76FA0577" w14:textId="77777777" w:rsidR="00B574D9" w:rsidRPr="000C51B3" w:rsidRDefault="00B574D9" w:rsidP="009A2081">
            <w:pPr>
              <w:ind w:left="459" w:hanging="459"/>
              <w:rPr>
                <w:rFonts w:ascii="Calibri" w:hAnsi="Calibri" w:cs="Calibri"/>
                <w:b w:val="0"/>
                <w:bCs w:val="0"/>
                <w:szCs w:val="24"/>
              </w:rPr>
            </w:pPr>
          </w:p>
          <w:p w14:paraId="70B0914D" w14:textId="77777777" w:rsidR="00B574D9" w:rsidRPr="000C51B3" w:rsidRDefault="00B574D9" w:rsidP="009A2081">
            <w:pPr>
              <w:ind w:left="459" w:hanging="459"/>
              <w:rPr>
                <w:rFonts w:ascii="Calibri" w:hAnsi="Calibri" w:cs="Calibri"/>
                <w:b w:val="0"/>
                <w:bCs w:val="0"/>
                <w:szCs w:val="24"/>
              </w:rPr>
            </w:pPr>
            <w:r w:rsidRPr="000C51B3">
              <w:rPr>
                <w:rFonts w:ascii="Calibri" w:hAnsi="Calibri" w:cs="Calibri"/>
                <w:b w:val="0"/>
                <w:bCs w:val="0"/>
                <w:szCs w:val="24"/>
              </w:rPr>
              <w:t xml:space="preserve"> </w:t>
            </w:r>
          </w:p>
        </w:tc>
        <w:tc>
          <w:tcPr>
            <w:tcW w:w="2912" w:type="pct"/>
          </w:tcPr>
          <w:p w14:paraId="787A4895" w14:textId="621B1CB5" w:rsidR="0054131B" w:rsidRPr="000C51B3" w:rsidRDefault="0054131B" w:rsidP="00865AD4">
            <w:pPr>
              <w:ind w:left="482" w:hanging="482"/>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Cs w:val="24"/>
              </w:rPr>
            </w:pPr>
            <w:r w:rsidRPr="000C51B3">
              <w:rPr>
                <w:rFonts w:ascii="Calibri" w:hAnsi="Calibri" w:cs="Calibri"/>
                <w:color w:val="000000" w:themeColor="text1"/>
                <w:szCs w:val="24"/>
              </w:rPr>
              <w:lastRenderedPageBreak/>
              <w:t xml:space="preserve">5.1 </w:t>
            </w:r>
            <w:r w:rsidR="00865AD4" w:rsidRPr="000C51B3">
              <w:rPr>
                <w:rFonts w:ascii="Calibri" w:hAnsi="Calibri" w:cs="Calibri"/>
                <w:color w:val="000000" w:themeColor="text1"/>
                <w:szCs w:val="24"/>
              </w:rPr>
              <w:t xml:space="preserve">  </w:t>
            </w:r>
            <w:r w:rsidRPr="000C51B3">
              <w:rPr>
                <w:rFonts w:ascii="Calibri" w:hAnsi="Calibri" w:cs="Calibri"/>
                <w:color w:val="000000" w:themeColor="text1"/>
                <w:szCs w:val="24"/>
              </w:rPr>
              <w:t>Interim time recording solution for 2026/27 in place and being used by offshore wind to facilitate cost recovery. Discussions around strategic workforce planning are continuing, plans to scope out approach to operational planning have commenced. </w:t>
            </w:r>
          </w:p>
          <w:p w14:paraId="660C1663" w14:textId="77777777" w:rsidR="0054131B" w:rsidRPr="000C51B3" w:rsidRDefault="0054131B" w:rsidP="0054131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Cs w:val="24"/>
              </w:rPr>
            </w:pPr>
          </w:p>
          <w:p w14:paraId="203B3C86" w14:textId="1D934CF7" w:rsidR="0054131B" w:rsidRPr="000C51B3" w:rsidRDefault="0054131B" w:rsidP="0038315D">
            <w:pPr>
              <w:ind w:left="482" w:hanging="482"/>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Cs w:val="24"/>
              </w:rPr>
            </w:pPr>
            <w:r w:rsidRPr="000C51B3">
              <w:rPr>
                <w:rFonts w:ascii="Calibri" w:hAnsi="Calibri" w:cs="Calibri"/>
                <w:color w:val="000000" w:themeColor="text1"/>
                <w:szCs w:val="24"/>
              </w:rPr>
              <w:t xml:space="preserve">5.2 </w:t>
            </w:r>
            <w:r w:rsidR="00865AD4" w:rsidRPr="000C51B3">
              <w:rPr>
                <w:rFonts w:ascii="Calibri" w:hAnsi="Calibri" w:cs="Calibri"/>
                <w:color w:val="000000" w:themeColor="text1"/>
                <w:szCs w:val="24"/>
              </w:rPr>
              <w:t xml:space="preserve">  </w:t>
            </w:r>
            <w:r w:rsidRPr="000C51B3">
              <w:rPr>
                <w:rFonts w:ascii="Calibri" w:hAnsi="Calibri" w:cs="Calibri"/>
                <w:color w:val="000000" w:themeColor="text1"/>
                <w:szCs w:val="24"/>
              </w:rPr>
              <w:t xml:space="preserve">A firm relocation date </w:t>
            </w:r>
            <w:r w:rsidR="0038315D" w:rsidRPr="000C51B3">
              <w:rPr>
                <w:rFonts w:ascii="Calibri" w:hAnsi="Calibri" w:cs="Calibri"/>
                <w:color w:val="000000" w:themeColor="text1"/>
                <w:szCs w:val="24"/>
              </w:rPr>
              <w:t xml:space="preserve">for Perth </w:t>
            </w:r>
            <w:r w:rsidRPr="000C51B3">
              <w:rPr>
                <w:rFonts w:ascii="Calibri" w:hAnsi="Calibri" w:cs="Calibri"/>
                <w:color w:val="000000" w:themeColor="text1"/>
                <w:szCs w:val="24"/>
              </w:rPr>
              <w:t>has not been confirmed yet</w:t>
            </w:r>
            <w:r w:rsidR="0038315D" w:rsidRPr="000C51B3">
              <w:rPr>
                <w:rFonts w:ascii="Calibri" w:hAnsi="Calibri" w:cs="Calibri"/>
                <w:color w:val="000000" w:themeColor="text1"/>
                <w:szCs w:val="24"/>
              </w:rPr>
              <w:t xml:space="preserve"> as there are operational issues, including EV charge points, to be worked through with P&amp;K Council. However, it is </w:t>
            </w:r>
            <w:r w:rsidRPr="000C51B3">
              <w:rPr>
                <w:rFonts w:ascii="Calibri" w:hAnsi="Calibri" w:cs="Calibri"/>
                <w:color w:val="000000" w:themeColor="text1"/>
                <w:szCs w:val="24"/>
              </w:rPr>
              <w:t>likely to be Summer 2</w:t>
            </w:r>
            <w:r w:rsidR="007B6CBE" w:rsidRPr="000C51B3">
              <w:rPr>
                <w:rFonts w:ascii="Calibri" w:hAnsi="Calibri" w:cs="Calibri"/>
                <w:color w:val="000000" w:themeColor="text1"/>
                <w:szCs w:val="24"/>
              </w:rPr>
              <w:t>02</w:t>
            </w:r>
            <w:r w:rsidRPr="000C51B3">
              <w:rPr>
                <w:rFonts w:ascii="Calibri" w:hAnsi="Calibri" w:cs="Calibri"/>
                <w:color w:val="000000" w:themeColor="text1"/>
                <w:szCs w:val="24"/>
              </w:rPr>
              <w:t>6</w:t>
            </w:r>
            <w:r w:rsidR="0038315D" w:rsidRPr="000C51B3">
              <w:rPr>
                <w:rFonts w:ascii="Calibri" w:hAnsi="Calibri" w:cs="Calibri"/>
                <w:color w:val="000000" w:themeColor="text1"/>
                <w:szCs w:val="24"/>
              </w:rPr>
              <w:t>.</w:t>
            </w:r>
            <w:r w:rsidRPr="000C51B3">
              <w:rPr>
                <w:rFonts w:ascii="Calibri" w:hAnsi="Calibri" w:cs="Calibri"/>
                <w:color w:val="000000" w:themeColor="text1"/>
                <w:szCs w:val="24"/>
              </w:rPr>
              <w:t xml:space="preserve"> The Battleby User Group visited Pullar House on the 16 February 2026. </w:t>
            </w:r>
            <w:r w:rsidR="0038315D" w:rsidRPr="000C51B3">
              <w:rPr>
                <w:rFonts w:ascii="Calibri" w:hAnsi="Calibri" w:cs="Calibri"/>
                <w:color w:val="000000" w:themeColor="text1"/>
                <w:szCs w:val="24"/>
              </w:rPr>
              <w:t xml:space="preserve">Storage audit at Battleby for both file storage and external storage is ongoing. This will inform the space plan going forward. </w:t>
            </w:r>
            <w:r w:rsidR="007B6CBE" w:rsidRPr="000C51B3">
              <w:rPr>
                <w:rFonts w:ascii="Calibri" w:hAnsi="Calibri" w:cs="Calibri"/>
                <w:color w:val="000000" w:themeColor="text1"/>
                <w:szCs w:val="24"/>
              </w:rPr>
              <w:t>S</w:t>
            </w:r>
            <w:r w:rsidRPr="000C51B3">
              <w:rPr>
                <w:rFonts w:ascii="Calibri" w:hAnsi="Calibri" w:cs="Calibri"/>
                <w:color w:val="000000" w:themeColor="text1"/>
                <w:szCs w:val="24"/>
              </w:rPr>
              <w:t xml:space="preserve">taff visits </w:t>
            </w:r>
            <w:r w:rsidR="00C03356" w:rsidRPr="000C51B3">
              <w:rPr>
                <w:rFonts w:ascii="Calibri" w:hAnsi="Calibri" w:cs="Calibri"/>
                <w:color w:val="000000" w:themeColor="text1"/>
                <w:szCs w:val="24"/>
              </w:rPr>
              <w:t>were</w:t>
            </w:r>
            <w:r w:rsidRPr="000C51B3">
              <w:rPr>
                <w:rFonts w:ascii="Calibri" w:hAnsi="Calibri" w:cs="Calibri"/>
                <w:color w:val="000000" w:themeColor="text1"/>
                <w:szCs w:val="24"/>
              </w:rPr>
              <w:t xml:space="preserve"> arranged for April</w:t>
            </w:r>
            <w:r w:rsidR="00C03356" w:rsidRPr="000C51B3">
              <w:rPr>
                <w:rFonts w:ascii="Calibri" w:hAnsi="Calibri" w:cs="Calibri"/>
                <w:color w:val="000000" w:themeColor="text1"/>
                <w:szCs w:val="24"/>
              </w:rPr>
              <w:t xml:space="preserve">. </w:t>
            </w:r>
            <w:r w:rsidRPr="000C51B3">
              <w:rPr>
                <w:rFonts w:ascii="Calibri" w:hAnsi="Calibri" w:cs="Calibri"/>
                <w:color w:val="000000" w:themeColor="text1"/>
                <w:szCs w:val="24"/>
              </w:rPr>
              <w:t xml:space="preserve">IT works </w:t>
            </w:r>
            <w:r w:rsidR="0038315D" w:rsidRPr="000C51B3">
              <w:rPr>
                <w:rFonts w:ascii="Calibri" w:hAnsi="Calibri" w:cs="Calibri"/>
                <w:color w:val="000000" w:themeColor="text1"/>
                <w:szCs w:val="24"/>
              </w:rPr>
              <w:t xml:space="preserve">are </w:t>
            </w:r>
            <w:r w:rsidRPr="000C51B3">
              <w:rPr>
                <w:rFonts w:ascii="Calibri" w:hAnsi="Calibri" w:cs="Calibri"/>
                <w:color w:val="000000" w:themeColor="text1"/>
                <w:szCs w:val="24"/>
              </w:rPr>
              <w:t>in hand awaiting confirmation of the relocation date.</w:t>
            </w:r>
          </w:p>
          <w:p w14:paraId="260B7F92" w14:textId="77777777" w:rsidR="0054131B" w:rsidRPr="000C51B3" w:rsidRDefault="0054131B" w:rsidP="0054131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Cs w:val="24"/>
              </w:rPr>
            </w:pPr>
          </w:p>
          <w:p w14:paraId="783CC288" w14:textId="6D184C14" w:rsidR="0054131B" w:rsidRPr="000C51B3" w:rsidRDefault="0054131B" w:rsidP="00707711">
            <w:pPr>
              <w:ind w:left="482" w:hanging="482"/>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Cs w:val="24"/>
              </w:rPr>
            </w:pPr>
            <w:r w:rsidRPr="000C51B3">
              <w:rPr>
                <w:rFonts w:ascii="Calibri" w:hAnsi="Calibri" w:cs="Calibri"/>
                <w:color w:val="000000" w:themeColor="text1"/>
                <w:szCs w:val="24"/>
              </w:rPr>
              <w:t xml:space="preserve">5.3 </w:t>
            </w:r>
            <w:r w:rsidR="00707711" w:rsidRPr="000C51B3">
              <w:rPr>
                <w:rFonts w:ascii="Calibri" w:hAnsi="Calibri" w:cs="Calibri"/>
                <w:color w:val="000000" w:themeColor="text1"/>
                <w:szCs w:val="24"/>
              </w:rPr>
              <w:t xml:space="preserve">  </w:t>
            </w:r>
            <w:r w:rsidRPr="000C51B3">
              <w:rPr>
                <w:rFonts w:ascii="Calibri" w:hAnsi="Calibri" w:cs="Calibri"/>
                <w:color w:val="000000" w:themeColor="text1"/>
                <w:szCs w:val="24"/>
              </w:rPr>
              <w:t xml:space="preserve">Teams Premium licences procured and assigned to 34 users. MS Copilot </w:t>
            </w:r>
            <w:r w:rsidR="007B6CBE" w:rsidRPr="000C51B3">
              <w:rPr>
                <w:rFonts w:ascii="Calibri" w:hAnsi="Calibri" w:cs="Calibri"/>
                <w:color w:val="000000" w:themeColor="text1"/>
                <w:szCs w:val="24"/>
              </w:rPr>
              <w:t>C</w:t>
            </w:r>
            <w:r w:rsidRPr="000C51B3">
              <w:rPr>
                <w:rFonts w:ascii="Calibri" w:hAnsi="Calibri" w:cs="Calibri"/>
                <w:color w:val="000000" w:themeColor="text1"/>
                <w:szCs w:val="24"/>
              </w:rPr>
              <w:t xml:space="preserve">hat </w:t>
            </w:r>
            <w:r w:rsidR="007B6CBE" w:rsidRPr="000C51B3">
              <w:rPr>
                <w:rFonts w:ascii="Calibri" w:hAnsi="Calibri" w:cs="Calibri"/>
                <w:color w:val="000000" w:themeColor="text1"/>
                <w:szCs w:val="24"/>
              </w:rPr>
              <w:t>6-week</w:t>
            </w:r>
            <w:r w:rsidRPr="000C51B3">
              <w:rPr>
                <w:rFonts w:ascii="Calibri" w:hAnsi="Calibri" w:cs="Calibri"/>
                <w:color w:val="000000" w:themeColor="text1"/>
                <w:szCs w:val="24"/>
              </w:rPr>
              <w:t xml:space="preserve"> trial commenced prior to full roll-out early in Q1. CoPilot Pro </w:t>
            </w:r>
            <w:r w:rsidR="00C03356" w:rsidRPr="000C51B3">
              <w:rPr>
                <w:rFonts w:ascii="Calibri" w:hAnsi="Calibri" w:cs="Calibri"/>
                <w:color w:val="000000" w:themeColor="text1"/>
                <w:szCs w:val="24"/>
              </w:rPr>
              <w:t xml:space="preserve">(limited) </w:t>
            </w:r>
            <w:r w:rsidRPr="000C51B3">
              <w:rPr>
                <w:rFonts w:ascii="Calibri" w:hAnsi="Calibri" w:cs="Calibri"/>
                <w:color w:val="000000" w:themeColor="text1"/>
                <w:szCs w:val="24"/>
              </w:rPr>
              <w:t>trial will follow.</w:t>
            </w:r>
            <w:r w:rsidR="00707711" w:rsidRPr="000C51B3">
              <w:rPr>
                <w:rFonts w:ascii="Calibri" w:hAnsi="Calibri" w:cs="Calibri"/>
                <w:color w:val="000000" w:themeColor="text1"/>
                <w:szCs w:val="24"/>
              </w:rPr>
              <w:t xml:space="preserve"> </w:t>
            </w:r>
            <w:r w:rsidRPr="000C51B3">
              <w:rPr>
                <w:rFonts w:ascii="Calibri" w:hAnsi="Calibri" w:cs="Calibri"/>
                <w:szCs w:val="24"/>
              </w:rPr>
              <w:t xml:space="preserve">Objective contract extended for a further 2 years to assess our business requirements and test the market. This will align our </w:t>
            </w:r>
            <w:r w:rsidR="00707711" w:rsidRPr="000C51B3">
              <w:rPr>
                <w:rFonts w:ascii="Calibri" w:hAnsi="Calibri" w:cs="Calibri"/>
                <w:szCs w:val="24"/>
              </w:rPr>
              <w:t>plan</w:t>
            </w:r>
            <w:r w:rsidRPr="000C51B3">
              <w:rPr>
                <w:rFonts w:ascii="Calibri" w:hAnsi="Calibri" w:cs="Calibri"/>
                <w:szCs w:val="24"/>
              </w:rPr>
              <w:t>s with Scottish Government, who also use Objective.</w:t>
            </w:r>
            <w:r w:rsidR="00DD7184" w:rsidRPr="000C51B3">
              <w:rPr>
                <w:rFonts w:ascii="Calibri" w:hAnsi="Calibri" w:cs="Calibri"/>
                <w:szCs w:val="24"/>
              </w:rPr>
              <w:t xml:space="preserve"> </w:t>
            </w:r>
            <w:r w:rsidRPr="000C51B3">
              <w:rPr>
                <w:rFonts w:ascii="Calibri" w:hAnsi="Calibri" w:cs="Calibri"/>
              </w:rPr>
              <w:t xml:space="preserve">GIS Transformation Programme has commenced with new Programme manager appointed and funding secured for discovery phase in </w:t>
            </w:r>
            <w:r w:rsidR="00707711" w:rsidRPr="000C51B3">
              <w:rPr>
                <w:rFonts w:ascii="Calibri" w:hAnsi="Calibri" w:cs="Calibri"/>
              </w:rPr>
              <w:t>20</w:t>
            </w:r>
            <w:r w:rsidRPr="000C51B3">
              <w:rPr>
                <w:rFonts w:ascii="Calibri" w:hAnsi="Calibri" w:cs="Calibri"/>
              </w:rPr>
              <w:t>26/27.</w:t>
            </w:r>
          </w:p>
          <w:p w14:paraId="4DFFDCF5" w14:textId="77777777" w:rsidR="0054131B" w:rsidRPr="000C51B3" w:rsidRDefault="0054131B" w:rsidP="0054131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Cs w:val="24"/>
              </w:rPr>
            </w:pPr>
          </w:p>
          <w:p w14:paraId="7E976452" w14:textId="67CEB577" w:rsidR="0054131B" w:rsidRPr="000C51B3" w:rsidRDefault="0054131B" w:rsidP="00707711">
            <w:pPr>
              <w:ind w:left="482" w:hanging="482"/>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4"/>
              </w:rPr>
            </w:pPr>
            <w:r w:rsidRPr="000C51B3">
              <w:rPr>
                <w:rFonts w:ascii="Calibri" w:hAnsi="Calibri" w:cs="Calibri"/>
                <w:color w:val="000000" w:themeColor="text1"/>
                <w:szCs w:val="24"/>
              </w:rPr>
              <w:t xml:space="preserve">6.1 </w:t>
            </w:r>
            <w:r w:rsidR="00707711" w:rsidRPr="000C51B3">
              <w:rPr>
                <w:rFonts w:ascii="Calibri" w:hAnsi="Calibri" w:cs="Calibri"/>
                <w:color w:val="000000" w:themeColor="text1"/>
                <w:szCs w:val="24"/>
              </w:rPr>
              <w:t xml:space="preserve">  </w:t>
            </w:r>
            <w:r w:rsidRPr="000C51B3">
              <w:rPr>
                <w:rFonts w:ascii="Calibri" w:eastAsia="Times New Roman" w:hAnsi="Calibri" w:cs="Calibri"/>
                <w:szCs w:val="24"/>
              </w:rPr>
              <w:t>This is underway</w:t>
            </w:r>
            <w:r w:rsidR="007B6CBE" w:rsidRPr="000C51B3">
              <w:rPr>
                <w:rFonts w:ascii="Calibri" w:eastAsia="Times New Roman" w:hAnsi="Calibri" w:cs="Calibri"/>
                <w:szCs w:val="24"/>
              </w:rPr>
              <w:t xml:space="preserve">. We are </w:t>
            </w:r>
            <w:r w:rsidRPr="000C51B3">
              <w:rPr>
                <w:rFonts w:ascii="Calibri" w:eastAsia="Times New Roman" w:hAnsi="Calibri" w:cs="Calibri"/>
                <w:szCs w:val="24"/>
              </w:rPr>
              <w:t xml:space="preserve">also considering how to plug some of the gaps with a solution around people management </w:t>
            </w:r>
            <w:r w:rsidR="00CB3355" w:rsidRPr="000C51B3">
              <w:rPr>
                <w:rFonts w:ascii="Calibri" w:eastAsia="Times New Roman" w:hAnsi="Calibri" w:cs="Calibri"/>
                <w:szCs w:val="24"/>
              </w:rPr>
              <w:t>skills and</w:t>
            </w:r>
            <w:r w:rsidR="007B6CBE" w:rsidRPr="000C51B3">
              <w:rPr>
                <w:rFonts w:ascii="Calibri" w:eastAsia="Times New Roman" w:hAnsi="Calibri" w:cs="Calibri"/>
                <w:szCs w:val="24"/>
              </w:rPr>
              <w:t xml:space="preserve"> </w:t>
            </w:r>
            <w:r w:rsidRPr="000C51B3">
              <w:rPr>
                <w:rFonts w:ascii="Calibri" w:eastAsia="Times New Roman" w:hAnsi="Calibri" w:cs="Calibri"/>
                <w:szCs w:val="24"/>
              </w:rPr>
              <w:t>planning to roll out monthly online themed sessions to all managers from May 2026.</w:t>
            </w:r>
          </w:p>
          <w:p w14:paraId="10F089C4" w14:textId="77777777" w:rsidR="0054131B" w:rsidRPr="000C51B3" w:rsidRDefault="0054131B" w:rsidP="0054131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4"/>
              </w:rPr>
            </w:pPr>
          </w:p>
          <w:p w14:paraId="58BFA7A3" w14:textId="1328DB28" w:rsidR="0054131B" w:rsidRPr="000C51B3" w:rsidRDefault="0054131B" w:rsidP="00707711">
            <w:pPr>
              <w:ind w:left="482" w:hanging="482"/>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Cs w:val="24"/>
              </w:rPr>
            </w:pPr>
            <w:r w:rsidRPr="000C51B3">
              <w:rPr>
                <w:rFonts w:ascii="Calibri" w:hAnsi="Calibri" w:cs="Calibri"/>
                <w:color w:val="000000" w:themeColor="text1"/>
                <w:szCs w:val="24"/>
              </w:rPr>
              <w:t>6.2   MSFN and SOAC Spring Campaigns successfully delivered</w:t>
            </w:r>
            <w:r w:rsidR="00707711" w:rsidRPr="000C51B3">
              <w:rPr>
                <w:rFonts w:ascii="Calibri" w:hAnsi="Calibri" w:cs="Calibri"/>
                <w:color w:val="000000" w:themeColor="text1"/>
                <w:szCs w:val="24"/>
              </w:rPr>
              <w:t xml:space="preserve">. </w:t>
            </w:r>
            <w:r w:rsidRPr="000C51B3">
              <w:rPr>
                <w:rFonts w:ascii="Calibri" w:hAnsi="Calibri" w:cs="Calibri"/>
                <w:color w:val="000000" w:themeColor="text1"/>
                <w:szCs w:val="24"/>
              </w:rPr>
              <w:t>Accessibility champions identified and training secured in Q4.</w:t>
            </w:r>
          </w:p>
          <w:p w14:paraId="4B8F07C8" w14:textId="77777777" w:rsidR="0054131B" w:rsidRPr="000C51B3" w:rsidRDefault="0054131B" w:rsidP="0054131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Cs w:val="24"/>
              </w:rPr>
            </w:pPr>
          </w:p>
          <w:p w14:paraId="3E5641DD" w14:textId="77777777" w:rsidR="007453AD" w:rsidRPr="000C51B3" w:rsidRDefault="007453AD" w:rsidP="0054131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Cs w:val="24"/>
              </w:rPr>
            </w:pPr>
          </w:p>
          <w:p w14:paraId="492A6F41" w14:textId="77777777" w:rsidR="0054131B" w:rsidRPr="000C51B3" w:rsidRDefault="0054131B" w:rsidP="0054131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Cs w:val="24"/>
              </w:rPr>
            </w:pPr>
          </w:p>
          <w:p w14:paraId="4BD77E7A" w14:textId="54894E54" w:rsidR="00B574D9" w:rsidRPr="000C51B3" w:rsidRDefault="0054131B" w:rsidP="00DD7184">
            <w:pPr>
              <w:ind w:left="482" w:hanging="482"/>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Cs w:val="24"/>
              </w:rPr>
            </w:pPr>
            <w:r w:rsidRPr="000C51B3">
              <w:rPr>
                <w:rFonts w:ascii="Calibri" w:hAnsi="Calibri" w:cs="Calibri"/>
                <w:color w:val="000000" w:themeColor="text1"/>
                <w:szCs w:val="24"/>
              </w:rPr>
              <w:t xml:space="preserve">7.1 </w:t>
            </w:r>
            <w:r w:rsidR="00707711" w:rsidRPr="000C51B3">
              <w:rPr>
                <w:rFonts w:ascii="Calibri" w:hAnsi="Calibri" w:cs="Calibri"/>
                <w:color w:val="000000" w:themeColor="text1"/>
                <w:szCs w:val="24"/>
              </w:rPr>
              <w:t xml:space="preserve">  </w:t>
            </w:r>
            <w:r w:rsidRPr="000C51B3">
              <w:rPr>
                <w:rFonts w:ascii="Calibri" w:hAnsi="Calibri" w:cs="Calibri"/>
                <w:szCs w:val="24"/>
              </w:rPr>
              <w:t xml:space="preserve">Learning Hub growing as more skills clusters added and transfer to </w:t>
            </w:r>
            <w:r w:rsidR="007B6CBE" w:rsidRPr="000C51B3">
              <w:rPr>
                <w:rFonts w:ascii="Calibri" w:hAnsi="Calibri" w:cs="Calibri"/>
                <w:szCs w:val="24"/>
              </w:rPr>
              <w:t>SharePoint</w:t>
            </w:r>
            <w:r w:rsidRPr="000C51B3">
              <w:rPr>
                <w:rFonts w:ascii="Calibri" w:hAnsi="Calibri" w:cs="Calibri"/>
                <w:szCs w:val="24"/>
              </w:rPr>
              <w:t xml:space="preserve"> underway. Four key recommendations arising from the Stress Indicator Tool have been agreed and are being rolled out commencing with </w:t>
            </w:r>
            <w:r w:rsidR="007B6CBE" w:rsidRPr="000C51B3">
              <w:rPr>
                <w:rFonts w:ascii="Calibri" w:hAnsi="Calibri" w:cs="Calibri"/>
                <w:szCs w:val="24"/>
              </w:rPr>
              <w:t xml:space="preserve">the </w:t>
            </w:r>
            <w:r w:rsidRPr="000C51B3">
              <w:rPr>
                <w:rFonts w:ascii="Calibri" w:hAnsi="Calibri" w:cs="Calibri"/>
                <w:szCs w:val="24"/>
              </w:rPr>
              <w:t xml:space="preserve">Respect </w:t>
            </w:r>
            <w:r w:rsidR="007B6CBE" w:rsidRPr="000C51B3">
              <w:rPr>
                <w:rFonts w:ascii="Calibri" w:hAnsi="Calibri" w:cs="Calibri"/>
                <w:szCs w:val="24"/>
              </w:rPr>
              <w:t>C</w:t>
            </w:r>
            <w:r w:rsidRPr="000C51B3">
              <w:rPr>
                <w:rFonts w:ascii="Calibri" w:hAnsi="Calibri" w:cs="Calibri"/>
                <w:szCs w:val="24"/>
              </w:rPr>
              <w:t xml:space="preserve">ampaign. Roadmap for safety culture is underway following </w:t>
            </w:r>
            <w:r w:rsidR="00707711" w:rsidRPr="000C51B3">
              <w:rPr>
                <w:rFonts w:ascii="Calibri" w:hAnsi="Calibri" w:cs="Calibri"/>
                <w:szCs w:val="24"/>
              </w:rPr>
              <w:t>appointment of new</w:t>
            </w:r>
            <w:r w:rsidRPr="000C51B3">
              <w:rPr>
                <w:rFonts w:ascii="Calibri" w:hAnsi="Calibri" w:cs="Calibri"/>
                <w:szCs w:val="24"/>
              </w:rPr>
              <w:t xml:space="preserve"> H&amp;S manager</w:t>
            </w:r>
            <w:r w:rsidR="00707711" w:rsidRPr="000C51B3">
              <w:rPr>
                <w:rFonts w:ascii="Calibri" w:hAnsi="Calibri" w:cs="Calibri"/>
                <w:szCs w:val="24"/>
              </w:rPr>
              <w:t>.</w:t>
            </w:r>
            <w:r w:rsidRPr="000C51B3">
              <w:rPr>
                <w:rFonts w:ascii="Calibri" w:hAnsi="Calibri" w:cs="Calibri"/>
                <w:szCs w:val="24"/>
              </w:rPr>
              <w:t xml:space="preserve"> </w:t>
            </w:r>
          </w:p>
        </w:tc>
      </w:tr>
    </w:tbl>
    <w:p w14:paraId="2DDD5A21" w14:textId="2D50D3F3" w:rsidR="0096019C" w:rsidRPr="000C51B3" w:rsidRDefault="0096019C" w:rsidP="009C29B2">
      <w:pPr>
        <w:rPr>
          <w:rFonts w:ascii="Calibri" w:hAnsi="Calibri" w:cs="Calibri"/>
        </w:rPr>
      </w:pPr>
    </w:p>
    <w:tbl>
      <w:tblPr>
        <w:tblStyle w:val="TableGrid"/>
        <w:tblW w:w="5000" w:type="pct"/>
        <w:tblLook w:val="04A0" w:firstRow="1" w:lastRow="0" w:firstColumn="1" w:lastColumn="0" w:noHBand="0" w:noVBand="1"/>
      </w:tblPr>
      <w:tblGrid>
        <w:gridCol w:w="3306"/>
        <w:gridCol w:w="750"/>
        <w:gridCol w:w="723"/>
        <w:gridCol w:w="876"/>
        <w:gridCol w:w="8293"/>
      </w:tblGrid>
      <w:tr w:rsidR="00CD4B93" w:rsidRPr="000C51B3" w14:paraId="10E15685" w14:textId="77777777" w:rsidTr="0097178F">
        <w:tc>
          <w:tcPr>
            <w:tcW w:w="1185" w:type="pct"/>
            <w:shd w:val="clear" w:color="auto" w:fill="DDD9C3" w:themeFill="background2" w:themeFillShade="E6"/>
          </w:tcPr>
          <w:p w14:paraId="65415CC4" w14:textId="77777777" w:rsidR="00CD4B93" w:rsidRPr="000C51B3" w:rsidRDefault="00CD4B93" w:rsidP="00CE181B">
            <w:pPr>
              <w:rPr>
                <w:rFonts w:ascii="Calibri" w:hAnsi="Calibri" w:cs="Calibri"/>
                <w:b/>
                <w:bCs/>
              </w:rPr>
            </w:pPr>
            <w:r w:rsidRPr="000C51B3">
              <w:rPr>
                <w:rFonts w:ascii="Calibri" w:hAnsi="Calibri" w:cs="Calibri"/>
                <w:b/>
                <w:bCs/>
              </w:rPr>
              <w:t xml:space="preserve">Measure </w:t>
            </w:r>
          </w:p>
        </w:tc>
        <w:tc>
          <w:tcPr>
            <w:tcW w:w="269" w:type="pct"/>
            <w:shd w:val="clear" w:color="auto" w:fill="DDD9C3" w:themeFill="background2" w:themeFillShade="E6"/>
          </w:tcPr>
          <w:p w14:paraId="1790C005" w14:textId="77777777" w:rsidR="00CD4B93" w:rsidRPr="000C51B3" w:rsidRDefault="00CD4B93" w:rsidP="00CE181B">
            <w:pPr>
              <w:rPr>
                <w:rFonts w:ascii="Calibri" w:hAnsi="Calibri" w:cs="Calibri"/>
                <w:b/>
                <w:bCs/>
              </w:rPr>
            </w:pPr>
            <w:r w:rsidRPr="000C51B3">
              <w:rPr>
                <w:rFonts w:ascii="Calibri" w:hAnsi="Calibri" w:cs="Calibri"/>
                <w:b/>
                <w:bCs/>
              </w:rPr>
              <w:t>Q3</w:t>
            </w:r>
          </w:p>
        </w:tc>
        <w:tc>
          <w:tcPr>
            <w:tcW w:w="259" w:type="pct"/>
            <w:shd w:val="clear" w:color="auto" w:fill="DDD9C3" w:themeFill="background2" w:themeFillShade="E6"/>
          </w:tcPr>
          <w:p w14:paraId="27233A1D" w14:textId="77777777" w:rsidR="00CD4B93" w:rsidRPr="000C51B3" w:rsidRDefault="00CD4B93" w:rsidP="00CE181B">
            <w:pPr>
              <w:rPr>
                <w:rFonts w:ascii="Calibri" w:hAnsi="Calibri" w:cs="Calibri"/>
                <w:b/>
                <w:bCs/>
              </w:rPr>
            </w:pPr>
            <w:r w:rsidRPr="000C51B3">
              <w:rPr>
                <w:rFonts w:ascii="Calibri" w:hAnsi="Calibri" w:cs="Calibri"/>
                <w:b/>
                <w:bCs/>
              </w:rPr>
              <w:t>Q4</w:t>
            </w:r>
          </w:p>
        </w:tc>
        <w:tc>
          <w:tcPr>
            <w:tcW w:w="314" w:type="pct"/>
            <w:shd w:val="clear" w:color="auto" w:fill="DDD9C3" w:themeFill="background2" w:themeFillShade="E6"/>
          </w:tcPr>
          <w:p w14:paraId="0D792A27" w14:textId="3DFC22C7" w:rsidR="00CD4B93" w:rsidRPr="000C51B3" w:rsidRDefault="00CD4B93" w:rsidP="00CE181B">
            <w:pPr>
              <w:jc w:val="center"/>
              <w:rPr>
                <w:rFonts w:ascii="Calibri" w:hAnsi="Calibri" w:cs="Calibri"/>
                <w:b/>
                <w:bCs/>
              </w:rPr>
            </w:pPr>
            <w:r w:rsidRPr="000C51B3">
              <w:rPr>
                <w:rFonts w:ascii="Calibri" w:hAnsi="Calibri" w:cs="Calibri"/>
                <w:b/>
                <w:bCs/>
              </w:rPr>
              <w:t>RAG</w:t>
            </w:r>
          </w:p>
        </w:tc>
        <w:tc>
          <w:tcPr>
            <w:tcW w:w="2973" w:type="pct"/>
            <w:shd w:val="clear" w:color="auto" w:fill="DDD9C3" w:themeFill="background2" w:themeFillShade="E6"/>
          </w:tcPr>
          <w:p w14:paraId="7C52D5CF" w14:textId="77777777" w:rsidR="00CD4B93" w:rsidRPr="000C51B3" w:rsidRDefault="00CD4B93" w:rsidP="00CE181B">
            <w:pPr>
              <w:rPr>
                <w:rFonts w:ascii="Calibri" w:hAnsi="Calibri" w:cs="Calibri"/>
                <w:b/>
                <w:bCs/>
              </w:rPr>
            </w:pPr>
            <w:r w:rsidRPr="000C51B3">
              <w:rPr>
                <w:rFonts w:ascii="Calibri" w:hAnsi="Calibri" w:cs="Calibri"/>
                <w:b/>
                <w:bCs/>
              </w:rPr>
              <w:t>Comment</w:t>
            </w:r>
          </w:p>
        </w:tc>
      </w:tr>
      <w:tr w:rsidR="00CD4B93" w:rsidRPr="000C51B3" w14:paraId="17C3DA78" w14:textId="77777777" w:rsidTr="0097178F">
        <w:tc>
          <w:tcPr>
            <w:tcW w:w="1185" w:type="pct"/>
          </w:tcPr>
          <w:p w14:paraId="2FC0EA95" w14:textId="77777777" w:rsidR="00CD4B93" w:rsidRPr="000C51B3" w:rsidRDefault="00CD4B93" w:rsidP="00CE181B">
            <w:pPr>
              <w:rPr>
                <w:rFonts w:ascii="Calibri" w:hAnsi="Calibri" w:cs="Calibri"/>
              </w:rPr>
            </w:pPr>
            <w:r w:rsidRPr="000C51B3">
              <w:rPr>
                <w:rFonts w:ascii="Calibri" w:hAnsi="Calibri" w:cs="Calibri"/>
              </w:rPr>
              <w:t xml:space="preserve">Sq meterage of Floorspace </w:t>
            </w:r>
          </w:p>
        </w:tc>
        <w:tc>
          <w:tcPr>
            <w:tcW w:w="269" w:type="pct"/>
          </w:tcPr>
          <w:p w14:paraId="16F42DCC" w14:textId="77777777" w:rsidR="00CD4B93" w:rsidRPr="000C51B3" w:rsidRDefault="00CD4B93" w:rsidP="00CE181B">
            <w:pPr>
              <w:rPr>
                <w:rFonts w:ascii="Calibri" w:hAnsi="Calibri" w:cs="Calibri"/>
              </w:rPr>
            </w:pPr>
            <w:r w:rsidRPr="000C51B3">
              <w:rPr>
                <w:rFonts w:ascii="Calibri" w:hAnsi="Calibri" w:cs="Calibri"/>
              </w:rPr>
              <w:t>5335</w:t>
            </w:r>
          </w:p>
        </w:tc>
        <w:tc>
          <w:tcPr>
            <w:tcW w:w="259" w:type="pct"/>
          </w:tcPr>
          <w:p w14:paraId="308DB284" w14:textId="77777777" w:rsidR="00CD4B93" w:rsidRPr="000C51B3" w:rsidRDefault="00CD4B93" w:rsidP="00CE181B">
            <w:pPr>
              <w:rPr>
                <w:rFonts w:ascii="Calibri" w:hAnsi="Calibri" w:cs="Calibri"/>
              </w:rPr>
            </w:pPr>
            <w:r w:rsidRPr="000C51B3">
              <w:rPr>
                <w:rFonts w:ascii="Calibri" w:hAnsi="Calibri" w:cs="Calibri"/>
              </w:rPr>
              <w:t>5335</w:t>
            </w:r>
          </w:p>
        </w:tc>
        <w:tc>
          <w:tcPr>
            <w:tcW w:w="314" w:type="pct"/>
            <w:shd w:val="clear" w:color="auto" w:fill="FFCE3C"/>
          </w:tcPr>
          <w:p w14:paraId="47064FC3" w14:textId="66A27073" w:rsidR="00CD4B93" w:rsidRPr="000C51B3" w:rsidRDefault="00CD4B93" w:rsidP="00CE181B">
            <w:pPr>
              <w:jc w:val="center"/>
              <w:rPr>
                <w:rFonts w:ascii="Calibri" w:hAnsi="Calibri" w:cs="Calibri"/>
                <w:szCs w:val="24"/>
              </w:rPr>
            </w:pPr>
            <w:r w:rsidRPr="000C51B3">
              <w:rPr>
                <w:rFonts w:ascii="Calibri" w:hAnsi="Calibri" w:cs="Calibri"/>
                <w:szCs w:val="24"/>
              </w:rPr>
              <w:t>Amber</w:t>
            </w:r>
          </w:p>
        </w:tc>
        <w:tc>
          <w:tcPr>
            <w:tcW w:w="2973" w:type="pct"/>
          </w:tcPr>
          <w:p w14:paraId="582ED590" w14:textId="01D122BF" w:rsidR="00CD4B93" w:rsidRPr="000C51B3" w:rsidRDefault="00CD4B93" w:rsidP="00CE181B">
            <w:pPr>
              <w:rPr>
                <w:rFonts w:ascii="Calibri" w:hAnsi="Calibri" w:cs="Calibri"/>
              </w:rPr>
            </w:pPr>
            <w:r w:rsidRPr="000C51B3">
              <w:rPr>
                <w:rFonts w:ascii="Calibri" w:hAnsi="Calibri" w:cs="Calibri"/>
              </w:rPr>
              <w:t>Focus is on the Perth move and Inverness review</w:t>
            </w:r>
          </w:p>
        </w:tc>
      </w:tr>
      <w:tr w:rsidR="00CD4B93" w:rsidRPr="000C51B3" w14:paraId="5108B444" w14:textId="77777777" w:rsidTr="0097178F">
        <w:tc>
          <w:tcPr>
            <w:tcW w:w="1185" w:type="pct"/>
          </w:tcPr>
          <w:p w14:paraId="4FA0E950" w14:textId="77777777" w:rsidR="00CD4B93" w:rsidRPr="000C51B3" w:rsidRDefault="00CD4B93" w:rsidP="00CE181B">
            <w:pPr>
              <w:rPr>
                <w:rFonts w:ascii="Calibri" w:hAnsi="Calibri" w:cs="Calibri"/>
              </w:rPr>
            </w:pPr>
            <w:r w:rsidRPr="000C51B3">
              <w:rPr>
                <w:rFonts w:ascii="Calibri" w:hAnsi="Calibri" w:cs="Calibri"/>
              </w:rPr>
              <w:t xml:space="preserve">% of Implement Audit </w:t>
            </w:r>
          </w:p>
        </w:tc>
        <w:tc>
          <w:tcPr>
            <w:tcW w:w="269" w:type="pct"/>
          </w:tcPr>
          <w:p w14:paraId="6B2372FC" w14:textId="77777777" w:rsidR="00CD4B93" w:rsidRPr="000C51B3" w:rsidRDefault="00CD4B93" w:rsidP="00CE181B">
            <w:pPr>
              <w:rPr>
                <w:rFonts w:ascii="Calibri" w:hAnsi="Calibri" w:cs="Calibri"/>
              </w:rPr>
            </w:pPr>
            <w:r w:rsidRPr="000C51B3">
              <w:rPr>
                <w:rFonts w:ascii="Calibri" w:hAnsi="Calibri" w:cs="Calibri"/>
              </w:rPr>
              <w:t>86%</w:t>
            </w:r>
          </w:p>
        </w:tc>
        <w:tc>
          <w:tcPr>
            <w:tcW w:w="259" w:type="pct"/>
          </w:tcPr>
          <w:p w14:paraId="49FF0DFB" w14:textId="77777777" w:rsidR="00CD4B93" w:rsidRPr="000C51B3" w:rsidRDefault="00CD4B93" w:rsidP="00CE181B">
            <w:pPr>
              <w:rPr>
                <w:rFonts w:ascii="Calibri" w:hAnsi="Calibri" w:cs="Calibri"/>
              </w:rPr>
            </w:pPr>
            <w:r w:rsidRPr="000C51B3">
              <w:rPr>
                <w:rFonts w:ascii="Calibri" w:hAnsi="Calibri" w:cs="Calibri"/>
              </w:rPr>
              <w:t>89%</w:t>
            </w:r>
          </w:p>
        </w:tc>
        <w:tc>
          <w:tcPr>
            <w:tcW w:w="314" w:type="pct"/>
            <w:shd w:val="clear" w:color="auto" w:fill="00B050"/>
          </w:tcPr>
          <w:p w14:paraId="58C82754" w14:textId="62498F56" w:rsidR="00CD4B93" w:rsidRPr="000C51B3" w:rsidRDefault="00CD4B93" w:rsidP="00CE181B">
            <w:pPr>
              <w:jc w:val="center"/>
              <w:rPr>
                <w:rFonts w:ascii="Calibri" w:hAnsi="Calibri" w:cs="Calibri"/>
                <w:szCs w:val="24"/>
              </w:rPr>
            </w:pPr>
            <w:r w:rsidRPr="000C51B3">
              <w:rPr>
                <w:rFonts w:ascii="Calibri" w:hAnsi="Calibri" w:cs="Calibri"/>
                <w:szCs w:val="24"/>
              </w:rPr>
              <w:t>Green</w:t>
            </w:r>
          </w:p>
        </w:tc>
        <w:tc>
          <w:tcPr>
            <w:tcW w:w="2973" w:type="pct"/>
          </w:tcPr>
          <w:p w14:paraId="1199B6DB" w14:textId="77777777" w:rsidR="00CD4B93" w:rsidRPr="000C51B3" w:rsidRDefault="00CD4B93" w:rsidP="00CE181B">
            <w:pPr>
              <w:rPr>
                <w:rFonts w:ascii="Calibri" w:hAnsi="Calibri" w:cs="Calibri"/>
              </w:rPr>
            </w:pPr>
            <w:r w:rsidRPr="000C51B3">
              <w:rPr>
                <w:rFonts w:ascii="Calibri" w:hAnsi="Calibri" w:cs="Calibri"/>
              </w:rPr>
              <w:t>Focus in on Priority 1 implementation. Only 1 was delayed.</w:t>
            </w:r>
          </w:p>
        </w:tc>
      </w:tr>
      <w:tr w:rsidR="00CD4B93" w:rsidRPr="000C51B3" w14:paraId="0E76C799" w14:textId="77777777" w:rsidTr="0097178F">
        <w:tc>
          <w:tcPr>
            <w:tcW w:w="1185" w:type="pct"/>
          </w:tcPr>
          <w:p w14:paraId="55F88432" w14:textId="77777777" w:rsidR="00CD4B93" w:rsidRPr="000C51B3" w:rsidRDefault="00CD4B93" w:rsidP="00CE181B">
            <w:pPr>
              <w:rPr>
                <w:rFonts w:ascii="Calibri" w:hAnsi="Calibri" w:cs="Calibri"/>
              </w:rPr>
            </w:pPr>
            <w:r w:rsidRPr="000C51B3">
              <w:rPr>
                <w:rFonts w:ascii="Calibri" w:hAnsi="Calibri" w:cs="Calibri"/>
              </w:rPr>
              <w:t>Complaints</w:t>
            </w:r>
          </w:p>
        </w:tc>
        <w:tc>
          <w:tcPr>
            <w:tcW w:w="269" w:type="pct"/>
          </w:tcPr>
          <w:p w14:paraId="39F456CB" w14:textId="77777777" w:rsidR="00CD4B93" w:rsidRPr="000C51B3" w:rsidRDefault="00CD4B93" w:rsidP="00CE181B">
            <w:pPr>
              <w:rPr>
                <w:rFonts w:ascii="Calibri" w:hAnsi="Calibri" w:cs="Calibri"/>
              </w:rPr>
            </w:pPr>
            <w:r w:rsidRPr="000C51B3">
              <w:rPr>
                <w:rFonts w:ascii="Calibri" w:hAnsi="Calibri" w:cs="Calibri"/>
              </w:rPr>
              <w:t>32</w:t>
            </w:r>
          </w:p>
        </w:tc>
        <w:tc>
          <w:tcPr>
            <w:tcW w:w="259" w:type="pct"/>
          </w:tcPr>
          <w:p w14:paraId="6DB28169" w14:textId="77777777" w:rsidR="00CD4B93" w:rsidRPr="000C51B3" w:rsidRDefault="00CD4B93" w:rsidP="00CE181B">
            <w:pPr>
              <w:rPr>
                <w:rFonts w:ascii="Calibri" w:hAnsi="Calibri" w:cs="Calibri"/>
              </w:rPr>
            </w:pPr>
            <w:r w:rsidRPr="000C51B3">
              <w:rPr>
                <w:rFonts w:ascii="Calibri" w:hAnsi="Calibri" w:cs="Calibri"/>
              </w:rPr>
              <w:t>64</w:t>
            </w:r>
          </w:p>
        </w:tc>
        <w:tc>
          <w:tcPr>
            <w:tcW w:w="314" w:type="pct"/>
            <w:shd w:val="clear" w:color="auto" w:fill="FF0000"/>
          </w:tcPr>
          <w:p w14:paraId="741B86E9" w14:textId="2933BE3A" w:rsidR="00CD4B93" w:rsidRPr="000C51B3" w:rsidRDefault="00CD4B93" w:rsidP="00CE181B">
            <w:pPr>
              <w:jc w:val="center"/>
              <w:rPr>
                <w:rFonts w:ascii="Calibri" w:hAnsi="Calibri" w:cs="Calibri"/>
                <w:szCs w:val="24"/>
              </w:rPr>
            </w:pPr>
            <w:r w:rsidRPr="000C51B3">
              <w:rPr>
                <w:rFonts w:ascii="Calibri" w:hAnsi="Calibri" w:cs="Calibri"/>
                <w:szCs w:val="24"/>
              </w:rPr>
              <w:t>Red</w:t>
            </w:r>
          </w:p>
        </w:tc>
        <w:tc>
          <w:tcPr>
            <w:tcW w:w="2973" w:type="pct"/>
          </w:tcPr>
          <w:p w14:paraId="5F139CE4" w14:textId="77777777" w:rsidR="00CD4B93" w:rsidRPr="000C51B3" w:rsidRDefault="00CD4B93" w:rsidP="00CE181B">
            <w:pPr>
              <w:rPr>
                <w:rFonts w:ascii="Calibri" w:hAnsi="Calibri" w:cs="Calibri"/>
              </w:rPr>
            </w:pPr>
            <w:r w:rsidRPr="000C51B3">
              <w:rPr>
                <w:rFonts w:ascii="Calibri" w:hAnsi="Calibri" w:cs="Calibri"/>
              </w:rPr>
              <w:t>Vast majority relate to Guga Hunt. 57 (89%) complaints met timescale.</w:t>
            </w:r>
          </w:p>
        </w:tc>
      </w:tr>
      <w:tr w:rsidR="00CD4B93" w:rsidRPr="000C51B3" w14:paraId="33E6386A" w14:textId="77777777" w:rsidTr="0097178F">
        <w:tc>
          <w:tcPr>
            <w:tcW w:w="1185" w:type="pct"/>
          </w:tcPr>
          <w:p w14:paraId="7DD3FA37" w14:textId="77777777" w:rsidR="00CD4B93" w:rsidRPr="000C51B3" w:rsidRDefault="00CD4B93" w:rsidP="00CE181B">
            <w:pPr>
              <w:rPr>
                <w:rFonts w:ascii="Calibri" w:hAnsi="Calibri" w:cs="Calibri"/>
              </w:rPr>
            </w:pPr>
            <w:r w:rsidRPr="000C51B3">
              <w:rPr>
                <w:rFonts w:ascii="Calibri" w:hAnsi="Calibri" w:cs="Calibri"/>
              </w:rPr>
              <w:t>FOI</w:t>
            </w:r>
          </w:p>
        </w:tc>
        <w:tc>
          <w:tcPr>
            <w:tcW w:w="269" w:type="pct"/>
          </w:tcPr>
          <w:p w14:paraId="483314AE" w14:textId="77777777" w:rsidR="00CD4B93" w:rsidRPr="000C51B3" w:rsidRDefault="00CD4B93" w:rsidP="00CE181B">
            <w:pPr>
              <w:rPr>
                <w:rFonts w:ascii="Calibri" w:hAnsi="Calibri" w:cs="Calibri"/>
              </w:rPr>
            </w:pPr>
            <w:r w:rsidRPr="000C51B3">
              <w:rPr>
                <w:rFonts w:ascii="Calibri" w:hAnsi="Calibri" w:cs="Calibri"/>
              </w:rPr>
              <w:t>100</w:t>
            </w:r>
          </w:p>
        </w:tc>
        <w:tc>
          <w:tcPr>
            <w:tcW w:w="259" w:type="pct"/>
          </w:tcPr>
          <w:p w14:paraId="6AAD250F" w14:textId="77777777" w:rsidR="00CD4B93" w:rsidRPr="000C51B3" w:rsidRDefault="00CD4B93" w:rsidP="00CE181B">
            <w:pPr>
              <w:rPr>
                <w:rFonts w:ascii="Calibri" w:hAnsi="Calibri" w:cs="Calibri"/>
              </w:rPr>
            </w:pPr>
            <w:r w:rsidRPr="000C51B3">
              <w:rPr>
                <w:rFonts w:ascii="Calibri" w:hAnsi="Calibri" w:cs="Calibri"/>
              </w:rPr>
              <w:t>86</w:t>
            </w:r>
          </w:p>
        </w:tc>
        <w:tc>
          <w:tcPr>
            <w:tcW w:w="314" w:type="pct"/>
            <w:shd w:val="clear" w:color="auto" w:fill="FF0000"/>
          </w:tcPr>
          <w:p w14:paraId="0F73A617" w14:textId="3381B7A7" w:rsidR="00CD4B93" w:rsidRPr="000C51B3" w:rsidRDefault="00CD4B93" w:rsidP="00CE181B">
            <w:pPr>
              <w:jc w:val="center"/>
              <w:rPr>
                <w:rFonts w:ascii="Calibri" w:hAnsi="Calibri" w:cs="Calibri"/>
                <w:szCs w:val="24"/>
              </w:rPr>
            </w:pPr>
            <w:r w:rsidRPr="000C51B3">
              <w:rPr>
                <w:rFonts w:ascii="Calibri" w:hAnsi="Calibri" w:cs="Calibri"/>
                <w:szCs w:val="24"/>
              </w:rPr>
              <w:t>Red</w:t>
            </w:r>
          </w:p>
        </w:tc>
        <w:tc>
          <w:tcPr>
            <w:tcW w:w="2973" w:type="pct"/>
          </w:tcPr>
          <w:p w14:paraId="62B77A93" w14:textId="77777777" w:rsidR="00CD4B93" w:rsidRPr="000C51B3" w:rsidRDefault="00CD4B93" w:rsidP="00CE181B">
            <w:pPr>
              <w:rPr>
                <w:rFonts w:ascii="Calibri" w:hAnsi="Calibri" w:cs="Calibri"/>
              </w:rPr>
            </w:pPr>
            <w:r w:rsidRPr="000C51B3">
              <w:rPr>
                <w:rFonts w:ascii="Calibri" w:hAnsi="Calibri" w:cs="Calibri"/>
              </w:rPr>
              <w:t>Numbers received reduced but late response due in Q4 up to 13 from 4 in Q3</w:t>
            </w:r>
          </w:p>
        </w:tc>
      </w:tr>
    </w:tbl>
    <w:p w14:paraId="619807F4" w14:textId="77777777" w:rsidR="00CD4B93" w:rsidRPr="000C51B3" w:rsidRDefault="00CD4B93" w:rsidP="009C29B2">
      <w:pPr>
        <w:rPr>
          <w:rFonts w:ascii="Calibri" w:hAnsi="Calibri" w:cs="Calibri"/>
          <w:b/>
          <w:bCs/>
        </w:rPr>
        <w:sectPr w:rsidR="00CD4B93" w:rsidRPr="000C51B3" w:rsidSect="00947D2D">
          <w:footerReference w:type="default" r:id="rId21"/>
          <w:pgSz w:w="16838" w:h="11906" w:orient="landscape" w:code="9"/>
          <w:pgMar w:top="1440" w:right="1440" w:bottom="1440" w:left="1440" w:header="709" w:footer="709" w:gutter="0"/>
          <w:cols w:space="708"/>
          <w:docGrid w:linePitch="360"/>
        </w:sectPr>
      </w:pPr>
    </w:p>
    <w:p w14:paraId="450AE74D" w14:textId="2251E14D" w:rsidR="00BE0C0A" w:rsidRDefault="005A56D1" w:rsidP="00977B59">
      <w:pPr>
        <w:pStyle w:val="Heading1"/>
      </w:pPr>
      <w:r w:rsidRPr="000C51B3">
        <w:lastRenderedPageBreak/>
        <w:t xml:space="preserve">Appendix 5 </w:t>
      </w:r>
      <w:r w:rsidR="00C5457F" w:rsidRPr="000C51B3">
        <w:t xml:space="preserve">- </w:t>
      </w:r>
      <w:r w:rsidRPr="000C51B3">
        <w:t>Year in Review</w:t>
      </w:r>
      <w:r w:rsidR="00B943CB" w:rsidRPr="000C51B3">
        <w:t xml:space="preserve"> </w:t>
      </w:r>
    </w:p>
    <w:p w14:paraId="038CA8F2" w14:textId="77777777" w:rsidR="0097178F" w:rsidRPr="0097178F" w:rsidRDefault="0097178F" w:rsidP="0097178F"/>
    <w:p w14:paraId="134990D3" w14:textId="0F2754C4" w:rsidR="00880A62" w:rsidRDefault="007D5E6C">
      <w:pPr>
        <w:pStyle w:val="ListParagraph"/>
        <w:numPr>
          <w:ilvl w:val="0"/>
          <w:numId w:val="10"/>
        </w:numPr>
        <w:ind w:left="284" w:hanging="284"/>
        <w:jc w:val="both"/>
        <w:rPr>
          <w:rFonts w:ascii="Calibri" w:hAnsi="Calibri" w:cs="Calibri"/>
        </w:rPr>
      </w:pPr>
      <w:r w:rsidRPr="000C51B3">
        <w:rPr>
          <w:rFonts w:ascii="Calibri" w:hAnsi="Calibri" w:cs="Calibri"/>
        </w:rPr>
        <w:t>Our 2025/26 Business Plan established</w:t>
      </w:r>
      <w:r w:rsidR="006A1A80" w:rsidRPr="000C51B3">
        <w:rPr>
          <w:rFonts w:ascii="Calibri" w:hAnsi="Calibri" w:cs="Calibri"/>
        </w:rPr>
        <w:t>, as</w:t>
      </w:r>
      <w:r w:rsidRPr="000C51B3">
        <w:rPr>
          <w:rFonts w:ascii="Calibri" w:hAnsi="Calibri" w:cs="Calibri"/>
        </w:rPr>
        <w:t xml:space="preserve"> </w:t>
      </w:r>
      <w:r w:rsidR="006A1A80" w:rsidRPr="000C51B3">
        <w:rPr>
          <w:rFonts w:ascii="Calibri" w:hAnsi="Calibri" w:cs="Calibri"/>
        </w:rPr>
        <w:t>a</w:t>
      </w:r>
      <w:r w:rsidR="00880A62" w:rsidRPr="000C51B3">
        <w:rPr>
          <w:rFonts w:ascii="Calibri" w:hAnsi="Calibri" w:cs="Calibri"/>
        </w:rPr>
        <w:t xml:space="preserve"> guiding principle</w:t>
      </w:r>
      <w:r w:rsidR="006A1A80" w:rsidRPr="000C51B3">
        <w:rPr>
          <w:rFonts w:ascii="Calibri" w:hAnsi="Calibri" w:cs="Calibri"/>
        </w:rPr>
        <w:t>,</w:t>
      </w:r>
      <w:r w:rsidR="00880A62" w:rsidRPr="000C51B3">
        <w:rPr>
          <w:rFonts w:ascii="Calibri" w:hAnsi="Calibri" w:cs="Calibri"/>
        </w:rPr>
        <w:t xml:space="preserve"> </w:t>
      </w:r>
      <w:r w:rsidR="004D51E9" w:rsidRPr="000C51B3">
        <w:rPr>
          <w:rFonts w:ascii="Calibri" w:hAnsi="Calibri" w:cs="Calibri"/>
        </w:rPr>
        <w:t>working</w:t>
      </w:r>
      <w:r w:rsidR="00880A62" w:rsidRPr="000C51B3">
        <w:rPr>
          <w:rFonts w:ascii="Calibri" w:hAnsi="Calibri" w:cs="Calibri"/>
        </w:rPr>
        <w:t xml:space="preserve"> collaboratively with the Scottish Government</w:t>
      </w:r>
      <w:r w:rsidR="006A1A80" w:rsidRPr="000C51B3">
        <w:rPr>
          <w:rFonts w:ascii="Calibri" w:hAnsi="Calibri" w:cs="Calibri"/>
        </w:rPr>
        <w:t xml:space="preserve"> (SG)</w:t>
      </w:r>
      <w:r w:rsidR="00880A62" w:rsidRPr="000C51B3">
        <w:rPr>
          <w:rFonts w:ascii="Calibri" w:hAnsi="Calibri" w:cs="Calibri"/>
        </w:rPr>
        <w:t xml:space="preserve"> and partner agencies</w:t>
      </w:r>
      <w:r w:rsidR="004D51E9" w:rsidRPr="000C51B3">
        <w:rPr>
          <w:rFonts w:ascii="Calibri" w:hAnsi="Calibri" w:cs="Calibri"/>
        </w:rPr>
        <w:t>,</w:t>
      </w:r>
      <w:r w:rsidR="00880A62" w:rsidRPr="000C51B3">
        <w:rPr>
          <w:rFonts w:ascii="Calibri" w:hAnsi="Calibri" w:cs="Calibri"/>
        </w:rPr>
        <w:t xml:space="preserve"> </w:t>
      </w:r>
      <w:r w:rsidR="006A1A80" w:rsidRPr="000C51B3">
        <w:rPr>
          <w:rFonts w:ascii="Calibri" w:hAnsi="Calibri" w:cs="Calibri"/>
        </w:rPr>
        <w:t>so</w:t>
      </w:r>
      <w:r w:rsidRPr="000C51B3">
        <w:rPr>
          <w:rFonts w:ascii="Calibri" w:hAnsi="Calibri" w:cs="Calibri"/>
        </w:rPr>
        <w:t xml:space="preserve"> we welcomed </w:t>
      </w:r>
      <w:r w:rsidR="00880A62" w:rsidRPr="000C51B3">
        <w:rPr>
          <w:rFonts w:ascii="Calibri" w:hAnsi="Calibri" w:cs="Calibri"/>
        </w:rPr>
        <w:t xml:space="preserve">the </w:t>
      </w:r>
      <w:r w:rsidRPr="000C51B3">
        <w:rPr>
          <w:rFonts w:ascii="Calibri" w:hAnsi="Calibri" w:cs="Calibri"/>
        </w:rPr>
        <w:t xml:space="preserve">launch of the </w:t>
      </w:r>
      <w:r w:rsidR="00880A62" w:rsidRPr="000C51B3">
        <w:rPr>
          <w:rFonts w:ascii="Calibri" w:hAnsi="Calibri" w:cs="Calibri"/>
        </w:rPr>
        <w:t xml:space="preserve">Scottish Biodiversity Strategy (SBS) and </w:t>
      </w:r>
      <w:r w:rsidRPr="000C51B3">
        <w:rPr>
          <w:rFonts w:ascii="Calibri" w:hAnsi="Calibri" w:cs="Calibri"/>
        </w:rPr>
        <w:t>its</w:t>
      </w:r>
      <w:r w:rsidR="00880A62" w:rsidRPr="000C51B3">
        <w:rPr>
          <w:rFonts w:ascii="Calibri" w:hAnsi="Calibri" w:cs="Calibri"/>
        </w:rPr>
        <w:t xml:space="preserve"> six-year Delivery Plan</w:t>
      </w:r>
      <w:r w:rsidRPr="000C51B3">
        <w:rPr>
          <w:rFonts w:ascii="Calibri" w:hAnsi="Calibri" w:cs="Calibri"/>
        </w:rPr>
        <w:t>.</w:t>
      </w:r>
      <w:r w:rsidR="00880A62" w:rsidRPr="000C51B3">
        <w:rPr>
          <w:rFonts w:ascii="Calibri" w:hAnsi="Calibri" w:cs="Calibri"/>
        </w:rPr>
        <w:t xml:space="preserve"> </w:t>
      </w:r>
      <w:r w:rsidRPr="000C51B3">
        <w:rPr>
          <w:rFonts w:ascii="Calibri" w:hAnsi="Calibri" w:cs="Calibri"/>
        </w:rPr>
        <w:t>Our Business Plan</w:t>
      </w:r>
      <w:r w:rsidR="00880A62" w:rsidRPr="000C51B3">
        <w:rPr>
          <w:rFonts w:ascii="Calibri" w:hAnsi="Calibri" w:cs="Calibri"/>
        </w:rPr>
        <w:t xml:space="preserve"> reflect</w:t>
      </w:r>
      <w:r w:rsidRPr="000C51B3">
        <w:rPr>
          <w:rFonts w:ascii="Calibri" w:hAnsi="Calibri" w:cs="Calibri"/>
        </w:rPr>
        <w:t>ed</w:t>
      </w:r>
      <w:r w:rsidR="00880A62" w:rsidRPr="000C51B3">
        <w:rPr>
          <w:rFonts w:ascii="Calibri" w:hAnsi="Calibri" w:cs="Calibri"/>
        </w:rPr>
        <w:t xml:space="preserve"> </w:t>
      </w:r>
      <w:r w:rsidR="006A1A80" w:rsidRPr="000C51B3">
        <w:rPr>
          <w:rFonts w:ascii="Calibri" w:hAnsi="Calibri" w:cs="Calibri"/>
        </w:rPr>
        <w:t xml:space="preserve">the vital  importance of SBS getting off to the best possible start </w:t>
      </w:r>
      <w:r w:rsidR="00880A62" w:rsidRPr="000C51B3">
        <w:rPr>
          <w:rFonts w:ascii="Calibri" w:hAnsi="Calibri" w:cs="Calibri"/>
        </w:rPr>
        <w:t xml:space="preserve">and set out four foundation blocks essential for </w:t>
      </w:r>
      <w:r w:rsidR="006A1A80" w:rsidRPr="000C51B3">
        <w:rPr>
          <w:rFonts w:ascii="Calibri" w:hAnsi="Calibri" w:cs="Calibri"/>
        </w:rPr>
        <w:t xml:space="preserve">its </w:t>
      </w:r>
      <w:r w:rsidR="00880A62" w:rsidRPr="000C51B3">
        <w:rPr>
          <w:rFonts w:ascii="Calibri" w:hAnsi="Calibri" w:cs="Calibri"/>
        </w:rPr>
        <w:t xml:space="preserve">success </w:t>
      </w:r>
      <w:r w:rsidRPr="000C51B3">
        <w:rPr>
          <w:rFonts w:ascii="Calibri" w:hAnsi="Calibri" w:cs="Calibri"/>
        </w:rPr>
        <w:t>that</w:t>
      </w:r>
      <w:r w:rsidR="00880A62" w:rsidRPr="000C51B3">
        <w:rPr>
          <w:rFonts w:ascii="Calibri" w:hAnsi="Calibri" w:cs="Calibri"/>
        </w:rPr>
        <w:t xml:space="preserve"> </w:t>
      </w:r>
      <w:r w:rsidRPr="000C51B3">
        <w:rPr>
          <w:rFonts w:ascii="Calibri" w:hAnsi="Calibri" w:cs="Calibri"/>
        </w:rPr>
        <w:t xml:space="preserve">also </w:t>
      </w:r>
      <w:r w:rsidR="00880A62" w:rsidRPr="000C51B3">
        <w:rPr>
          <w:rFonts w:ascii="Calibri" w:hAnsi="Calibri" w:cs="Calibri"/>
        </w:rPr>
        <w:t>provide</w:t>
      </w:r>
      <w:r w:rsidRPr="000C51B3">
        <w:rPr>
          <w:rFonts w:ascii="Calibri" w:hAnsi="Calibri" w:cs="Calibri"/>
        </w:rPr>
        <w:t>d</w:t>
      </w:r>
      <w:r w:rsidR="00880A62" w:rsidRPr="000C51B3">
        <w:rPr>
          <w:rFonts w:ascii="Calibri" w:hAnsi="Calibri" w:cs="Calibri"/>
        </w:rPr>
        <w:t xml:space="preserve"> focus and depth to our work</w:t>
      </w:r>
      <w:r w:rsidRPr="000C51B3">
        <w:rPr>
          <w:rFonts w:ascii="Calibri" w:hAnsi="Calibri" w:cs="Calibri"/>
        </w:rPr>
        <w:t>.</w:t>
      </w:r>
    </w:p>
    <w:p w14:paraId="3A3B2EAC" w14:textId="77777777" w:rsidR="0097178F" w:rsidRPr="000C51B3" w:rsidRDefault="0097178F" w:rsidP="0097178F">
      <w:pPr>
        <w:pStyle w:val="ListParagraph"/>
        <w:ind w:left="284"/>
        <w:jc w:val="both"/>
        <w:rPr>
          <w:rFonts w:ascii="Calibri" w:hAnsi="Calibri" w:cs="Calibri"/>
        </w:rPr>
      </w:pPr>
    </w:p>
    <w:p w14:paraId="247D8018" w14:textId="72EBA1C4" w:rsidR="007D5E6C" w:rsidRPr="000C51B3" w:rsidRDefault="007D5E6C">
      <w:pPr>
        <w:pStyle w:val="ListParagraph"/>
        <w:numPr>
          <w:ilvl w:val="0"/>
          <w:numId w:val="10"/>
        </w:numPr>
        <w:ind w:left="284" w:hanging="284"/>
        <w:jc w:val="both"/>
        <w:rPr>
          <w:rFonts w:ascii="Calibri" w:hAnsi="Calibri" w:cs="Calibri"/>
        </w:rPr>
      </w:pPr>
      <w:r w:rsidRPr="000C51B3">
        <w:rPr>
          <w:rFonts w:ascii="Calibri" w:hAnsi="Calibri" w:cs="Calibri"/>
        </w:rPr>
        <w:t xml:space="preserve">We have summarised our achievements </w:t>
      </w:r>
      <w:r w:rsidR="0056430E" w:rsidRPr="000C51B3">
        <w:rPr>
          <w:rFonts w:ascii="Calibri" w:hAnsi="Calibri" w:cs="Calibri"/>
        </w:rPr>
        <w:t>in line with each of the foundation blocks</w:t>
      </w:r>
      <w:r w:rsidR="006A1A80" w:rsidRPr="000C51B3">
        <w:rPr>
          <w:rFonts w:ascii="Calibri" w:hAnsi="Calibri" w:cs="Calibri"/>
        </w:rPr>
        <w:t>.</w:t>
      </w:r>
      <w:r w:rsidRPr="000C51B3">
        <w:rPr>
          <w:rFonts w:ascii="Calibri" w:hAnsi="Calibri" w:cs="Calibri"/>
        </w:rPr>
        <w:t xml:space="preserve"> </w:t>
      </w:r>
    </w:p>
    <w:p w14:paraId="76017446" w14:textId="77777777" w:rsidR="00880A62" w:rsidRPr="000C51B3" w:rsidRDefault="00880A62" w:rsidP="00266152">
      <w:pPr>
        <w:rPr>
          <w:rFonts w:ascii="Calibri" w:hAnsi="Calibri" w:cs="Calibri"/>
          <w:b/>
          <w:bCs/>
        </w:rPr>
      </w:pPr>
      <w:r w:rsidRPr="00977B59">
        <w:rPr>
          <w:rStyle w:val="Heading2Char"/>
        </w:rPr>
        <w:t>Drive nature positive change in agricultural practice, land use and the marine environmen</w:t>
      </w:r>
      <w:r w:rsidRPr="000C51B3">
        <w:rPr>
          <w:rFonts w:ascii="Calibri" w:hAnsi="Calibri" w:cs="Calibri"/>
          <w:b/>
          <w:bCs/>
        </w:rPr>
        <w:t xml:space="preserve">t </w:t>
      </w:r>
    </w:p>
    <w:p w14:paraId="50982775" w14:textId="65CD1561" w:rsidR="00563D11" w:rsidRDefault="00563D11">
      <w:pPr>
        <w:pStyle w:val="ListParagraph"/>
        <w:numPr>
          <w:ilvl w:val="0"/>
          <w:numId w:val="10"/>
        </w:numPr>
        <w:ind w:left="284" w:hanging="284"/>
        <w:jc w:val="both"/>
        <w:rPr>
          <w:rFonts w:ascii="Calibri" w:hAnsi="Calibri" w:cs="Calibri"/>
        </w:rPr>
      </w:pPr>
      <w:r w:rsidRPr="000C51B3">
        <w:rPr>
          <w:rFonts w:ascii="Calibri" w:hAnsi="Calibri" w:cs="Calibri"/>
        </w:rPr>
        <w:t xml:space="preserve">We are forecasting to restore </w:t>
      </w:r>
      <w:r w:rsidR="00717294" w:rsidRPr="000C51B3">
        <w:rPr>
          <w:rFonts w:ascii="Calibri" w:hAnsi="Calibri" w:cs="Calibri"/>
        </w:rPr>
        <w:t xml:space="preserve">over </w:t>
      </w:r>
      <w:r w:rsidRPr="000C51B3">
        <w:rPr>
          <w:rFonts w:ascii="Calibri" w:hAnsi="Calibri" w:cs="Calibri"/>
        </w:rPr>
        <w:t>1</w:t>
      </w:r>
      <w:r w:rsidR="00717294" w:rsidRPr="000C51B3">
        <w:rPr>
          <w:rFonts w:ascii="Calibri" w:hAnsi="Calibri" w:cs="Calibri"/>
        </w:rPr>
        <w:t>0</w:t>
      </w:r>
      <w:r w:rsidRPr="000C51B3">
        <w:rPr>
          <w:rFonts w:ascii="Calibri" w:hAnsi="Calibri" w:cs="Calibri"/>
        </w:rPr>
        <w:t>,000ha of peatland</w:t>
      </w:r>
      <w:r w:rsidR="00717294" w:rsidRPr="000C51B3">
        <w:rPr>
          <w:rFonts w:ascii="Calibri" w:hAnsi="Calibri" w:cs="Calibri"/>
        </w:rPr>
        <w:t xml:space="preserve">. Final outturn figures will be verified in </w:t>
      </w:r>
      <w:r w:rsidR="00F071B2" w:rsidRPr="000C51B3">
        <w:rPr>
          <w:rFonts w:ascii="Calibri" w:hAnsi="Calibri" w:cs="Calibri"/>
        </w:rPr>
        <w:t>mid-May</w:t>
      </w:r>
      <w:r w:rsidR="00717294" w:rsidRPr="000C51B3">
        <w:rPr>
          <w:rFonts w:ascii="Calibri" w:hAnsi="Calibri" w:cs="Calibri"/>
        </w:rPr>
        <w:t xml:space="preserve"> while we process and verify final claims. </w:t>
      </w:r>
      <w:r w:rsidRPr="000C51B3">
        <w:rPr>
          <w:rFonts w:ascii="Calibri" w:hAnsi="Calibri" w:cs="Calibri"/>
        </w:rPr>
        <w:t xml:space="preserve"> </w:t>
      </w:r>
    </w:p>
    <w:p w14:paraId="6F9EFC33" w14:textId="77777777" w:rsidR="0097178F" w:rsidRPr="000C51B3" w:rsidRDefault="0097178F" w:rsidP="0097178F">
      <w:pPr>
        <w:pStyle w:val="ListParagraph"/>
        <w:ind w:left="284"/>
        <w:jc w:val="both"/>
        <w:rPr>
          <w:rFonts w:ascii="Calibri" w:hAnsi="Calibri" w:cs="Calibri"/>
        </w:rPr>
      </w:pPr>
    </w:p>
    <w:p w14:paraId="3A328A21" w14:textId="77777777" w:rsidR="0097178F" w:rsidRDefault="006C72C7" w:rsidP="0097178F">
      <w:pPr>
        <w:pStyle w:val="ListParagraph"/>
        <w:numPr>
          <w:ilvl w:val="0"/>
          <w:numId w:val="10"/>
        </w:numPr>
        <w:ind w:left="284" w:hanging="284"/>
        <w:jc w:val="both"/>
        <w:rPr>
          <w:rFonts w:ascii="Calibri" w:hAnsi="Calibri" w:cs="Calibri"/>
        </w:rPr>
      </w:pPr>
      <w:r w:rsidRPr="000C51B3">
        <w:rPr>
          <w:rFonts w:ascii="Calibri" w:hAnsi="Calibri" w:cs="Calibri"/>
        </w:rPr>
        <w:t xml:space="preserve">The </w:t>
      </w:r>
      <w:r w:rsidR="00EF5654" w:rsidRPr="000C51B3">
        <w:rPr>
          <w:rFonts w:ascii="Calibri" w:hAnsi="Calibri" w:cs="Calibri"/>
        </w:rPr>
        <w:t xml:space="preserve">issuing of contracts to </w:t>
      </w:r>
      <w:r w:rsidR="00266152" w:rsidRPr="000C51B3">
        <w:rPr>
          <w:rFonts w:ascii="Calibri" w:hAnsi="Calibri" w:cs="Calibri"/>
        </w:rPr>
        <w:t xml:space="preserve">successful applicants </w:t>
      </w:r>
      <w:r w:rsidRPr="000C51B3">
        <w:rPr>
          <w:rFonts w:ascii="Calibri" w:hAnsi="Calibri" w:cs="Calibri"/>
        </w:rPr>
        <w:t xml:space="preserve">to AECS 2025 </w:t>
      </w:r>
      <w:r w:rsidR="00EF5654" w:rsidRPr="000C51B3">
        <w:rPr>
          <w:rFonts w:ascii="Calibri" w:hAnsi="Calibri" w:cs="Calibri"/>
        </w:rPr>
        <w:t>is</w:t>
      </w:r>
      <w:r w:rsidR="00266152" w:rsidRPr="000C51B3">
        <w:rPr>
          <w:rFonts w:ascii="Calibri" w:hAnsi="Calibri" w:cs="Calibri"/>
        </w:rPr>
        <w:t xml:space="preserve"> largely completed. Over 1000 farmers and crofters engaged in the Farm BioScot tool FarmBioScot  ‘Map’ and ‘Measure’ stages with over 700 app users</w:t>
      </w:r>
      <w:r w:rsidR="00E52DEE" w:rsidRPr="000C51B3">
        <w:rPr>
          <w:rFonts w:ascii="Calibri" w:hAnsi="Calibri" w:cs="Calibri"/>
        </w:rPr>
        <w:t xml:space="preserve"> thoroughly testing the App</w:t>
      </w:r>
      <w:r w:rsidR="00266152" w:rsidRPr="000C51B3">
        <w:rPr>
          <w:rFonts w:ascii="Calibri" w:hAnsi="Calibri" w:cs="Calibri"/>
        </w:rPr>
        <w:t xml:space="preserve">.  New mapping functionality </w:t>
      </w:r>
      <w:r w:rsidR="00E52DEE" w:rsidRPr="000C51B3">
        <w:rPr>
          <w:rFonts w:ascii="Calibri" w:hAnsi="Calibri" w:cs="Calibri"/>
        </w:rPr>
        <w:t xml:space="preserve">was </w:t>
      </w:r>
      <w:r w:rsidR="00F071B2" w:rsidRPr="000C51B3">
        <w:rPr>
          <w:rFonts w:ascii="Calibri" w:hAnsi="Calibri" w:cs="Calibri"/>
        </w:rPr>
        <w:t>released,</w:t>
      </w:r>
      <w:r w:rsidR="00266152" w:rsidRPr="000C51B3">
        <w:rPr>
          <w:rFonts w:ascii="Calibri" w:hAnsi="Calibri" w:cs="Calibri"/>
        </w:rPr>
        <w:t xml:space="preserve"> and</w:t>
      </w:r>
      <w:r w:rsidR="00E52DEE" w:rsidRPr="000C51B3">
        <w:rPr>
          <w:rFonts w:ascii="Calibri" w:hAnsi="Calibri" w:cs="Calibri"/>
        </w:rPr>
        <w:t xml:space="preserve"> more </w:t>
      </w:r>
      <w:r w:rsidR="00266152" w:rsidRPr="000C51B3">
        <w:rPr>
          <w:rFonts w:ascii="Calibri" w:hAnsi="Calibri" w:cs="Calibri"/>
        </w:rPr>
        <w:t xml:space="preserve"> farmers started to sign up to FarmBioScot tool to prepare their whole farm plan biodiversity audit requirement for SAF 2026 submission.</w:t>
      </w:r>
    </w:p>
    <w:p w14:paraId="3FE9E429" w14:textId="77777777" w:rsidR="0097178F" w:rsidRPr="0097178F" w:rsidRDefault="0097178F" w:rsidP="0097178F">
      <w:pPr>
        <w:pStyle w:val="ListParagraph"/>
        <w:rPr>
          <w:rFonts w:ascii="Calibri" w:hAnsi="Calibri" w:cs="Calibri"/>
        </w:rPr>
      </w:pPr>
    </w:p>
    <w:p w14:paraId="4A0892F1" w14:textId="0804C627" w:rsidR="00266152" w:rsidRPr="0097178F" w:rsidRDefault="00EF5654" w:rsidP="0097178F">
      <w:pPr>
        <w:pStyle w:val="ListParagraph"/>
        <w:numPr>
          <w:ilvl w:val="0"/>
          <w:numId w:val="10"/>
        </w:numPr>
        <w:ind w:left="284" w:hanging="284"/>
        <w:jc w:val="both"/>
        <w:rPr>
          <w:rFonts w:ascii="Calibri" w:hAnsi="Calibri" w:cs="Calibri"/>
        </w:rPr>
      </w:pPr>
      <w:r w:rsidRPr="0097178F">
        <w:rPr>
          <w:rFonts w:ascii="Calibri" w:hAnsi="Calibri" w:cs="Calibri"/>
        </w:rPr>
        <w:t xml:space="preserve">The </w:t>
      </w:r>
      <w:r w:rsidR="00266152" w:rsidRPr="0097178F">
        <w:rPr>
          <w:rFonts w:ascii="Calibri" w:hAnsi="Calibri" w:cs="Calibri"/>
        </w:rPr>
        <w:t xml:space="preserve">Marine and Coastal Restoration Plan </w:t>
      </w:r>
      <w:r w:rsidRPr="0097178F">
        <w:rPr>
          <w:rFonts w:ascii="Calibri" w:hAnsi="Calibri" w:cs="Calibri"/>
        </w:rPr>
        <w:t xml:space="preserve">was </w:t>
      </w:r>
      <w:r w:rsidR="00266152" w:rsidRPr="0097178F">
        <w:rPr>
          <w:rFonts w:ascii="Calibri" w:hAnsi="Calibri" w:cs="Calibri"/>
        </w:rPr>
        <w:t xml:space="preserve">published by Scottish Government, setting out actions to accelerate active habitat restoration.  </w:t>
      </w:r>
      <w:r w:rsidRPr="0097178F">
        <w:rPr>
          <w:rFonts w:ascii="Calibri" w:hAnsi="Calibri" w:cs="Calibri"/>
        </w:rPr>
        <w:t xml:space="preserve">The </w:t>
      </w:r>
      <w:r w:rsidR="00266152" w:rsidRPr="0097178F">
        <w:rPr>
          <w:rFonts w:ascii="Calibri" w:hAnsi="Calibri" w:cs="Calibri"/>
        </w:rPr>
        <w:t xml:space="preserve">Scottish Seabird Conservation Action Plan and UK Cetacean Strategy </w:t>
      </w:r>
      <w:r w:rsidRPr="0097178F">
        <w:rPr>
          <w:rFonts w:ascii="Calibri" w:hAnsi="Calibri" w:cs="Calibri"/>
        </w:rPr>
        <w:t>were</w:t>
      </w:r>
      <w:r w:rsidR="00F204F2" w:rsidRPr="0097178F">
        <w:rPr>
          <w:rFonts w:ascii="Calibri" w:hAnsi="Calibri" w:cs="Calibri"/>
        </w:rPr>
        <w:t xml:space="preserve"> </w:t>
      </w:r>
      <w:r w:rsidR="00266152" w:rsidRPr="0097178F">
        <w:rPr>
          <w:rFonts w:ascii="Calibri" w:hAnsi="Calibri" w:cs="Calibri"/>
        </w:rPr>
        <w:t xml:space="preserve">also published aimed at supporting the conservation of these </w:t>
      </w:r>
      <w:r w:rsidRPr="0097178F">
        <w:rPr>
          <w:rFonts w:ascii="Calibri" w:hAnsi="Calibri" w:cs="Calibri"/>
        </w:rPr>
        <w:t>species and</w:t>
      </w:r>
      <w:r w:rsidR="00266152" w:rsidRPr="0097178F">
        <w:rPr>
          <w:rFonts w:ascii="Calibri" w:hAnsi="Calibri" w:cs="Calibri"/>
        </w:rPr>
        <w:t xml:space="preserve"> building resilience through collaborative action.  </w:t>
      </w:r>
    </w:p>
    <w:p w14:paraId="30D692CC" w14:textId="77777777" w:rsidR="00880A62" w:rsidRPr="000C51B3" w:rsidRDefault="00880A62" w:rsidP="00977B59">
      <w:pPr>
        <w:pStyle w:val="Heading2"/>
      </w:pPr>
      <w:r w:rsidRPr="000C51B3">
        <w:t>Achieve our 30x30 commitment to safeguard 30% of our land and sea by 2030</w:t>
      </w:r>
    </w:p>
    <w:p w14:paraId="300B22E5" w14:textId="241EA8B6" w:rsidR="00266152" w:rsidRDefault="00266152">
      <w:pPr>
        <w:pStyle w:val="ListParagraph"/>
        <w:numPr>
          <w:ilvl w:val="0"/>
          <w:numId w:val="10"/>
        </w:numPr>
        <w:ind w:left="284" w:hanging="284"/>
        <w:jc w:val="both"/>
        <w:rPr>
          <w:rFonts w:ascii="Calibri" w:hAnsi="Calibri" w:cs="Calibri"/>
        </w:rPr>
      </w:pPr>
      <w:r w:rsidRPr="000C51B3">
        <w:rPr>
          <w:rFonts w:ascii="Calibri" w:hAnsi="Calibri" w:cs="Calibri"/>
        </w:rPr>
        <w:t>The recognition of the first Other Effective Area-based Conservation Measures (OECMs) in the UK, as Nature30 sites</w:t>
      </w:r>
      <w:r w:rsidR="00EF5654" w:rsidRPr="000C51B3">
        <w:rPr>
          <w:rFonts w:ascii="Calibri" w:hAnsi="Calibri" w:cs="Calibri"/>
        </w:rPr>
        <w:t xml:space="preserve"> was a major milestone achieved</w:t>
      </w:r>
      <w:r w:rsidRPr="000C51B3">
        <w:rPr>
          <w:rFonts w:ascii="Calibri" w:hAnsi="Calibri" w:cs="Calibri"/>
        </w:rPr>
        <w:t>. Responsibility for recognition of Nature30 sites</w:t>
      </w:r>
      <w:r w:rsidR="00EF5654" w:rsidRPr="000C51B3">
        <w:rPr>
          <w:rFonts w:ascii="Calibri" w:hAnsi="Calibri" w:cs="Calibri"/>
        </w:rPr>
        <w:t xml:space="preserve"> is</w:t>
      </w:r>
      <w:r w:rsidRPr="000C51B3">
        <w:rPr>
          <w:rFonts w:ascii="Calibri" w:hAnsi="Calibri" w:cs="Calibri"/>
        </w:rPr>
        <w:t xml:space="preserve"> delegated</w:t>
      </w:r>
      <w:r w:rsidR="00EF5654" w:rsidRPr="000C51B3">
        <w:rPr>
          <w:rFonts w:ascii="Calibri" w:hAnsi="Calibri" w:cs="Calibri"/>
        </w:rPr>
        <w:t xml:space="preserve"> by Scottish Government</w:t>
      </w:r>
      <w:r w:rsidRPr="000C51B3">
        <w:rPr>
          <w:rFonts w:ascii="Calibri" w:hAnsi="Calibri" w:cs="Calibri"/>
        </w:rPr>
        <w:t xml:space="preserve"> to </w:t>
      </w:r>
      <w:r w:rsidR="00F204F2" w:rsidRPr="000C51B3">
        <w:rPr>
          <w:rFonts w:ascii="Calibri" w:hAnsi="Calibri" w:cs="Calibri"/>
        </w:rPr>
        <w:t>NatureScot,</w:t>
      </w:r>
      <w:r w:rsidRPr="000C51B3">
        <w:rPr>
          <w:rFonts w:ascii="Calibri" w:hAnsi="Calibri" w:cs="Calibri"/>
        </w:rPr>
        <w:t xml:space="preserve"> </w:t>
      </w:r>
      <w:r w:rsidR="00EF5654" w:rsidRPr="000C51B3">
        <w:rPr>
          <w:rFonts w:ascii="Calibri" w:hAnsi="Calibri" w:cs="Calibri"/>
        </w:rPr>
        <w:t xml:space="preserve">including the </w:t>
      </w:r>
      <w:r w:rsidRPr="000C51B3">
        <w:rPr>
          <w:rFonts w:ascii="Calibri" w:hAnsi="Calibri" w:cs="Calibri"/>
        </w:rPr>
        <w:t>formalisation of the recognition process</w:t>
      </w:r>
      <w:r w:rsidR="00EF5654" w:rsidRPr="000C51B3">
        <w:rPr>
          <w:rFonts w:ascii="Calibri" w:hAnsi="Calibri" w:cs="Calibri"/>
        </w:rPr>
        <w:t xml:space="preserve"> and</w:t>
      </w:r>
      <w:r w:rsidRPr="000C51B3">
        <w:rPr>
          <w:rFonts w:ascii="Calibri" w:hAnsi="Calibri" w:cs="Calibri"/>
        </w:rPr>
        <w:t xml:space="preserve"> the establishment of the Nature30 assessment panel. We have over a hundred potential</w:t>
      </w:r>
      <w:r w:rsidR="004F4596" w:rsidRPr="000C51B3">
        <w:rPr>
          <w:rFonts w:ascii="Calibri" w:hAnsi="Calibri" w:cs="Calibri"/>
        </w:rPr>
        <w:t>/suggested</w:t>
      </w:r>
      <w:r w:rsidRPr="000C51B3">
        <w:rPr>
          <w:rFonts w:ascii="Calibri" w:hAnsi="Calibri" w:cs="Calibri"/>
        </w:rPr>
        <w:t xml:space="preserve"> new sites at various stages in the process for recognition.</w:t>
      </w:r>
    </w:p>
    <w:p w14:paraId="0721C546" w14:textId="77777777" w:rsidR="0097178F" w:rsidRPr="000C51B3" w:rsidRDefault="0097178F" w:rsidP="0097178F">
      <w:pPr>
        <w:pStyle w:val="ListParagraph"/>
        <w:ind w:left="284"/>
        <w:jc w:val="both"/>
        <w:rPr>
          <w:rFonts w:ascii="Calibri" w:hAnsi="Calibri" w:cs="Calibri"/>
        </w:rPr>
      </w:pPr>
    </w:p>
    <w:p w14:paraId="77D0C341" w14:textId="77777777" w:rsidR="0097178F" w:rsidRDefault="00EF5654" w:rsidP="00F627D6">
      <w:pPr>
        <w:pStyle w:val="ListParagraph"/>
        <w:numPr>
          <w:ilvl w:val="0"/>
          <w:numId w:val="10"/>
        </w:numPr>
        <w:ind w:left="284" w:hanging="284"/>
        <w:jc w:val="both"/>
        <w:rPr>
          <w:rFonts w:ascii="Calibri" w:hAnsi="Calibri" w:cs="Calibri"/>
        </w:rPr>
      </w:pPr>
      <w:r w:rsidRPr="0097178F">
        <w:rPr>
          <w:rFonts w:ascii="Calibri" w:hAnsi="Calibri" w:cs="Calibri"/>
        </w:rPr>
        <w:t xml:space="preserve">We deployed the second phase of </w:t>
      </w:r>
      <w:r w:rsidR="0060070B" w:rsidRPr="0097178F">
        <w:rPr>
          <w:rFonts w:ascii="Calibri" w:hAnsi="Calibri" w:cs="Calibri"/>
        </w:rPr>
        <w:t xml:space="preserve">InformedDECISION to replace our </w:t>
      </w:r>
      <w:r w:rsidRPr="0097178F">
        <w:rPr>
          <w:rFonts w:ascii="Calibri" w:hAnsi="Calibri" w:cs="Calibri"/>
        </w:rPr>
        <w:t xml:space="preserve">aging </w:t>
      </w:r>
      <w:r w:rsidR="0060070B" w:rsidRPr="0097178F">
        <w:rPr>
          <w:rFonts w:ascii="Calibri" w:hAnsi="Calibri" w:cs="Calibri"/>
        </w:rPr>
        <w:t xml:space="preserve">casework management system.  </w:t>
      </w:r>
      <w:r w:rsidRPr="0097178F">
        <w:rPr>
          <w:rFonts w:ascii="Calibri" w:hAnsi="Calibri" w:cs="Calibri"/>
        </w:rPr>
        <w:t>We were n</w:t>
      </w:r>
      <w:r w:rsidR="0060070B" w:rsidRPr="0097178F">
        <w:rPr>
          <w:rFonts w:ascii="Calibri" w:hAnsi="Calibri" w:cs="Calibri"/>
        </w:rPr>
        <w:t>ominated for a joint award with InformedSolutions for Scotland</w:t>
      </w:r>
      <w:r w:rsidRPr="0097178F">
        <w:rPr>
          <w:rFonts w:ascii="Calibri" w:hAnsi="Calibri" w:cs="Calibri"/>
        </w:rPr>
        <w:t xml:space="preserve"> </w:t>
      </w:r>
      <w:r w:rsidR="0060070B" w:rsidRPr="0097178F">
        <w:rPr>
          <w:rFonts w:ascii="Calibri" w:hAnsi="Calibri" w:cs="Calibri"/>
        </w:rPr>
        <w:t>IS Digital Awards (public sector innovation category).</w:t>
      </w:r>
    </w:p>
    <w:p w14:paraId="1EDF8456" w14:textId="77777777" w:rsidR="0097178F" w:rsidRPr="0097178F" w:rsidRDefault="0097178F" w:rsidP="0097178F">
      <w:pPr>
        <w:pStyle w:val="ListParagraph"/>
        <w:rPr>
          <w:rFonts w:ascii="Calibri" w:hAnsi="Calibri" w:cs="Calibri"/>
        </w:rPr>
      </w:pPr>
    </w:p>
    <w:p w14:paraId="30D4400B" w14:textId="77777777" w:rsidR="0097178F" w:rsidRDefault="00EF5654" w:rsidP="0097178F">
      <w:pPr>
        <w:pStyle w:val="ListParagraph"/>
        <w:numPr>
          <w:ilvl w:val="0"/>
          <w:numId w:val="10"/>
        </w:numPr>
        <w:ind w:left="284" w:hanging="284"/>
        <w:jc w:val="both"/>
        <w:rPr>
          <w:rFonts w:ascii="Calibri" w:hAnsi="Calibri" w:cs="Calibri"/>
        </w:rPr>
      </w:pPr>
      <w:r w:rsidRPr="0097178F">
        <w:rPr>
          <w:rFonts w:ascii="Calibri" w:hAnsi="Calibri" w:cs="Calibri"/>
        </w:rPr>
        <w:t>We l</w:t>
      </w:r>
      <w:r w:rsidR="0060070B" w:rsidRPr="0097178F">
        <w:rPr>
          <w:rFonts w:ascii="Calibri" w:hAnsi="Calibri" w:cs="Calibri"/>
        </w:rPr>
        <w:t>aunch</w:t>
      </w:r>
      <w:r w:rsidRPr="0097178F">
        <w:rPr>
          <w:rFonts w:ascii="Calibri" w:hAnsi="Calibri" w:cs="Calibri"/>
        </w:rPr>
        <w:t>ed</w:t>
      </w:r>
      <w:r w:rsidR="00747CC0" w:rsidRPr="0097178F">
        <w:rPr>
          <w:rFonts w:ascii="Calibri" w:hAnsi="Calibri" w:cs="Calibri"/>
        </w:rPr>
        <w:t xml:space="preserve"> Ecosystem Management Insights </w:t>
      </w:r>
      <w:r w:rsidR="0060070B" w:rsidRPr="0097178F">
        <w:rPr>
          <w:rFonts w:ascii="Calibri" w:hAnsi="Calibri" w:cs="Calibri"/>
        </w:rPr>
        <w:t xml:space="preserve"> </w:t>
      </w:r>
      <w:r w:rsidR="004D51E9" w:rsidRPr="0097178F">
        <w:rPr>
          <w:rFonts w:ascii="Calibri" w:hAnsi="Calibri" w:cs="Calibri"/>
        </w:rPr>
        <w:t>(</w:t>
      </w:r>
      <w:r w:rsidR="0060070B" w:rsidRPr="0097178F">
        <w:rPr>
          <w:rFonts w:ascii="Calibri" w:hAnsi="Calibri" w:cs="Calibri"/>
        </w:rPr>
        <w:t>EcoMI</w:t>
      </w:r>
      <w:r w:rsidR="004D51E9" w:rsidRPr="0097178F">
        <w:rPr>
          <w:rFonts w:ascii="Calibri" w:hAnsi="Calibri" w:cs="Calibri"/>
        </w:rPr>
        <w:t>)</w:t>
      </w:r>
      <w:r w:rsidR="0060070B" w:rsidRPr="0097178F">
        <w:rPr>
          <w:rFonts w:ascii="Calibri" w:hAnsi="Calibri" w:cs="Calibri"/>
        </w:rPr>
        <w:t xml:space="preserve"> as a cutting-edge tool for managing and prioritising our monitoring data to support a </w:t>
      </w:r>
      <w:r w:rsidR="004D51E9" w:rsidRPr="0097178F">
        <w:rPr>
          <w:rFonts w:ascii="Calibri" w:hAnsi="Calibri" w:cs="Calibri"/>
        </w:rPr>
        <w:t>“</w:t>
      </w:r>
      <w:r w:rsidR="0060070B" w:rsidRPr="0097178F">
        <w:rPr>
          <w:rFonts w:ascii="Calibri" w:hAnsi="Calibri" w:cs="Calibri"/>
        </w:rPr>
        <w:t>Delivering Healthy Ecosystem</w:t>
      </w:r>
      <w:r w:rsidR="004D51E9" w:rsidRPr="0097178F">
        <w:rPr>
          <w:rFonts w:ascii="Calibri" w:hAnsi="Calibri" w:cs="Calibri"/>
        </w:rPr>
        <w:t>s”</w:t>
      </w:r>
      <w:r w:rsidR="0060070B" w:rsidRPr="0097178F">
        <w:rPr>
          <w:rFonts w:ascii="Calibri" w:hAnsi="Calibri" w:cs="Calibri"/>
        </w:rPr>
        <w:t xml:space="preserve"> approach to site management.</w:t>
      </w:r>
      <w:r w:rsidR="00747CC0" w:rsidRPr="0097178F">
        <w:rPr>
          <w:rFonts w:ascii="Calibri" w:hAnsi="Calibri" w:cs="Calibri"/>
        </w:rPr>
        <w:t xml:space="preserve"> We prepared the schedule for </w:t>
      </w:r>
      <w:r w:rsidR="004D51E9" w:rsidRPr="0097178F">
        <w:rPr>
          <w:rFonts w:ascii="Calibri" w:hAnsi="Calibri" w:cs="Calibri"/>
        </w:rPr>
        <w:t>m</w:t>
      </w:r>
      <w:r w:rsidR="00747CC0" w:rsidRPr="0097178F">
        <w:rPr>
          <w:rFonts w:ascii="Calibri" w:hAnsi="Calibri" w:cs="Calibri"/>
        </w:rPr>
        <w:t xml:space="preserve">onitoring for </w:t>
      </w:r>
      <w:r w:rsidR="00747CC0" w:rsidRPr="0097178F">
        <w:rPr>
          <w:rFonts w:ascii="Calibri" w:hAnsi="Calibri" w:cs="Calibri"/>
        </w:rPr>
        <w:lastRenderedPageBreak/>
        <w:t xml:space="preserve">Delivering Healthy Ecosystems (DHE) implementation which will be running throughout </w:t>
      </w:r>
      <w:r w:rsidR="00F071B2" w:rsidRPr="0097178F">
        <w:rPr>
          <w:rFonts w:ascii="Calibri" w:hAnsi="Calibri" w:cs="Calibri"/>
        </w:rPr>
        <w:t>2026/27,</w:t>
      </w:r>
      <w:r w:rsidR="00747CC0" w:rsidRPr="0097178F">
        <w:rPr>
          <w:rFonts w:ascii="Calibri" w:hAnsi="Calibri" w:cs="Calibri"/>
        </w:rPr>
        <w:t xml:space="preserve"> and we will</w:t>
      </w:r>
      <w:r w:rsidR="006A1A80" w:rsidRPr="0097178F">
        <w:rPr>
          <w:rFonts w:ascii="Calibri" w:hAnsi="Calibri" w:cs="Calibri"/>
        </w:rPr>
        <w:t xml:space="preserve"> </w:t>
      </w:r>
      <w:r w:rsidR="00E5769C" w:rsidRPr="0097178F">
        <w:rPr>
          <w:rFonts w:ascii="Calibri" w:hAnsi="Calibri" w:cs="Calibri"/>
        </w:rPr>
        <w:t>start monitoring using the DHE</w:t>
      </w:r>
      <w:r w:rsidR="00747CC0" w:rsidRPr="0097178F">
        <w:rPr>
          <w:rFonts w:ascii="Calibri" w:hAnsi="Calibri" w:cs="Calibri"/>
        </w:rPr>
        <w:t xml:space="preserve"> approach in 2027/28.  </w:t>
      </w:r>
    </w:p>
    <w:p w14:paraId="59A9BBF0" w14:textId="77777777" w:rsidR="0097178F" w:rsidRPr="0097178F" w:rsidRDefault="0097178F" w:rsidP="0097178F">
      <w:pPr>
        <w:pStyle w:val="ListParagraph"/>
        <w:rPr>
          <w:rFonts w:ascii="Calibri" w:hAnsi="Calibri" w:cs="Calibri"/>
        </w:rPr>
      </w:pPr>
    </w:p>
    <w:p w14:paraId="7DE5F674" w14:textId="7F1A58F9" w:rsidR="00747CC0" w:rsidRPr="0097178F" w:rsidRDefault="00747CC0" w:rsidP="0097178F">
      <w:pPr>
        <w:pStyle w:val="ListParagraph"/>
        <w:numPr>
          <w:ilvl w:val="0"/>
          <w:numId w:val="10"/>
        </w:numPr>
        <w:ind w:left="284" w:hanging="284"/>
        <w:jc w:val="both"/>
        <w:rPr>
          <w:rFonts w:ascii="Calibri" w:hAnsi="Calibri" w:cs="Calibri"/>
        </w:rPr>
      </w:pPr>
      <w:r w:rsidRPr="0097178F">
        <w:rPr>
          <w:rFonts w:ascii="Calibri" w:hAnsi="Calibri" w:cs="Calibri"/>
        </w:rPr>
        <w:t>We</w:t>
      </w:r>
      <w:r w:rsidR="0060070B" w:rsidRPr="0097178F">
        <w:rPr>
          <w:rFonts w:ascii="Calibri" w:hAnsi="Calibri" w:cs="Calibri"/>
        </w:rPr>
        <w:t xml:space="preserve"> </w:t>
      </w:r>
      <w:r w:rsidRPr="0097178F">
        <w:rPr>
          <w:rFonts w:ascii="Calibri" w:hAnsi="Calibri" w:cs="Calibri"/>
        </w:rPr>
        <w:t xml:space="preserve">provided </w:t>
      </w:r>
      <w:r w:rsidR="0060070B" w:rsidRPr="0097178F">
        <w:rPr>
          <w:rFonts w:ascii="Calibri" w:hAnsi="Calibri" w:cs="Calibri"/>
        </w:rPr>
        <w:t xml:space="preserve">support and advice to SG policy </w:t>
      </w:r>
      <w:r w:rsidRPr="0097178F">
        <w:rPr>
          <w:rFonts w:ascii="Calibri" w:hAnsi="Calibri" w:cs="Calibri"/>
        </w:rPr>
        <w:t xml:space="preserve">teams </w:t>
      </w:r>
      <w:r w:rsidR="0060070B" w:rsidRPr="0097178F">
        <w:rPr>
          <w:rFonts w:ascii="Calibri" w:hAnsi="Calibri" w:cs="Calibri"/>
        </w:rPr>
        <w:t xml:space="preserve">and Ministers in progressing Natural Environment </w:t>
      </w:r>
      <w:r w:rsidRPr="0097178F">
        <w:rPr>
          <w:rFonts w:ascii="Calibri" w:hAnsi="Calibri" w:cs="Calibri"/>
        </w:rPr>
        <w:t>Act</w:t>
      </w:r>
      <w:r w:rsidR="0060070B" w:rsidRPr="0097178F">
        <w:rPr>
          <w:rFonts w:ascii="Calibri" w:hAnsi="Calibri" w:cs="Calibri"/>
        </w:rPr>
        <w:t xml:space="preserve"> provisions, species support scheme funding and Minister’s </w:t>
      </w:r>
      <w:r w:rsidR="00F204F2" w:rsidRPr="0097178F">
        <w:rPr>
          <w:rFonts w:ascii="Calibri" w:hAnsi="Calibri" w:cs="Calibri"/>
        </w:rPr>
        <w:t>S</w:t>
      </w:r>
      <w:r w:rsidR="0060070B" w:rsidRPr="0097178F">
        <w:rPr>
          <w:rFonts w:ascii="Calibri" w:hAnsi="Calibri" w:cs="Calibri"/>
        </w:rPr>
        <w:t xml:space="preserve">pecies and </w:t>
      </w:r>
      <w:r w:rsidR="00F204F2" w:rsidRPr="0097178F">
        <w:rPr>
          <w:rFonts w:ascii="Calibri" w:hAnsi="Calibri" w:cs="Calibri"/>
        </w:rPr>
        <w:t>L</w:t>
      </w:r>
      <w:r w:rsidR="0060070B" w:rsidRPr="0097178F">
        <w:rPr>
          <w:rFonts w:ascii="Calibri" w:hAnsi="Calibri" w:cs="Calibri"/>
        </w:rPr>
        <w:t xml:space="preserve">and </w:t>
      </w:r>
      <w:r w:rsidR="00F204F2" w:rsidRPr="0097178F">
        <w:rPr>
          <w:rFonts w:ascii="Calibri" w:hAnsi="Calibri" w:cs="Calibri"/>
        </w:rPr>
        <w:t>M</w:t>
      </w:r>
      <w:r w:rsidR="0060070B" w:rsidRPr="0097178F">
        <w:rPr>
          <w:rFonts w:ascii="Calibri" w:hAnsi="Calibri" w:cs="Calibri"/>
        </w:rPr>
        <w:t>anagement Forum.</w:t>
      </w:r>
      <w:r w:rsidRPr="0097178F">
        <w:rPr>
          <w:rFonts w:ascii="Calibri" w:hAnsi="Calibri" w:cs="Calibri"/>
        </w:rPr>
        <w:t xml:space="preserve"> This included submitting our Marine </w:t>
      </w:r>
      <w:r w:rsidR="00F204F2" w:rsidRPr="0097178F">
        <w:rPr>
          <w:rFonts w:ascii="Calibri" w:hAnsi="Calibri" w:cs="Calibri"/>
        </w:rPr>
        <w:t>M</w:t>
      </w:r>
      <w:r w:rsidRPr="0097178F">
        <w:rPr>
          <w:rFonts w:ascii="Calibri" w:hAnsi="Calibri" w:cs="Calibri"/>
        </w:rPr>
        <w:t xml:space="preserve">onitoring plan </w:t>
      </w:r>
      <w:r w:rsidR="004D51E9" w:rsidRPr="0097178F">
        <w:rPr>
          <w:rFonts w:ascii="Calibri" w:hAnsi="Calibri" w:cs="Calibri"/>
        </w:rPr>
        <w:t xml:space="preserve">to Marine Directorate </w:t>
      </w:r>
      <w:r w:rsidRPr="0097178F">
        <w:rPr>
          <w:rFonts w:ascii="Calibri" w:hAnsi="Calibri" w:cs="Calibri"/>
        </w:rPr>
        <w:t>for seabed habitats and marine megafauna covering the period from 2026/27 to 2038/39.</w:t>
      </w:r>
    </w:p>
    <w:p w14:paraId="32CA6F35" w14:textId="77777777" w:rsidR="00880A62" w:rsidRPr="000C51B3" w:rsidRDefault="00880A62" w:rsidP="00977B59">
      <w:pPr>
        <w:pStyle w:val="Heading2"/>
      </w:pPr>
      <w:r w:rsidRPr="000C51B3">
        <w:t>Increase public and private sector investment in nature and ensure good development</w:t>
      </w:r>
    </w:p>
    <w:p w14:paraId="385277C9" w14:textId="23239A8F" w:rsidR="0060070B" w:rsidRPr="000C51B3" w:rsidRDefault="0060070B">
      <w:pPr>
        <w:pStyle w:val="ListParagraph"/>
        <w:numPr>
          <w:ilvl w:val="0"/>
          <w:numId w:val="10"/>
        </w:numPr>
        <w:ind w:left="426" w:hanging="426"/>
        <w:jc w:val="both"/>
        <w:rPr>
          <w:rFonts w:ascii="Calibri" w:hAnsi="Calibri" w:cs="Calibri"/>
        </w:rPr>
      </w:pPr>
      <w:r w:rsidRPr="000C51B3">
        <w:rPr>
          <w:rFonts w:ascii="Calibri" w:hAnsi="Calibri" w:cs="Calibri"/>
        </w:rPr>
        <w:t xml:space="preserve">We </w:t>
      </w:r>
      <w:r w:rsidR="00747CC0" w:rsidRPr="000C51B3">
        <w:rPr>
          <w:rFonts w:ascii="Calibri" w:hAnsi="Calibri" w:cs="Calibri"/>
        </w:rPr>
        <w:t>deployed a number</w:t>
      </w:r>
      <w:r w:rsidRPr="000C51B3">
        <w:rPr>
          <w:rFonts w:ascii="Calibri" w:hAnsi="Calibri" w:cs="Calibri"/>
        </w:rPr>
        <w:t xml:space="preserve"> of </w:t>
      </w:r>
      <w:r w:rsidR="00747CC0" w:rsidRPr="000C51B3">
        <w:rPr>
          <w:rFonts w:ascii="Calibri" w:hAnsi="Calibri" w:cs="Calibri"/>
        </w:rPr>
        <w:t>initiatives</w:t>
      </w:r>
      <w:r w:rsidRPr="000C51B3">
        <w:rPr>
          <w:rFonts w:ascii="Calibri" w:hAnsi="Calibri" w:cs="Calibri"/>
        </w:rPr>
        <w:t xml:space="preserve"> to help</w:t>
      </w:r>
      <w:r w:rsidR="00747CC0" w:rsidRPr="000C51B3">
        <w:rPr>
          <w:rFonts w:ascii="Calibri" w:hAnsi="Calibri" w:cs="Calibri"/>
        </w:rPr>
        <w:t xml:space="preserve"> increase the delivery of public and private sector investment. These included:</w:t>
      </w:r>
      <w:r w:rsidRPr="000C51B3">
        <w:rPr>
          <w:rFonts w:ascii="Calibri" w:hAnsi="Calibri" w:cs="Calibri"/>
        </w:rPr>
        <w:t> </w:t>
      </w:r>
    </w:p>
    <w:p w14:paraId="3B40529B" w14:textId="77777777" w:rsidR="0060070B" w:rsidRPr="000C51B3" w:rsidRDefault="0060070B">
      <w:pPr>
        <w:numPr>
          <w:ilvl w:val="0"/>
          <w:numId w:val="6"/>
        </w:numPr>
        <w:shd w:val="clear" w:color="auto" w:fill="FFFFFF"/>
        <w:spacing w:after="0"/>
        <w:textAlignment w:val="baseline"/>
        <w:rPr>
          <w:rFonts w:ascii="Calibri" w:eastAsia="Times New Roman" w:hAnsi="Calibri" w:cs="Calibri"/>
          <w:color w:val="000000"/>
          <w:szCs w:val="24"/>
          <w:lang w:eastAsia="en-GB"/>
        </w:rPr>
      </w:pPr>
      <w:r w:rsidRPr="000C51B3">
        <w:rPr>
          <w:rFonts w:ascii="Calibri" w:eastAsia="Times New Roman" w:hAnsi="Calibri" w:cs="Calibri"/>
          <w:color w:val="000000"/>
          <w:szCs w:val="24"/>
          <w:bdr w:val="none" w:sz="0" w:space="0" w:color="auto" w:frame="1"/>
          <w:lang w:eastAsia="en-GB"/>
        </w:rPr>
        <w:t>Deploying Informed DECISION and making improvements to it</w:t>
      </w:r>
    </w:p>
    <w:p w14:paraId="365FB1CD" w14:textId="77777777" w:rsidR="00747CC0" w:rsidRPr="000C51B3" w:rsidRDefault="0060070B">
      <w:pPr>
        <w:numPr>
          <w:ilvl w:val="0"/>
          <w:numId w:val="7"/>
        </w:numPr>
        <w:shd w:val="clear" w:color="auto" w:fill="FFFFFF"/>
        <w:spacing w:after="0"/>
        <w:textAlignment w:val="baseline"/>
        <w:rPr>
          <w:rFonts w:ascii="Calibri" w:eastAsia="Times New Roman" w:hAnsi="Calibri" w:cs="Calibri"/>
          <w:color w:val="000000"/>
          <w:szCs w:val="24"/>
          <w:lang w:eastAsia="en-GB"/>
        </w:rPr>
      </w:pPr>
      <w:r w:rsidRPr="000C51B3">
        <w:rPr>
          <w:rFonts w:ascii="Calibri" w:eastAsia="Times New Roman" w:hAnsi="Calibri" w:cs="Calibri"/>
          <w:color w:val="000000"/>
          <w:szCs w:val="24"/>
          <w:bdr w:val="none" w:sz="0" w:space="0" w:color="auto" w:frame="1"/>
          <w:lang w:eastAsia="en-GB"/>
        </w:rPr>
        <w:t xml:space="preserve">Increasing specialist staffing capacities that are key issues for casework  - ornithology, peat advice and landscape.  </w:t>
      </w:r>
    </w:p>
    <w:p w14:paraId="0391B993" w14:textId="0E801BA2" w:rsidR="0060070B" w:rsidRPr="000C51B3" w:rsidRDefault="0060070B">
      <w:pPr>
        <w:numPr>
          <w:ilvl w:val="0"/>
          <w:numId w:val="7"/>
        </w:numPr>
        <w:shd w:val="clear" w:color="auto" w:fill="FFFFFF"/>
        <w:spacing w:after="0"/>
        <w:textAlignment w:val="baseline"/>
        <w:rPr>
          <w:rFonts w:ascii="Calibri" w:eastAsia="Times New Roman" w:hAnsi="Calibri" w:cs="Calibri"/>
          <w:color w:val="000000"/>
          <w:szCs w:val="24"/>
          <w:lang w:eastAsia="en-GB"/>
        </w:rPr>
      </w:pPr>
      <w:r w:rsidRPr="000C51B3">
        <w:rPr>
          <w:rFonts w:ascii="Calibri" w:eastAsia="Times New Roman" w:hAnsi="Calibri" w:cs="Calibri"/>
          <w:color w:val="000000"/>
          <w:szCs w:val="24"/>
          <w:bdr w:val="none" w:sz="0" w:space="0" w:color="auto" w:frame="1"/>
          <w:lang w:eastAsia="en-GB"/>
        </w:rPr>
        <w:t>Increasing case officer capacity in relation to energy casework</w:t>
      </w:r>
    </w:p>
    <w:p w14:paraId="0888E744" w14:textId="37B1E737" w:rsidR="0060070B" w:rsidRPr="000C51B3" w:rsidRDefault="0060070B">
      <w:pPr>
        <w:numPr>
          <w:ilvl w:val="0"/>
          <w:numId w:val="8"/>
        </w:numPr>
        <w:shd w:val="clear" w:color="auto" w:fill="FFFFFF"/>
        <w:spacing w:after="0"/>
        <w:textAlignment w:val="baseline"/>
        <w:rPr>
          <w:rFonts w:ascii="Calibri" w:eastAsia="Times New Roman" w:hAnsi="Calibri" w:cs="Calibri"/>
          <w:color w:val="000000"/>
          <w:szCs w:val="24"/>
          <w:lang w:eastAsia="en-GB"/>
        </w:rPr>
      </w:pPr>
      <w:r w:rsidRPr="000C51B3">
        <w:rPr>
          <w:rFonts w:ascii="Calibri" w:eastAsia="Times New Roman" w:hAnsi="Calibri" w:cs="Calibri"/>
          <w:color w:val="000000"/>
          <w:szCs w:val="24"/>
          <w:bdr w:val="none" w:sz="0" w:space="0" w:color="auto" w:frame="1"/>
          <w:lang w:eastAsia="en-GB"/>
        </w:rPr>
        <w:t>Concentrating resource</w:t>
      </w:r>
      <w:r w:rsidR="00492070" w:rsidRPr="000C51B3">
        <w:rPr>
          <w:rFonts w:ascii="Calibri" w:eastAsia="Times New Roman" w:hAnsi="Calibri" w:cs="Calibri"/>
          <w:color w:val="000000"/>
          <w:szCs w:val="24"/>
          <w:bdr w:val="none" w:sz="0" w:space="0" w:color="auto" w:frame="1"/>
          <w:lang w:eastAsia="en-GB"/>
        </w:rPr>
        <w:t>s</w:t>
      </w:r>
      <w:r w:rsidRPr="000C51B3">
        <w:rPr>
          <w:rFonts w:ascii="Calibri" w:eastAsia="Times New Roman" w:hAnsi="Calibri" w:cs="Calibri"/>
          <w:color w:val="000000"/>
          <w:szCs w:val="24"/>
          <w:bdr w:val="none" w:sz="0" w:space="0" w:color="auto" w:frame="1"/>
          <w:lang w:eastAsia="en-GB"/>
        </w:rPr>
        <w:t xml:space="preserve"> only on those cases of national interest </w:t>
      </w:r>
      <w:r w:rsidR="00492070" w:rsidRPr="000C51B3">
        <w:rPr>
          <w:rFonts w:ascii="Calibri" w:eastAsia="Times New Roman" w:hAnsi="Calibri" w:cs="Calibri"/>
          <w:color w:val="000000"/>
          <w:szCs w:val="24"/>
          <w:bdr w:val="none" w:sz="0" w:space="0" w:color="auto" w:frame="1"/>
          <w:lang w:eastAsia="en-GB"/>
        </w:rPr>
        <w:t>which</w:t>
      </w:r>
      <w:r w:rsidRPr="000C51B3">
        <w:rPr>
          <w:rFonts w:ascii="Calibri" w:eastAsia="Times New Roman" w:hAnsi="Calibri" w:cs="Calibri"/>
          <w:color w:val="000000"/>
          <w:szCs w:val="24"/>
          <w:bdr w:val="none" w:sz="0" w:space="0" w:color="auto" w:frame="1"/>
          <w:lang w:eastAsia="en-GB"/>
        </w:rPr>
        <w:t xml:space="preserve"> tend to be complex and time consuming.  </w:t>
      </w:r>
    </w:p>
    <w:p w14:paraId="1251FA05" w14:textId="7AECAA4C" w:rsidR="00D7118B" w:rsidRDefault="00492070">
      <w:pPr>
        <w:numPr>
          <w:ilvl w:val="0"/>
          <w:numId w:val="8"/>
        </w:numPr>
        <w:shd w:val="clear" w:color="auto" w:fill="FFFFFF"/>
        <w:spacing w:after="0"/>
        <w:textAlignment w:val="baseline"/>
        <w:rPr>
          <w:rFonts w:ascii="Calibri" w:eastAsia="Times New Roman" w:hAnsi="Calibri" w:cs="Calibri"/>
          <w:color w:val="000000"/>
          <w:szCs w:val="24"/>
          <w:lang w:eastAsia="en-GB"/>
        </w:rPr>
      </w:pPr>
      <w:r w:rsidRPr="000C51B3">
        <w:rPr>
          <w:rFonts w:ascii="Calibri" w:eastAsia="Times New Roman" w:hAnsi="Calibri" w:cs="Calibri"/>
          <w:color w:val="000000"/>
          <w:szCs w:val="24"/>
          <w:lang w:eastAsia="en-GB"/>
        </w:rPr>
        <w:t xml:space="preserve">Scoping </w:t>
      </w:r>
      <w:r w:rsidR="000E7AEA" w:rsidRPr="000C51B3">
        <w:rPr>
          <w:rFonts w:ascii="Calibri" w:eastAsia="Times New Roman" w:hAnsi="Calibri" w:cs="Calibri"/>
          <w:color w:val="000000"/>
          <w:szCs w:val="24"/>
          <w:lang w:eastAsia="en-GB"/>
        </w:rPr>
        <w:t>o</w:t>
      </w:r>
      <w:r w:rsidR="00D7118B" w:rsidRPr="000C51B3">
        <w:rPr>
          <w:rFonts w:ascii="Calibri" w:eastAsia="Times New Roman" w:hAnsi="Calibri" w:cs="Calibri"/>
          <w:color w:val="000000"/>
          <w:szCs w:val="24"/>
          <w:lang w:eastAsia="en-GB"/>
        </w:rPr>
        <w:t>ff-shore wind income generation work</w:t>
      </w:r>
      <w:r w:rsidRPr="000C51B3">
        <w:rPr>
          <w:rFonts w:ascii="Calibri" w:eastAsia="Times New Roman" w:hAnsi="Calibri" w:cs="Calibri"/>
          <w:color w:val="000000"/>
          <w:szCs w:val="24"/>
          <w:lang w:eastAsia="en-GB"/>
        </w:rPr>
        <w:t xml:space="preserve"> and to implement charging from the start of 2026/27.</w:t>
      </w:r>
    </w:p>
    <w:p w14:paraId="3C0D8AC8" w14:textId="77777777" w:rsidR="0097178F" w:rsidRPr="000C51B3" w:rsidRDefault="0097178F" w:rsidP="0097178F">
      <w:pPr>
        <w:shd w:val="clear" w:color="auto" w:fill="FFFFFF"/>
        <w:spacing w:after="0"/>
        <w:ind w:left="720"/>
        <w:textAlignment w:val="baseline"/>
        <w:rPr>
          <w:rFonts w:ascii="Calibri" w:eastAsia="Times New Roman" w:hAnsi="Calibri" w:cs="Calibri"/>
          <w:color w:val="000000"/>
          <w:szCs w:val="24"/>
          <w:lang w:eastAsia="en-GB"/>
        </w:rPr>
      </w:pPr>
    </w:p>
    <w:p w14:paraId="22BF45CD" w14:textId="77777777" w:rsidR="0097178F" w:rsidRDefault="0060070B" w:rsidP="0097178F">
      <w:pPr>
        <w:pStyle w:val="ListParagraph"/>
        <w:numPr>
          <w:ilvl w:val="0"/>
          <w:numId w:val="10"/>
        </w:numPr>
        <w:ind w:left="426" w:hanging="426"/>
        <w:jc w:val="both"/>
        <w:rPr>
          <w:rFonts w:ascii="Calibri" w:hAnsi="Calibri" w:cs="Calibri"/>
        </w:rPr>
      </w:pPr>
      <w:r w:rsidRPr="000C51B3">
        <w:rPr>
          <w:rFonts w:ascii="Calibri" w:hAnsi="Calibri" w:cs="Calibri"/>
        </w:rPr>
        <w:t>Several</w:t>
      </w:r>
      <w:r w:rsidR="00492070" w:rsidRPr="000C51B3">
        <w:rPr>
          <w:rFonts w:ascii="Calibri" w:hAnsi="Calibri" w:cs="Calibri"/>
        </w:rPr>
        <w:t xml:space="preserve"> major</w:t>
      </w:r>
      <w:r w:rsidRPr="000C51B3">
        <w:rPr>
          <w:rFonts w:ascii="Calibri" w:hAnsi="Calibri" w:cs="Calibri"/>
        </w:rPr>
        <w:t xml:space="preserve"> offshore wind si</w:t>
      </w:r>
      <w:r w:rsidR="00930A69" w:rsidRPr="000C51B3">
        <w:rPr>
          <w:rFonts w:ascii="Calibri" w:hAnsi="Calibri" w:cs="Calibri"/>
        </w:rPr>
        <w:t>t</w:t>
      </w:r>
      <w:r w:rsidRPr="000C51B3">
        <w:rPr>
          <w:rFonts w:ascii="Calibri" w:hAnsi="Calibri" w:cs="Calibri"/>
        </w:rPr>
        <w:t xml:space="preserve">es </w:t>
      </w:r>
      <w:r w:rsidR="00492070" w:rsidRPr="000C51B3">
        <w:rPr>
          <w:rFonts w:ascii="Calibri" w:hAnsi="Calibri" w:cs="Calibri"/>
        </w:rPr>
        <w:t xml:space="preserve">were </w:t>
      </w:r>
      <w:r w:rsidRPr="000C51B3">
        <w:rPr>
          <w:rFonts w:ascii="Calibri" w:hAnsi="Calibri" w:cs="Calibri"/>
        </w:rPr>
        <w:t xml:space="preserve">consented using </w:t>
      </w:r>
      <w:r w:rsidR="00492070" w:rsidRPr="000C51B3">
        <w:rPr>
          <w:rFonts w:ascii="Calibri" w:hAnsi="Calibri" w:cs="Calibri"/>
        </w:rPr>
        <w:t>our</w:t>
      </w:r>
      <w:r w:rsidRPr="000C51B3">
        <w:rPr>
          <w:rFonts w:ascii="Calibri" w:hAnsi="Calibri" w:cs="Calibri"/>
        </w:rPr>
        <w:t xml:space="preserve"> advice, including Berwick Bank, West of Orkney and Salamander.</w:t>
      </w:r>
    </w:p>
    <w:p w14:paraId="690AB900" w14:textId="77777777" w:rsidR="0097178F" w:rsidRDefault="0097178F" w:rsidP="0097178F">
      <w:pPr>
        <w:pStyle w:val="ListParagraph"/>
        <w:ind w:left="426"/>
        <w:jc w:val="both"/>
        <w:rPr>
          <w:rFonts w:ascii="Calibri" w:hAnsi="Calibri" w:cs="Calibri"/>
        </w:rPr>
      </w:pPr>
    </w:p>
    <w:p w14:paraId="656A0D0E" w14:textId="77777777" w:rsidR="0097178F" w:rsidRDefault="0060070B" w:rsidP="0097178F">
      <w:pPr>
        <w:pStyle w:val="ListParagraph"/>
        <w:numPr>
          <w:ilvl w:val="0"/>
          <w:numId w:val="10"/>
        </w:numPr>
        <w:ind w:left="426" w:hanging="426"/>
        <w:jc w:val="both"/>
        <w:rPr>
          <w:rFonts w:ascii="Calibri" w:hAnsi="Calibri" w:cs="Calibri"/>
        </w:rPr>
      </w:pPr>
      <w:r w:rsidRPr="0097178F">
        <w:rPr>
          <w:rFonts w:ascii="Calibri" w:hAnsi="Calibri" w:cs="Calibri"/>
        </w:rPr>
        <w:t xml:space="preserve">Ongoing discussion on a number of key issues </w:t>
      </w:r>
      <w:r w:rsidR="00492070" w:rsidRPr="0097178F">
        <w:rPr>
          <w:rFonts w:ascii="Calibri" w:hAnsi="Calibri" w:cs="Calibri"/>
        </w:rPr>
        <w:t>are continuing</w:t>
      </w:r>
      <w:r w:rsidRPr="0097178F">
        <w:rPr>
          <w:rFonts w:ascii="Calibri" w:hAnsi="Calibri" w:cs="Calibri"/>
        </w:rPr>
        <w:t>, in particular, regulator approaches to the deliver</w:t>
      </w:r>
      <w:r w:rsidR="00492070" w:rsidRPr="0097178F">
        <w:rPr>
          <w:rFonts w:ascii="Calibri" w:hAnsi="Calibri" w:cs="Calibri"/>
        </w:rPr>
        <w:t>y</w:t>
      </w:r>
      <w:r w:rsidRPr="0097178F">
        <w:rPr>
          <w:rFonts w:ascii="Calibri" w:hAnsi="Calibri" w:cs="Calibri"/>
        </w:rPr>
        <w:t xml:space="preserve"> of mitigation offsite</w:t>
      </w:r>
      <w:r w:rsidR="00492070" w:rsidRPr="0097178F">
        <w:rPr>
          <w:rFonts w:ascii="Calibri" w:hAnsi="Calibri" w:cs="Calibri"/>
        </w:rPr>
        <w:t xml:space="preserve">. This </w:t>
      </w:r>
      <w:r w:rsidRPr="0097178F">
        <w:rPr>
          <w:rFonts w:ascii="Calibri" w:hAnsi="Calibri" w:cs="Calibri"/>
        </w:rPr>
        <w:t xml:space="preserve">is a critical sticking point that we are trying to </w:t>
      </w:r>
      <w:r w:rsidR="00492070" w:rsidRPr="0097178F">
        <w:rPr>
          <w:rFonts w:ascii="Calibri" w:hAnsi="Calibri" w:cs="Calibri"/>
        </w:rPr>
        <w:t>resolve</w:t>
      </w:r>
      <w:r w:rsidRPr="0097178F">
        <w:rPr>
          <w:rFonts w:ascii="Calibri" w:hAnsi="Calibri" w:cs="Calibri"/>
        </w:rPr>
        <w:t xml:space="preserve"> with </w:t>
      </w:r>
      <w:r w:rsidR="00492070" w:rsidRPr="0097178F">
        <w:rPr>
          <w:rFonts w:ascii="Calibri" w:hAnsi="Calibri" w:cs="Calibri"/>
        </w:rPr>
        <w:t>SG</w:t>
      </w:r>
      <w:r w:rsidRPr="0097178F">
        <w:rPr>
          <w:rFonts w:ascii="Calibri" w:hAnsi="Calibri" w:cs="Calibri"/>
        </w:rPr>
        <w:t xml:space="preserve"> and the development community.  </w:t>
      </w:r>
    </w:p>
    <w:p w14:paraId="3083CC12" w14:textId="77777777" w:rsidR="0097178F" w:rsidRPr="0097178F" w:rsidRDefault="0097178F" w:rsidP="0097178F">
      <w:pPr>
        <w:pStyle w:val="ListParagraph"/>
        <w:rPr>
          <w:rFonts w:ascii="Calibri" w:hAnsi="Calibri" w:cs="Calibri"/>
        </w:rPr>
      </w:pPr>
    </w:p>
    <w:p w14:paraId="4203903A" w14:textId="77777777" w:rsidR="0097178F" w:rsidRDefault="00492070" w:rsidP="0097178F">
      <w:pPr>
        <w:pStyle w:val="ListParagraph"/>
        <w:numPr>
          <w:ilvl w:val="0"/>
          <w:numId w:val="10"/>
        </w:numPr>
        <w:ind w:left="426" w:hanging="426"/>
        <w:jc w:val="both"/>
        <w:rPr>
          <w:rFonts w:ascii="Calibri" w:hAnsi="Calibri" w:cs="Calibri"/>
        </w:rPr>
      </w:pPr>
      <w:r w:rsidRPr="0097178F">
        <w:rPr>
          <w:rFonts w:ascii="Calibri" w:hAnsi="Calibri" w:cs="Calibri"/>
        </w:rPr>
        <w:t xml:space="preserve">Our proposed </w:t>
      </w:r>
      <w:r w:rsidR="0060070B" w:rsidRPr="0097178F">
        <w:rPr>
          <w:rFonts w:ascii="Calibri" w:hAnsi="Calibri" w:cs="Calibri"/>
        </w:rPr>
        <w:t>Nature Investment Partnership</w:t>
      </w:r>
      <w:r w:rsidRPr="0097178F">
        <w:rPr>
          <w:rFonts w:ascii="Calibri" w:hAnsi="Calibri" w:cs="Calibri"/>
        </w:rPr>
        <w:t xml:space="preserve"> with investment advisers </w:t>
      </w:r>
      <w:r w:rsidR="004F4596" w:rsidRPr="0097178F">
        <w:rPr>
          <w:rFonts w:ascii="Calibri" w:hAnsi="Calibri" w:cs="Calibri"/>
        </w:rPr>
        <w:t xml:space="preserve">Aberdeen </w:t>
      </w:r>
      <w:r w:rsidRPr="0097178F">
        <w:rPr>
          <w:rFonts w:ascii="Calibri" w:hAnsi="Calibri" w:cs="Calibri"/>
        </w:rPr>
        <w:t xml:space="preserve">Asset management was </w:t>
      </w:r>
      <w:r w:rsidR="0060070B" w:rsidRPr="0097178F">
        <w:rPr>
          <w:rFonts w:ascii="Calibri" w:hAnsi="Calibri" w:cs="Calibri"/>
        </w:rPr>
        <w:t xml:space="preserve">not successful in establishing a fund. </w:t>
      </w:r>
      <w:r w:rsidRPr="0097178F">
        <w:rPr>
          <w:rFonts w:ascii="Calibri" w:hAnsi="Calibri" w:cs="Calibri"/>
        </w:rPr>
        <w:t>However, p</w:t>
      </w:r>
      <w:r w:rsidR="0060070B" w:rsidRPr="0097178F">
        <w:rPr>
          <w:rFonts w:ascii="Calibri" w:hAnsi="Calibri" w:cs="Calibri"/>
        </w:rPr>
        <w:t>rojects continue to progress and should provide opportunities for outcome buyers (i.e</w:t>
      </w:r>
      <w:r w:rsidR="00F204F2" w:rsidRPr="0097178F">
        <w:rPr>
          <w:rFonts w:ascii="Calibri" w:hAnsi="Calibri" w:cs="Calibri"/>
        </w:rPr>
        <w:t>.</w:t>
      </w:r>
      <w:r w:rsidR="0060070B" w:rsidRPr="0097178F">
        <w:rPr>
          <w:rFonts w:ascii="Calibri" w:hAnsi="Calibri" w:cs="Calibri"/>
        </w:rPr>
        <w:t xml:space="preserve"> Flow Country)</w:t>
      </w:r>
      <w:r w:rsidRPr="0097178F">
        <w:rPr>
          <w:rFonts w:ascii="Calibri" w:hAnsi="Calibri" w:cs="Calibri"/>
        </w:rPr>
        <w:t>.</w:t>
      </w:r>
    </w:p>
    <w:p w14:paraId="1DC0E69A" w14:textId="77777777" w:rsidR="0097178F" w:rsidRPr="0097178F" w:rsidRDefault="0097178F" w:rsidP="0097178F">
      <w:pPr>
        <w:pStyle w:val="ListParagraph"/>
        <w:rPr>
          <w:rFonts w:ascii="Calibri" w:hAnsi="Calibri" w:cs="Calibri"/>
        </w:rPr>
      </w:pPr>
    </w:p>
    <w:p w14:paraId="12E89C5B" w14:textId="11FD6B21" w:rsidR="0060070B" w:rsidRPr="0097178F" w:rsidRDefault="00492070" w:rsidP="0097178F">
      <w:pPr>
        <w:pStyle w:val="ListParagraph"/>
        <w:numPr>
          <w:ilvl w:val="0"/>
          <w:numId w:val="10"/>
        </w:numPr>
        <w:ind w:left="426" w:hanging="426"/>
        <w:jc w:val="both"/>
        <w:rPr>
          <w:rFonts w:ascii="Calibri" w:hAnsi="Calibri" w:cs="Calibri"/>
        </w:rPr>
      </w:pPr>
      <w:r w:rsidRPr="0097178F">
        <w:rPr>
          <w:rFonts w:ascii="Calibri" w:hAnsi="Calibri" w:cs="Calibri"/>
        </w:rPr>
        <w:t>A number of FIRNS projects progressed or are in advanced discussions</w:t>
      </w:r>
      <w:r w:rsidR="0012071B" w:rsidRPr="0097178F">
        <w:rPr>
          <w:rFonts w:ascii="Calibri" w:hAnsi="Calibri" w:cs="Calibri"/>
        </w:rPr>
        <w:t>.</w:t>
      </w:r>
      <w:r w:rsidRPr="0097178F">
        <w:rPr>
          <w:rFonts w:ascii="Calibri" w:hAnsi="Calibri" w:cs="Calibri"/>
        </w:rPr>
        <w:t xml:space="preserve"> Landscape Enterprise Networks (LENs) in Scotland </w:t>
      </w:r>
      <w:r w:rsidR="0060070B" w:rsidRPr="0097178F">
        <w:rPr>
          <w:rFonts w:ascii="Calibri" w:hAnsi="Calibri" w:cs="Calibri"/>
        </w:rPr>
        <w:t>secured over £600</w:t>
      </w:r>
      <w:r w:rsidRPr="0097178F">
        <w:rPr>
          <w:rFonts w:ascii="Calibri" w:hAnsi="Calibri" w:cs="Calibri"/>
        </w:rPr>
        <w:t>k</w:t>
      </w:r>
      <w:r w:rsidR="0060070B" w:rsidRPr="0097178F">
        <w:rPr>
          <w:rFonts w:ascii="Calibri" w:hAnsi="Calibri" w:cs="Calibri"/>
        </w:rPr>
        <w:t xml:space="preserve"> </w:t>
      </w:r>
      <w:r w:rsidRPr="0097178F">
        <w:rPr>
          <w:rFonts w:ascii="Calibri" w:hAnsi="Calibri" w:cs="Calibri"/>
        </w:rPr>
        <w:t>for</w:t>
      </w:r>
      <w:r w:rsidR="0060070B" w:rsidRPr="0097178F">
        <w:rPr>
          <w:rFonts w:ascii="Calibri" w:hAnsi="Calibri" w:cs="Calibri"/>
        </w:rPr>
        <w:t xml:space="preserve"> Loch Lomond and </w:t>
      </w:r>
      <w:r w:rsidR="00F204F2" w:rsidRPr="0097178F">
        <w:rPr>
          <w:rFonts w:ascii="Calibri" w:hAnsi="Calibri" w:cs="Calibri"/>
        </w:rPr>
        <w:t xml:space="preserve">an </w:t>
      </w:r>
      <w:r w:rsidR="0060070B" w:rsidRPr="0097178F">
        <w:rPr>
          <w:rFonts w:ascii="Calibri" w:hAnsi="Calibri" w:cs="Calibri"/>
        </w:rPr>
        <w:t xml:space="preserve">initial trade round on </w:t>
      </w:r>
      <w:r w:rsidRPr="0097178F">
        <w:rPr>
          <w:rFonts w:ascii="Calibri" w:hAnsi="Calibri" w:cs="Calibri"/>
        </w:rPr>
        <w:t xml:space="preserve">the </w:t>
      </w:r>
      <w:r w:rsidR="0060070B" w:rsidRPr="0097178F">
        <w:rPr>
          <w:rFonts w:ascii="Calibri" w:hAnsi="Calibri" w:cs="Calibri"/>
        </w:rPr>
        <w:t>Tweed</w:t>
      </w:r>
      <w:r w:rsidR="0012071B" w:rsidRPr="0097178F">
        <w:rPr>
          <w:rFonts w:ascii="Calibri" w:hAnsi="Calibri" w:cs="Calibri"/>
        </w:rPr>
        <w:t xml:space="preserve"> progresses</w:t>
      </w:r>
      <w:r w:rsidR="0060070B" w:rsidRPr="0097178F">
        <w:rPr>
          <w:rFonts w:ascii="Calibri" w:hAnsi="Calibri" w:cs="Calibri"/>
        </w:rPr>
        <w:t>.</w:t>
      </w:r>
      <w:r w:rsidRPr="0097178F">
        <w:rPr>
          <w:rFonts w:ascii="Calibri" w:hAnsi="Calibri" w:cs="Calibri"/>
        </w:rPr>
        <w:t xml:space="preserve"> The</w:t>
      </w:r>
      <w:r w:rsidR="0060070B" w:rsidRPr="0097178F">
        <w:rPr>
          <w:rFonts w:ascii="Calibri" w:hAnsi="Calibri" w:cs="Calibri"/>
        </w:rPr>
        <w:t xml:space="preserve"> Esk and Dee being explored for</w:t>
      </w:r>
      <w:r w:rsidR="0012071B" w:rsidRPr="0097178F">
        <w:rPr>
          <w:rFonts w:ascii="Calibri" w:hAnsi="Calibri" w:cs="Calibri"/>
        </w:rPr>
        <w:t xml:space="preserve"> their fit with</w:t>
      </w:r>
      <w:r w:rsidR="0060070B" w:rsidRPr="0097178F">
        <w:rPr>
          <w:rFonts w:ascii="Calibri" w:hAnsi="Calibri" w:cs="Calibri"/>
        </w:rPr>
        <w:t xml:space="preserve"> </w:t>
      </w:r>
      <w:r w:rsidR="0012071B" w:rsidRPr="0097178F">
        <w:rPr>
          <w:rFonts w:ascii="Calibri" w:hAnsi="Calibri" w:cs="Calibri"/>
        </w:rPr>
        <w:t xml:space="preserve"> the </w:t>
      </w:r>
      <w:r w:rsidR="0060070B" w:rsidRPr="0097178F">
        <w:rPr>
          <w:rFonts w:ascii="Calibri" w:hAnsi="Calibri" w:cs="Calibri"/>
        </w:rPr>
        <w:t xml:space="preserve">LENS approach. </w:t>
      </w:r>
      <w:r w:rsidR="0012071B" w:rsidRPr="0097178F">
        <w:rPr>
          <w:rFonts w:ascii="Calibri" w:hAnsi="Calibri" w:cs="Calibri"/>
        </w:rPr>
        <w:t xml:space="preserve">The </w:t>
      </w:r>
      <w:r w:rsidR="0060070B" w:rsidRPr="0097178F">
        <w:rPr>
          <w:rFonts w:ascii="Calibri" w:hAnsi="Calibri" w:cs="Calibri"/>
        </w:rPr>
        <w:t xml:space="preserve">Flow </w:t>
      </w:r>
      <w:r w:rsidR="00F204F2" w:rsidRPr="0097178F">
        <w:rPr>
          <w:rFonts w:ascii="Calibri" w:hAnsi="Calibri" w:cs="Calibri"/>
        </w:rPr>
        <w:t>C</w:t>
      </w:r>
      <w:r w:rsidR="0060070B" w:rsidRPr="0097178F">
        <w:rPr>
          <w:rFonts w:ascii="Calibri" w:hAnsi="Calibri" w:cs="Calibri"/>
        </w:rPr>
        <w:t xml:space="preserve">ountry partnership </w:t>
      </w:r>
      <w:r w:rsidR="004D51E9" w:rsidRPr="0097178F">
        <w:rPr>
          <w:rFonts w:ascii="Calibri" w:hAnsi="Calibri" w:cs="Calibri"/>
        </w:rPr>
        <w:t xml:space="preserve">is </w:t>
      </w:r>
      <w:r w:rsidR="0060070B" w:rsidRPr="0097178F">
        <w:rPr>
          <w:rFonts w:ascii="Calibri" w:hAnsi="Calibri" w:cs="Calibri"/>
        </w:rPr>
        <w:t xml:space="preserve">in </w:t>
      </w:r>
      <w:r w:rsidR="004D51E9" w:rsidRPr="0097178F">
        <w:rPr>
          <w:rFonts w:ascii="Calibri" w:hAnsi="Calibri" w:cs="Calibri"/>
        </w:rPr>
        <w:t xml:space="preserve">the </w:t>
      </w:r>
      <w:r w:rsidR="0060070B" w:rsidRPr="0097178F">
        <w:rPr>
          <w:rFonts w:ascii="Calibri" w:hAnsi="Calibri" w:cs="Calibri"/>
        </w:rPr>
        <w:t>final stages of securing around £500k</w:t>
      </w:r>
      <w:r w:rsidR="0012071B" w:rsidRPr="0097178F">
        <w:rPr>
          <w:rFonts w:ascii="Calibri" w:hAnsi="Calibri" w:cs="Calibri"/>
        </w:rPr>
        <w:t xml:space="preserve">. </w:t>
      </w:r>
      <w:r w:rsidR="00F204F2" w:rsidRPr="0097178F">
        <w:rPr>
          <w:rFonts w:ascii="Calibri" w:hAnsi="Calibri" w:cs="Calibri"/>
        </w:rPr>
        <w:t xml:space="preserve">The </w:t>
      </w:r>
      <w:r w:rsidR="0060070B" w:rsidRPr="0097178F">
        <w:rPr>
          <w:rFonts w:ascii="Calibri" w:hAnsi="Calibri" w:cs="Calibri"/>
        </w:rPr>
        <w:t xml:space="preserve">Scottish Rivers Fund </w:t>
      </w:r>
      <w:r w:rsidR="0012071B" w:rsidRPr="0097178F">
        <w:rPr>
          <w:rFonts w:ascii="Calibri" w:hAnsi="Calibri" w:cs="Calibri"/>
        </w:rPr>
        <w:t>was established and is preparing t</w:t>
      </w:r>
      <w:r w:rsidR="0060070B" w:rsidRPr="0097178F">
        <w:rPr>
          <w:rFonts w:ascii="Calibri" w:hAnsi="Calibri" w:cs="Calibri"/>
        </w:rPr>
        <w:t xml:space="preserve">o launch </w:t>
      </w:r>
      <w:r w:rsidR="0012071B" w:rsidRPr="0097178F">
        <w:rPr>
          <w:rFonts w:ascii="Calibri" w:hAnsi="Calibri" w:cs="Calibri"/>
        </w:rPr>
        <w:t xml:space="preserve">by </w:t>
      </w:r>
      <w:r w:rsidR="0060070B" w:rsidRPr="0097178F">
        <w:rPr>
          <w:rFonts w:ascii="Calibri" w:hAnsi="Calibri" w:cs="Calibri"/>
        </w:rPr>
        <w:t xml:space="preserve">May </w:t>
      </w:r>
      <w:r w:rsidR="0012071B" w:rsidRPr="0097178F">
        <w:rPr>
          <w:rFonts w:ascii="Calibri" w:hAnsi="Calibri" w:cs="Calibri"/>
        </w:rPr>
        <w:t>2026.</w:t>
      </w:r>
    </w:p>
    <w:p w14:paraId="1B190897" w14:textId="77777777" w:rsidR="00880A62" w:rsidRPr="000C51B3" w:rsidRDefault="00880A62" w:rsidP="00977B59">
      <w:pPr>
        <w:pStyle w:val="Heading2"/>
      </w:pPr>
      <w:r w:rsidRPr="000C51B3">
        <w:t xml:space="preserve">Promote nature positive land and wildlife management through strengthened regulation </w:t>
      </w:r>
    </w:p>
    <w:p w14:paraId="073C8440" w14:textId="14DA1846" w:rsidR="004D51E9" w:rsidRPr="000C51B3" w:rsidRDefault="0012071B">
      <w:pPr>
        <w:pStyle w:val="ListParagraph"/>
        <w:numPr>
          <w:ilvl w:val="0"/>
          <w:numId w:val="10"/>
        </w:numPr>
        <w:ind w:left="426" w:hanging="426"/>
        <w:jc w:val="both"/>
        <w:rPr>
          <w:rFonts w:ascii="Calibri" w:hAnsi="Calibri" w:cs="Calibri"/>
        </w:rPr>
      </w:pPr>
      <w:r w:rsidRPr="000C51B3">
        <w:rPr>
          <w:rFonts w:ascii="Calibri" w:hAnsi="Calibri" w:cs="Calibri"/>
        </w:rPr>
        <w:t>The Natural Environment Act</w:t>
      </w:r>
      <w:r w:rsidR="0060070B" w:rsidRPr="000C51B3">
        <w:rPr>
          <w:rFonts w:ascii="Calibri" w:hAnsi="Calibri" w:cs="Calibri"/>
        </w:rPr>
        <w:t xml:space="preserve"> provisions all progressed including</w:t>
      </w:r>
      <w:r w:rsidR="004D51E9" w:rsidRPr="000C51B3">
        <w:rPr>
          <w:rFonts w:ascii="Calibri" w:hAnsi="Calibri" w:cs="Calibri"/>
        </w:rPr>
        <w:t>:</w:t>
      </w:r>
      <w:r w:rsidR="0060070B" w:rsidRPr="000C51B3">
        <w:rPr>
          <w:rFonts w:ascii="Calibri" w:hAnsi="Calibri" w:cs="Calibri"/>
        </w:rPr>
        <w:t xml:space="preserve"> </w:t>
      </w:r>
    </w:p>
    <w:p w14:paraId="196EB4A9" w14:textId="0CFDCD0A" w:rsidR="004D51E9" w:rsidRPr="000C51B3" w:rsidRDefault="0060070B">
      <w:pPr>
        <w:numPr>
          <w:ilvl w:val="0"/>
          <w:numId w:val="8"/>
        </w:numPr>
        <w:shd w:val="clear" w:color="auto" w:fill="FFFFFF"/>
        <w:spacing w:after="0"/>
        <w:textAlignment w:val="baseline"/>
        <w:rPr>
          <w:rFonts w:ascii="Calibri" w:eastAsia="Times New Roman" w:hAnsi="Calibri" w:cs="Calibri"/>
          <w:color w:val="000000"/>
          <w:szCs w:val="24"/>
          <w:bdr w:val="none" w:sz="0" w:space="0" w:color="auto" w:frame="1"/>
          <w:lang w:eastAsia="en-GB"/>
        </w:rPr>
      </w:pPr>
      <w:r w:rsidRPr="000C51B3">
        <w:rPr>
          <w:rFonts w:ascii="Calibri" w:eastAsia="Times New Roman" w:hAnsi="Calibri" w:cs="Calibri"/>
          <w:color w:val="000000"/>
          <w:szCs w:val="24"/>
          <w:bdr w:val="none" w:sz="0" w:space="0" w:color="auto" w:frame="1"/>
          <w:lang w:eastAsia="en-GB"/>
        </w:rPr>
        <w:t xml:space="preserve">new NatureScot powers of intervention </w:t>
      </w:r>
    </w:p>
    <w:p w14:paraId="1AC6094A" w14:textId="037A7C43" w:rsidR="004D51E9" w:rsidRPr="000C51B3" w:rsidRDefault="0060070B">
      <w:pPr>
        <w:numPr>
          <w:ilvl w:val="0"/>
          <w:numId w:val="8"/>
        </w:numPr>
        <w:shd w:val="clear" w:color="auto" w:fill="FFFFFF"/>
        <w:spacing w:after="0"/>
        <w:textAlignment w:val="baseline"/>
        <w:rPr>
          <w:rFonts w:ascii="Calibri" w:eastAsia="Times New Roman" w:hAnsi="Calibri" w:cs="Calibri"/>
          <w:color w:val="000000"/>
          <w:szCs w:val="24"/>
          <w:bdr w:val="none" w:sz="0" w:space="0" w:color="auto" w:frame="1"/>
          <w:lang w:eastAsia="en-GB"/>
        </w:rPr>
      </w:pPr>
      <w:r w:rsidRPr="000C51B3">
        <w:rPr>
          <w:rFonts w:ascii="Calibri" w:eastAsia="Times New Roman" w:hAnsi="Calibri" w:cs="Calibri"/>
          <w:color w:val="000000"/>
          <w:szCs w:val="24"/>
          <w:bdr w:val="none" w:sz="0" w:space="0" w:color="auto" w:frame="1"/>
          <w:lang w:eastAsia="en-GB"/>
        </w:rPr>
        <w:lastRenderedPageBreak/>
        <w:t xml:space="preserve">new deer code </w:t>
      </w:r>
    </w:p>
    <w:p w14:paraId="7071D953" w14:textId="77777777" w:rsidR="004D51E9" w:rsidRPr="000C51B3" w:rsidRDefault="0060070B">
      <w:pPr>
        <w:numPr>
          <w:ilvl w:val="0"/>
          <w:numId w:val="8"/>
        </w:numPr>
        <w:shd w:val="clear" w:color="auto" w:fill="FFFFFF"/>
        <w:spacing w:after="0"/>
        <w:textAlignment w:val="baseline"/>
        <w:rPr>
          <w:rFonts w:ascii="Calibri" w:eastAsia="Times New Roman" w:hAnsi="Calibri" w:cs="Calibri"/>
          <w:color w:val="000000"/>
          <w:szCs w:val="24"/>
          <w:bdr w:val="none" w:sz="0" w:space="0" w:color="auto" w:frame="1"/>
          <w:lang w:eastAsia="en-GB"/>
        </w:rPr>
      </w:pPr>
      <w:r w:rsidRPr="000C51B3">
        <w:rPr>
          <w:rFonts w:ascii="Calibri" w:eastAsia="Times New Roman" w:hAnsi="Calibri" w:cs="Calibri"/>
          <w:color w:val="000000"/>
          <w:szCs w:val="24"/>
          <w:bdr w:val="none" w:sz="0" w:space="0" w:color="auto" w:frame="1"/>
          <w:lang w:eastAsia="en-GB"/>
        </w:rPr>
        <w:t>National Deer Plan</w:t>
      </w:r>
      <w:r w:rsidR="0012071B" w:rsidRPr="000C51B3">
        <w:rPr>
          <w:rFonts w:ascii="Calibri" w:eastAsia="Times New Roman" w:hAnsi="Calibri" w:cs="Calibri"/>
          <w:color w:val="000000"/>
          <w:szCs w:val="24"/>
          <w:bdr w:val="none" w:sz="0" w:space="0" w:color="auto" w:frame="1"/>
          <w:lang w:eastAsia="en-GB"/>
        </w:rPr>
        <w:t xml:space="preserve"> and</w:t>
      </w:r>
      <w:r w:rsidRPr="000C51B3">
        <w:rPr>
          <w:rFonts w:ascii="Calibri" w:eastAsia="Times New Roman" w:hAnsi="Calibri" w:cs="Calibri"/>
          <w:color w:val="000000"/>
          <w:szCs w:val="24"/>
          <w:bdr w:val="none" w:sz="0" w:space="0" w:color="auto" w:frame="1"/>
          <w:lang w:eastAsia="en-GB"/>
        </w:rPr>
        <w:t xml:space="preserve"> competency and occupier rights. </w:t>
      </w:r>
    </w:p>
    <w:p w14:paraId="2F5D5632" w14:textId="77777777" w:rsidR="004D51E9" w:rsidRPr="000C51B3" w:rsidRDefault="004D51E9" w:rsidP="004D51E9">
      <w:pPr>
        <w:shd w:val="clear" w:color="auto" w:fill="FFFFFF"/>
        <w:spacing w:after="0"/>
        <w:ind w:left="720"/>
        <w:textAlignment w:val="baseline"/>
        <w:rPr>
          <w:rFonts w:ascii="Calibri" w:eastAsia="Times New Roman" w:hAnsi="Calibri" w:cs="Calibri"/>
          <w:color w:val="000000"/>
          <w:szCs w:val="24"/>
          <w:bdr w:val="none" w:sz="0" w:space="0" w:color="auto" w:frame="1"/>
          <w:lang w:eastAsia="en-GB"/>
        </w:rPr>
      </w:pPr>
    </w:p>
    <w:p w14:paraId="1220A9E4" w14:textId="77777777" w:rsidR="0097178F" w:rsidRDefault="0060070B" w:rsidP="0097178F">
      <w:pPr>
        <w:pStyle w:val="ListParagraph"/>
        <w:numPr>
          <w:ilvl w:val="0"/>
          <w:numId w:val="10"/>
        </w:numPr>
        <w:ind w:left="426" w:hanging="426"/>
        <w:jc w:val="both"/>
        <w:rPr>
          <w:rFonts w:ascii="Calibri" w:hAnsi="Calibri" w:cs="Calibri"/>
        </w:rPr>
      </w:pPr>
      <w:r w:rsidRPr="000C51B3">
        <w:rPr>
          <w:rFonts w:ascii="Calibri" w:hAnsi="Calibri" w:cs="Calibri"/>
        </w:rPr>
        <w:t>Operational delivery focused on ensuring upland D</w:t>
      </w:r>
      <w:r w:rsidR="0012071B" w:rsidRPr="000C51B3">
        <w:rPr>
          <w:rFonts w:ascii="Calibri" w:hAnsi="Calibri" w:cs="Calibri"/>
        </w:rPr>
        <w:t>eer Management Groups</w:t>
      </w:r>
      <w:r w:rsidR="00106E68" w:rsidRPr="000C51B3">
        <w:rPr>
          <w:rFonts w:ascii="Calibri" w:hAnsi="Calibri" w:cs="Calibri"/>
        </w:rPr>
        <w:t xml:space="preserve"> </w:t>
      </w:r>
      <w:r w:rsidR="0012071B" w:rsidRPr="000C51B3">
        <w:rPr>
          <w:rFonts w:ascii="Calibri" w:hAnsi="Calibri" w:cs="Calibri"/>
        </w:rPr>
        <w:t xml:space="preserve">were </w:t>
      </w:r>
      <w:r w:rsidRPr="000C51B3">
        <w:rPr>
          <w:rFonts w:ascii="Calibri" w:hAnsi="Calibri" w:cs="Calibri"/>
        </w:rPr>
        <w:t>meeting planned cull targets</w:t>
      </w:r>
      <w:r w:rsidR="0012071B" w:rsidRPr="000C51B3">
        <w:rPr>
          <w:rFonts w:ascii="Calibri" w:hAnsi="Calibri" w:cs="Calibri"/>
        </w:rPr>
        <w:t xml:space="preserve"> and</w:t>
      </w:r>
      <w:r w:rsidRPr="000C51B3">
        <w:rPr>
          <w:rFonts w:ascii="Calibri" w:hAnsi="Calibri" w:cs="Calibri"/>
        </w:rPr>
        <w:t xml:space="preserve"> census work to monitor progress and develop approaches to data gathering and analysis across more of Scotland. </w:t>
      </w:r>
    </w:p>
    <w:p w14:paraId="5E15892C" w14:textId="77777777" w:rsidR="0097178F" w:rsidRDefault="0097178F" w:rsidP="0097178F">
      <w:pPr>
        <w:pStyle w:val="ListParagraph"/>
        <w:ind w:left="426"/>
        <w:jc w:val="both"/>
        <w:rPr>
          <w:rFonts w:ascii="Calibri" w:hAnsi="Calibri" w:cs="Calibri"/>
        </w:rPr>
      </w:pPr>
    </w:p>
    <w:p w14:paraId="1D604F87" w14:textId="0A2239F1" w:rsidR="0060070B" w:rsidRPr="0097178F" w:rsidRDefault="0060070B" w:rsidP="0097178F">
      <w:pPr>
        <w:pStyle w:val="ListParagraph"/>
        <w:numPr>
          <w:ilvl w:val="0"/>
          <w:numId w:val="10"/>
        </w:numPr>
        <w:ind w:left="426" w:hanging="426"/>
        <w:jc w:val="both"/>
        <w:rPr>
          <w:rFonts w:ascii="Calibri" w:hAnsi="Calibri" w:cs="Calibri"/>
        </w:rPr>
      </w:pPr>
      <w:r w:rsidRPr="0097178F">
        <w:rPr>
          <w:rFonts w:ascii="Calibri" w:hAnsi="Calibri" w:cs="Calibri"/>
        </w:rPr>
        <w:t>2024-25 was the second highest recorded deer cull in Scotland, sustaining trends in higher culls over recent years.</w:t>
      </w:r>
      <w:r w:rsidR="00BD7D6A" w:rsidRPr="0097178F">
        <w:rPr>
          <w:rFonts w:ascii="Calibri" w:hAnsi="Calibri" w:cs="Calibri"/>
        </w:rPr>
        <w:t xml:space="preserve"> Data is </w:t>
      </w:r>
      <w:r w:rsidR="005102E2" w:rsidRPr="0097178F">
        <w:rPr>
          <w:rFonts w:ascii="Calibri" w:hAnsi="Calibri" w:cs="Calibri"/>
        </w:rPr>
        <w:t>produced a year in arrears.</w:t>
      </w:r>
      <w:r w:rsidRPr="0097178F">
        <w:rPr>
          <w:rFonts w:ascii="Calibri" w:hAnsi="Calibri" w:cs="Calibri"/>
        </w:rPr>
        <w:t xml:space="preserve"> </w:t>
      </w:r>
      <w:r w:rsidR="0012071B" w:rsidRPr="0097178F">
        <w:rPr>
          <w:rFonts w:ascii="Calibri" w:hAnsi="Calibri" w:cs="Calibri"/>
        </w:rPr>
        <w:t>We maintained a l</w:t>
      </w:r>
      <w:r w:rsidRPr="0097178F">
        <w:rPr>
          <w:rFonts w:ascii="Calibri" w:hAnsi="Calibri" w:cs="Calibri"/>
        </w:rPr>
        <w:t>andscape</w:t>
      </w:r>
      <w:r w:rsidR="00106E68" w:rsidRPr="0097178F">
        <w:rPr>
          <w:rFonts w:ascii="Calibri" w:hAnsi="Calibri" w:cs="Calibri"/>
        </w:rPr>
        <w:t>-</w:t>
      </w:r>
      <w:r w:rsidRPr="0097178F">
        <w:rPr>
          <w:rFonts w:ascii="Calibri" w:hAnsi="Calibri" w:cs="Calibri"/>
        </w:rPr>
        <w:t xml:space="preserve">scale focus aligning with SBS priority areas where incentives and regulation </w:t>
      </w:r>
      <w:r w:rsidR="0012071B" w:rsidRPr="0097178F">
        <w:rPr>
          <w:rFonts w:ascii="Calibri" w:hAnsi="Calibri" w:cs="Calibri"/>
        </w:rPr>
        <w:t xml:space="preserve">are </w:t>
      </w:r>
      <w:r w:rsidRPr="0097178F">
        <w:rPr>
          <w:rFonts w:ascii="Calibri" w:hAnsi="Calibri" w:cs="Calibri"/>
        </w:rPr>
        <w:t>being u</w:t>
      </w:r>
      <w:r w:rsidR="004D51E9" w:rsidRPr="0097178F">
        <w:rPr>
          <w:rFonts w:ascii="Calibri" w:hAnsi="Calibri" w:cs="Calibri"/>
        </w:rPr>
        <w:t>sed</w:t>
      </w:r>
      <w:r w:rsidRPr="0097178F">
        <w:rPr>
          <w:rFonts w:ascii="Calibri" w:hAnsi="Calibri" w:cs="Calibri"/>
        </w:rPr>
        <w:t xml:space="preserve"> to reduce deer populations and </w:t>
      </w:r>
      <w:r w:rsidR="0012071B" w:rsidRPr="0097178F">
        <w:rPr>
          <w:rFonts w:ascii="Calibri" w:hAnsi="Calibri" w:cs="Calibri"/>
        </w:rPr>
        <w:t xml:space="preserve">their </w:t>
      </w:r>
      <w:r w:rsidRPr="0097178F">
        <w:rPr>
          <w:rFonts w:ascii="Calibri" w:hAnsi="Calibri" w:cs="Calibri"/>
        </w:rPr>
        <w:t xml:space="preserve">impacts through higher culls. </w:t>
      </w:r>
    </w:p>
    <w:p w14:paraId="527452C7" w14:textId="77777777" w:rsidR="0097178F" w:rsidRDefault="0097178F" w:rsidP="0097178F">
      <w:pPr>
        <w:pStyle w:val="ListParagraph"/>
        <w:ind w:left="426"/>
        <w:jc w:val="both"/>
        <w:rPr>
          <w:rFonts w:ascii="Calibri" w:hAnsi="Calibri" w:cs="Calibri"/>
        </w:rPr>
      </w:pPr>
    </w:p>
    <w:p w14:paraId="12D7B2C2" w14:textId="7B3C46C8" w:rsidR="0060070B" w:rsidRPr="000C51B3" w:rsidRDefault="0060070B">
      <w:pPr>
        <w:pStyle w:val="ListParagraph"/>
        <w:numPr>
          <w:ilvl w:val="0"/>
          <w:numId w:val="10"/>
        </w:numPr>
        <w:ind w:left="426" w:hanging="426"/>
        <w:jc w:val="both"/>
        <w:rPr>
          <w:rFonts w:ascii="Calibri" w:hAnsi="Calibri" w:cs="Calibri"/>
        </w:rPr>
      </w:pPr>
      <w:r w:rsidRPr="000C51B3">
        <w:rPr>
          <w:rFonts w:ascii="Calibri" w:hAnsi="Calibri" w:cs="Calibri"/>
        </w:rPr>
        <w:t xml:space="preserve">Species management schemes </w:t>
      </w:r>
      <w:r w:rsidR="00C5457F" w:rsidRPr="000C51B3">
        <w:rPr>
          <w:rFonts w:ascii="Calibri" w:hAnsi="Calibri" w:cs="Calibri"/>
        </w:rPr>
        <w:t xml:space="preserve">(Goose and Sea Eagle) </w:t>
      </w:r>
      <w:r w:rsidRPr="000C51B3">
        <w:rPr>
          <w:rFonts w:ascii="Calibri" w:hAnsi="Calibri" w:cs="Calibri"/>
        </w:rPr>
        <w:t xml:space="preserve">have been delivered on time and within budgets. The policy review aspects of the management schemes </w:t>
      </w:r>
      <w:r w:rsidR="004D51E9" w:rsidRPr="000C51B3">
        <w:rPr>
          <w:rFonts w:ascii="Calibri" w:hAnsi="Calibri" w:cs="Calibri"/>
        </w:rPr>
        <w:t xml:space="preserve">were </w:t>
      </w:r>
      <w:r w:rsidRPr="000C51B3">
        <w:rPr>
          <w:rFonts w:ascii="Calibri" w:hAnsi="Calibri" w:cs="Calibri"/>
        </w:rPr>
        <w:t xml:space="preserve">also progressed </w:t>
      </w:r>
      <w:r w:rsidR="0012071B" w:rsidRPr="000C51B3">
        <w:rPr>
          <w:rFonts w:ascii="Calibri" w:hAnsi="Calibri" w:cs="Calibri"/>
        </w:rPr>
        <w:t>by</w:t>
      </w:r>
      <w:r w:rsidRPr="000C51B3">
        <w:rPr>
          <w:rFonts w:ascii="Calibri" w:hAnsi="Calibri" w:cs="Calibri"/>
        </w:rPr>
        <w:t xml:space="preserve"> </w:t>
      </w:r>
      <w:r w:rsidR="004D51E9" w:rsidRPr="000C51B3">
        <w:rPr>
          <w:rFonts w:ascii="Calibri" w:hAnsi="Calibri" w:cs="Calibri"/>
        </w:rPr>
        <w:t xml:space="preserve"> </w:t>
      </w:r>
      <w:r w:rsidRPr="000C51B3">
        <w:rPr>
          <w:rFonts w:ascii="Calibri" w:hAnsi="Calibri" w:cs="Calibri"/>
        </w:rPr>
        <w:t>publishing action plans</w:t>
      </w:r>
      <w:r w:rsidR="00106E68" w:rsidRPr="000C51B3">
        <w:rPr>
          <w:rFonts w:ascii="Calibri" w:hAnsi="Calibri" w:cs="Calibri"/>
        </w:rPr>
        <w:t>,</w:t>
      </w:r>
      <w:r w:rsidR="0012071B" w:rsidRPr="000C51B3">
        <w:rPr>
          <w:rFonts w:ascii="Calibri" w:hAnsi="Calibri" w:cs="Calibri"/>
        </w:rPr>
        <w:t xml:space="preserve"> </w:t>
      </w:r>
      <w:r w:rsidRPr="000C51B3">
        <w:rPr>
          <w:rFonts w:ascii="Calibri" w:hAnsi="Calibri" w:cs="Calibri"/>
        </w:rPr>
        <w:t>with work to review, simplify and align with future rural support mechanisms in 2030 underway.</w:t>
      </w:r>
    </w:p>
    <w:p w14:paraId="1B99C0C9" w14:textId="77777777" w:rsidR="0097178F" w:rsidRDefault="0097178F" w:rsidP="0097178F">
      <w:pPr>
        <w:pStyle w:val="ListParagraph"/>
        <w:ind w:left="426"/>
        <w:jc w:val="both"/>
        <w:rPr>
          <w:rFonts w:ascii="Calibri" w:hAnsi="Calibri" w:cs="Calibri"/>
        </w:rPr>
      </w:pPr>
    </w:p>
    <w:p w14:paraId="3C33566B" w14:textId="53987A54" w:rsidR="0060070B" w:rsidRPr="000C51B3" w:rsidRDefault="0060070B">
      <w:pPr>
        <w:pStyle w:val="ListParagraph"/>
        <w:numPr>
          <w:ilvl w:val="0"/>
          <w:numId w:val="10"/>
        </w:numPr>
        <w:ind w:left="426" w:hanging="426"/>
        <w:jc w:val="both"/>
        <w:rPr>
          <w:rFonts w:ascii="Calibri" w:hAnsi="Calibri" w:cs="Calibri"/>
        </w:rPr>
      </w:pPr>
      <w:r w:rsidRPr="000C51B3">
        <w:rPr>
          <w:rFonts w:ascii="Calibri" w:hAnsi="Calibri" w:cs="Calibri"/>
        </w:rPr>
        <w:t xml:space="preserve">Full funding </w:t>
      </w:r>
      <w:r w:rsidR="0012071B" w:rsidRPr="000C51B3">
        <w:rPr>
          <w:rFonts w:ascii="Calibri" w:hAnsi="Calibri" w:cs="Calibri"/>
        </w:rPr>
        <w:t xml:space="preserve">was </w:t>
      </w:r>
      <w:r w:rsidRPr="000C51B3">
        <w:rPr>
          <w:rFonts w:ascii="Calibri" w:hAnsi="Calibri" w:cs="Calibri"/>
        </w:rPr>
        <w:t>agreed for two years of mink control</w:t>
      </w:r>
      <w:r w:rsidR="009349EE" w:rsidRPr="000C51B3">
        <w:rPr>
          <w:rFonts w:ascii="Calibri" w:hAnsi="Calibri" w:cs="Calibri"/>
        </w:rPr>
        <w:t xml:space="preserve"> which is new funding from the Scottish Invasive Species Initiative (SISI) project</w:t>
      </w:r>
      <w:r w:rsidRPr="000C51B3">
        <w:rPr>
          <w:rFonts w:ascii="Calibri" w:hAnsi="Calibri" w:cs="Calibri"/>
        </w:rPr>
        <w:t xml:space="preserve">. </w:t>
      </w:r>
      <w:r w:rsidR="0012071B" w:rsidRPr="000C51B3">
        <w:rPr>
          <w:rFonts w:ascii="Calibri" w:hAnsi="Calibri" w:cs="Calibri"/>
        </w:rPr>
        <w:t>A n</w:t>
      </w:r>
      <w:r w:rsidRPr="000C51B3">
        <w:rPr>
          <w:rFonts w:ascii="Calibri" w:hAnsi="Calibri" w:cs="Calibri"/>
        </w:rPr>
        <w:t xml:space="preserve">ew </w:t>
      </w:r>
      <w:r w:rsidR="00201B01" w:rsidRPr="000C51B3">
        <w:rPr>
          <w:rFonts w:ascii="Calibri" w:hAnsi="Calibri" w:cs="Calibri"/>
        </w:rPr>
        <w:t xml:space="preserve">Scottish </w:t>
      </w:r>
      <w:r w:rsidRPr="000C51B3">
        <w:rPr>
          <w:rFonts w:ascii="Calibri" w:hAnsi="Calibri" w:cs="Calibri"/>
        </w:rPr>
        <w:t>INNS plan</w:t>
      </w:r>
      <w:r w:rsidR="0012071B" w:rsidRPr="000C51B3">
        <w:rPr>
          <w:rFonts w:ascii="Calibri" w:hAnsi="Calibri" w:cs="Calibri"/>
        </w:rPr>
        <w:t xml:space="preserve"> was</w:t>
      </w:r>
      <w:r w:rsidRPr="000C51B3">
        <w:rPr>
          <w:rFonts w:ascii="Calibri" w:hAnsi="Calibri" w:cs="Calibri"/>
        </w:rPr>
        <w:t xml:space="preserve"> launched in March 2026. Building on the Scottish INNS Plan, we will set out </w:t>
      </w:r>
      <w:r w:rsidR="0012071B" w:rsidRPr="000C51B3">
        <w:rPr>
          <w:rFonts w:ascii="Calibri" w:hAnsi="Calibri" w:cs="Calibri"/>
        </w:rPr>
        <w:t>our</w:t>
      </w:r>
      <w:r w:rsidRPr="000C51B3">
        <w:rPr>
          <w:rFonts w:ascii="Calibri" w:hAnsi="Calibri" w:cs="Calibri"/>
        </w:rPr>
        <w:t xml:space="preserve"> lead responsibilities and actions.</w:t>
      </w:r>
    </w:p>
    <w:p w14:paraId="4329A59F" w14:textId="77777777" w:rsidR="0097178F" w:rsidRDefault="0097178F" w:rsidP="0097178F">
      <w:pPr>
        <w:pStyle w:val="ListParagraph"/>
        <w:ind w:left="426"/>
        <w:jc w:val="both"/>
        <w:rPr>
          <w:rFonts w:ascii="Calibri" w:hAnsi="Calibri" w:cs="Calibri"/>
        </w:rPr>
      </w:pPr>
    </w:p>
    <w:p w14:paraId="0A165E72" w14:textId="74859172" w:rsidR="0060070B" w:rsidRPr="000C51B3" w:rsidRDefault="0012071B">
      <w:pPr>
        <w:pStyle w:val="ListParagraph"/>
        <w:numPr>
          <w:ilvl w:val="0"/>
          <w:numId w:val="10"/>
        </w:numPr>
        <w:ind w:left="426" w:hanging="426"/>
        <w:jc w:val="both"/>
        <w:rPr>
          <w:rFonts w:ascii="Calibri" w:hAnsi="Calibri" w:cs="Calibri"/>
        </w:rPr>
      </w:pPr>
      <w:r w:rsidRPr="000C51B3">
        <w:rPr>
          <w:rFonts w:ascii="Calibri" w:hAnsi="Calibri" w:cs="Calibri"/>
        </w:rPr>
        <w:t>Our d</w:t>
      </w:r>
      <w:r w:rsidR="0060070B" w:rsidRPr="000C51B3">
        <w:rPr>
          <w:rFonts w:ascii="Calibri" w:hAnsi="Calibri" w:cs="Calibri"/>
        </w:rPr>
        <w:t xml:space="preserve">igital licensing service </w:t>
      </w:r>
      <w:r w:rsidRPr="000C51B3">
        <w:rPr>
          <w:rFonts w:ascii="Calibri" w:hAnsi="Calibri" w:cs="Calibri"/>
        </w:rPr>
        <w:t xml:space="preserve">was </w:t>
      </w:r>
      <w:r w:rsidR="0060070B" w:rsidRPr="000C51B3">
        <w:rPr>
          <w:rFonts w:ascii="Calibri" w:hAnsi="Calibri" w:cs="Calibri"/>
        </w:rPr>
        <w:t xml:space="preserve">delivered for </w:t>
      </w:r>
      <w:r w:rsidR="00F071B2" w:rsidRPr="000C51B3">
        <w:rPr>
          <w:rFonts w:ascii="Calibri" w:hAnsi="Calibri" w:cs="Calibri"/>
        </w:rPr>
        <w:t>Muirburn,</w:t>
      </w:r>
      <w:r w:rsidR="0060070B" w:rsidRPr="000C51B3">
        <w:rPr>
          <w:rFonts w:ascii="Calibri" w:hAnsi="Calibri" w:cs="Calibri"/>
        </w:rPr>
        <w:t xml:space="preserve"> but subsequent legislative changes have required further development work. A workplan and resourcing for Online Licensing was </w:t>
      </w:r>
      <w:r w:rsidRPr="000C51B3">
        <w:rPr>
          <w:rFonts w:ascii="Calibri" w:hAnsi="Calibri" w:cs="Calibri"/>
        </w:rPr>
        <w:t xml:space="preserve">put </w:t>
      </w:r>
      <w:r w:rsidR="0060070B" w:rsidRPr="000C51B3">
        <w:rPr>
          <w:rFonts w:ascii="Calibri" w:hAnsi="Calibri" w:cs="Calibri"/>
        </w:rPr>
        <w:t>in place for 2025/26.</w:t>
      </w:r>
    </w:p>
    <w:p w14:paraId="7BBCED3D" w14:textId="77777777" w:rsidR="0097178F" w:rsidRDefault="0097178F" w:rsidP="0097178F">
      <w:pPr>
        <w:pStyle w:val="ListParagraph"/>
        <w:ind w:left="426"/>
        <w:jc w:val="both"/>
        <w:rPr>
          <w:rFonts w:ascii="Calibri" w:hAnsi="Calibri" w:cs="Calibri"/>
        </w:rPr>
      </w:pPr>
    </w:p>
    <w:p w14:paraId="48B05F1B" w14:textId="2FC38B1F" w:rsidR="00880A62" w:rsidRPr="000C51B3" w:rsidRDefault="0060070B">
      <w:pPr>
        <w:pStyle w:val="ListParagraph"/>
        <w:numPr>
          <w:ilvl w:val="0"/>
          <w:numId w:val="10"/>
        </w:numPr>
        <w:ind w:left="426" w:hanging="426"/>
        <w:jc w:val="both"/>
        <w:rPr>
          <w:rFonts w:ascii="Calibri" w:hAnsi="Calibri" w:cs="Calibri"/>
        </w:rPr>
      </w:pPr>
      <w:r w:rsidRPr="000C51B3">
        <w:rPr>
          <w:rFonts w:ascii="Calibri" w:hAnsi="Calibri" w:cs="Calibri"/>
        </w:rPr>
        <w:t xml:space="preserve">The Species Licensing Review has been completed and </w:t>
      </w:r>
      <w:r w:rsidR="004D51E9" w:rsidRPr="000C51B3">
        <w:rPr>
          <w:rFonts w:ascii="Calibri" w:hAnsi="Calibri" w:cs="Calibri"/>
        </w:rPr>
        <w:t>was</w:t>
      </w:r>
      <w:r w:rsidRPr="000C51B3">
        <w:rPr>
          <w:rFonts w:ascii="Calibri" w:hAnsi="Calibri" w:cs="Calibri"/>
        </w:rPr>
        <w:t xml:space="preserve"> subject to independent external review and submitted to Scottish Government for consideration and response.  </w:t>
      </w:r>
    </w:p>
    <w:p w14:paraId="08D9DC55" w14:textId="1978F94F" w:rsidR="0060070B" w:rsidRPr="000C51B3" w:rsidRDefault="0060070B" w:rsidP="00977B59">
      <w:pPr>
        <w:pStyle w:val="Heading2"/>
      </w:pPr>
      <w:r w:rsidRPr="000C51B3">
        <w:t>New Ways of Working</w:t>
      </w:r>
    </w:p>
    <w:p w14:paraId="44C794CB" w14:textId="7472BECC" w:rsidR="00D7118B" w:rsidRPr="000C51B3" w:rsidRDefault="0012071B">
      <w:pPr>
        <w:pStyle w:val="ListParagraph"/>
        <w:numPr>
          <w:ilvl w:val="0"/>
          <w:numId w:val="10"/>
        </w:numPr>
        <w:ind w:left="426" w:hanging="426"/>
        <w:jc w:val="both"/>
        <w:rPr>
          <w:rFonts w:ascii="Calibri" w:hAnsi="Calibri" w:cs="Calibri"/>
        </w:rPr>
      </w:pPr>
      <w:r w:rsidRPr="000C51B3">
        <w:rPr>
          <w:rFonts w:ascii="Calibri" w:hAnsi="Calibri" w:cs="Calibri"/>
        </w:rPr>
        <w:t>Our u</w:t>
      </w:r>
      <w:r w:rsidR="00D7118B" w:rsidRPr="000C51B3">
        <w:rPr>
          <w:rFonts w:ascii="Calibri" w:hAnsi="Calibri" w:cs="Calibri"/>
        </w:rPr>
        <w:t>pgrade to Windows 11  was successfully delivered</w:t>
      </w:r>
      <w:r w:rsidRPr="000C51B3">
        <w:rPr>
          <w:rFonts w:ascii="Calibri" w:hAnsi="Calibri" w:cs="Calibri"/>
        </w:rPr>
        <w:t xml:space="preserve"> and our virtual private network </w:t>
      </w:r>
      <w:r w:rsidR="00D7118B" w:rsidRPr="000C51B3">
        <w:rPr>
          <w:rFonts w:ascii="Calibri" w:hAnsi="Calibri" w:cs="Calibri"/>
        </w:rPr>
        <w:t xml:space="preserve"> </w:t>
      </w:r>
      <w:r w:rsidRPr="000C51B3">
        <w:rPr>
          <w:rFonts w:ascii="Calibri" w:hAnsi="Calibri" w:cs="Calibri"/>
        </w:rPr>
        <w:t>(</w:t>
      </w:r>
      <w:r w:rsidR="00D7118B" w:rsidRPr="000C51B3">
        <w:rPr>
          <w:rFonts w:ascii="Calibri" w:hAnsi="Calibri" w:cs="Calibri"/>
        </w:rPr>
        <w:t>VPN</w:t>
      </w:r>
      <w:r w:rsidRPr="000C51B3">
        <w:rPr>
          <w:rFonts w:ascii="Calibri" w:hAnsi="Calibri" w:cs="Calibri"/>
        </w:rPr>
        <w:t>)</w:t>
      </w:r>
      <w:r w:rsidR="00D7118B" w:rsidRPr="000C51B3">
        <w:rPr>
          <w:rFonts w:ascii="Calibri" w:hAnsi="Calibri" w:cs="Calibri"/>
        </w:rPr>
        <w:t xml:space="preserve"> replacement </w:t>
      </w:r>
      <w:r w:rsidRPr="000C51B3">
        <w:rPr>
          <w:rFonts w:ascii="Calibri" w:hAnsi="Calibri" w:cs="Calibri"/>
        </w:rPr>
        <w:t xml:space="preserve">was </w:t>
      </w:r>
      <w:r w:rsidR="00D7118B" w:rsidRPr="000C51B3">
        <w:rPr>
          <w:rFonts w:ascii="Calibri" w:hAnsi="Calibri" w:cs="Calibri"/>
        </w:rPr>
        <w:t>implemented</w:t>
      </w:r>
      <w:r w:rsidR="007453AD" w:rsidRPr="000C51B3">
        <w:rPr>
          <w:rFonts w:ascii="Calibri" w:hAnsi="Calibri" w:cs="Calibri"/>
        </w:rPr>
        <w:t>,</w:t>
      </w:r>
      <w:r w:rsidR="00D7118B" w:rsidRPr="000C51B3">
        <w:rPr>
          <w:rFonts w:ascii="Calibri" w:hAnsi="Calibri" w:cs="Calibri"/>
        </w:rPr>
        <w:t xml:space="preserve"> mitigating a major security risk and increasing available access times. FrontierConnect work to deliver </w:t>
      </w:r>
      <w:r w:rsidR="007453AD" w:rsidRPr="000C51B3">
        <w:rPr>
          <w:rFonts w:ascii="Calibri" w:hAnsi="Calibri" w:cs="Calibri"/>
        </w:rPr>
        <w:t xml:space="preserve">high-speed, video conference (VC) capable, internet connections was </w:t>
      </w:r>
      <w:r w:rsidR="00D7118B" w:rsidRPr="000C51B3">
        <w:rPr>
          <w:rFonts w:ascii="Calibri" w:hAnsi="Calibri" w:cs="Calibri"/>
        </w:rPr>
        <w:t>completed</w:t>
      </w:r>
      <w:r w:rsidR="007453AD" w:rsidRPr="000C51B3">
        <w:rPr>
          <w:rFonts w:ascii="Calibri" w:hAnsi="Calibri" w:cs="Calibri"/>
        </w:rPr>
        <w:t xml:space="preserve"> for all offices</w:t>
      </w:r>
      <w:r w:rsidR="00D7118B" w:rsidRPr="000C51B3">
        <w:rPr>
          <w:rFonts w:ascii="Calibri" w:hAnsi="Calibri" w:cs="Calibri"/>
        </w:rPr>
        <w:t>.</w:t>
      </w:r>
    </w:p>
    <w:p w14:paraId="30542FF7" w14:textId="77777777" w:rsidR="0097178F" w:rsidRDefault="0097178F" w:rsidP="0097178F">
      <w:pPr>
        <w:pStyle w:val="ListParagraph"/>
        <w:ind w:left="426"/>
        <w:jc w:val="both"/>
        <w:rPr>
          <w:rFonts w:ascii="Calibri" w:hAnsi="Calibri" w:cs="Calibri"/>
        </w:rPr>
      </w:pPr>
    </w:p>
    <w:p w14:paraId="015F2B58" w14:textId="19E63A38" w:rsidR="0012071B" w:rsidRPr="000C51B3" w:rsidRDefault="00D7118B">
      <w:pPr>
        <w:pStyle w:val="ListParagraph"/>
        <w:numPr>
          <w:ilvl w:val="0"/>
          <w:numId w:val="10"/>
        </w:numPr>
        <w:ind w:left="426" w:hanging="426"/>
        <w:jc w:val="both"/>
        <w:rPr>
          <w:rFonts w:ascii="Calibri" w:hAnsi="Calibri" w:cs="Calibri"/>
        </w:rPr>
      </w:pPr>
      <w:r w:rsidRPr="000C51B3">
        <w:rPr>
          <w:rFonts w:ascii="Calibri" w:hAnsi="Calibri" w:cs="Calibri"/>
        </w:rPr>
        <w:t>The quantity</w:t>
      </w:r>
      <w:r w:rsidR="0012071B" w:rsidRPr="000C51B3">
        <w:rPr>
          <w:rFonts w:ascii="Calibri" w:hAnsi="Calibri" w:cs="Calibri"/>
        </w:rPr>
        <w:t xml:space="preserve"> (352)</w:t>
      </w:r>
      <w:r w:rsidRPr="000C51B3">
        <w:rPr>
          <w:rFonts w:ascii="Calibri" w:hAnsi="Calibri" w:cs="Calibri"/>
        </w:rPr>
        <w:t xml:space="preserve"> of FOI </w:t>
      </w:r>
      <w:r w:rsidR="0012071B" w:rsidRPr="000C51B3">
        <w:rPr>
          <w:rFonts w:ascii="Calibri" w:hAnsi="Calibri" w:cs="Calibri"/>
        </w:rPr>
        <w:t>requests received is</w:t>
      </w:r>
      <w:r w:rsidRPr="000C51B3">
        <w:rPr>
          <w:rFonts w:ascii="Calibri" w:hAnsi="Calibri" w:cs="Calibri"/>
        </w:rPr>
        <w:t xml:space="preserve"> an all-time record and a significant increase on previous years. </w:t>
      </w:r>
    </w:p>
    <w:p w14:paraId="0B0557CB" w14:textId="77777777" w:rsidR="0097178F" w:rsidRDefault="0097178F" w:rsidP="0097178F">
      <w:pPr>
        <w:pStyle w:val="ListParagraph"/>
        <w:ind w:left="426"/>
        <w:jc w:val="both"/>
        <w:rPr>
          <w:rFonts w:ascii="Calibri" w:hAnsi="Calibri" w:cs="Calibri"/>
        </w:rPr>
      </w:pPr>
    </w:p>
    <w:p w14:paraId="3C92C115" w14:textId="28C0E45C" w:rsidR="0012071B" w:rsidRPr="000C51B3" w:rsidRDefault="0012071B">
      <w:pPr>
        <w:pStyle w:val="ListParagraph"/>
        <w:numPr>
          <w:ilvl w:val="0"/>
          <w:numId w:val="10"/>
        </w:numPr>
        <w:ind w:left="426" w:hanging="426"/>
        <w:jc w:val="both"/>
        <w:rPr>
          <w:rFonts w:ascii="Calibri" w:hAnsi="Calibri" w:cs="Calibri"/>
        </w:rPr>
      </w:pPr>
      <w:r w:rsidRPr="000C51B3">
        <w:rPr>
          <w:rFonts w:ascii="Calibri" w:hAnsi="Calibri" w:cs="Calibri"/>
        </w:rPr>
        <w:t>The Board gave its approval to our Net Zero Plan for 2026-30.</w:t>
      </w:r>
    </w:p>
    <w:p w14:paraId="64A2ED66" w14:textId="77777777" w:rsidR="0097178F" w:rsidRDefault="0097178F" w:rsidP="0097178F">
      <w:pPr>
        <w:pStyle w:val="ListParagraph"/>
        <w:ind w:left="426"/>
        <w:jc w:val="both"/>
        <w:rPr>
          <w:rFonts w:ascii="Calibri" w:hAnsi="Calibri" w:cs="Calibri"/>
        </w:rPr>
      </w:pPr>
    </w:p>
    <w:p w14:paraId="70976209" w14:textId="6705CD54" w:rsidR="00D7118B" w:rsidRPr="000C51B3" w:rsidRDefault="00D7118B">
      <w:pPr>
        <w:pStyle w:val="ListParagraph"/>
        <w:numPr>
          <w:ilvl w:val="0"/>
          <w:numId w:val="10"/>
        </w:numPr>
        <w:ind w:left="426" w:hanging="426"/>
        <w:jc w:val="both"/>
        <w:rPr>
          <w:rFonts w:ascii="Calibri" w:hAnsi="Calibri" w:cs="Calibri"/>
        </w:rPr>
      </w:pPr>
      <w:r w:rsidRPr="000C51B3">
        <w:rPr>
          <w:rFonts w:ascii="Calibri" w:hAnsi="Calibri" w:cs="Calibri"/>
        </w:rPr>
        <w:t xml:space="preserve">Changes </w:t>
      </w:r>
      <w:r w:rsidR="0012071B" w:rsidRPr="000C51B3">
        <w:rPr>
          <w:rFonts w:ascii="Calibri" w:hAnsi="Calibri" w:cs="Calibri"/>
        </w:rPr>
        <w:t xml:space="preserve">were made </w:t>
      </w:r>
      <w:r w:rsidRPr="000C51B3">
        <w:rPr>
          <w:rFonts w:ascii="Calibri" w:hAnsi="Calibri" w:cs="Calibri"/>
        </w:rPr>
        <w:t>to our Estate delivering savings and reducing carbon emissions.</w:t>
      </w:r>
      <w:r w:rsidR="004D51E9" w:rsidRPr="000C51B3">
        <w:rPr>
          <w:rFonts w:ascii="Calibri" w:hAnsi="Calibri" w:cs="Calibri"/>
        </w:rPr>
        <w:t xml:space="preserve"> Key milestones included:</w:t>
      </w:r>
    </w:p>
    <w:p w14:paraId="118865E2" w14:textId="5FA0C090" w:rsidR="007453AD" w:rsidRPr="000C51B3" w:rsidRDefault="004D51E9">
      <w:pPr>
        <w:numPr>
          <w:ilvl w:val="0"/>
          <w:numId w:val="8"/>
        </w:numPr>
        <w:shd w:val="clear" w:color="auto" w:fill="FFFFFF"/>
        <w:spacing w:after="0"/>
        <w:textAlignment w:val="baseline"/>
        <w:rPr>
          <w:rFonts w:ascii="Calibri" w:eastAsia="Times New Roman" w:hAnsi="Calibri" w:cs="Calibri"/>
          <w:color w:val="000000"/>
          <w:szCs w:val="24"/>
          <w:bdr w:val="none" w:sz="0" w:space="0" w:color="auto" w:frame="1"/>
          <w:lang w:eastAsia="en-GB"/>
        </w:rPr>
      </w:pPr>
      <w:r w:rsidRPr="000C51B3">
        <w:rPr>
          <w:rFonts w:ascii="Calibri" w:eastAsia="Times New Roman" w:hAnsi="Calibri" w:cs="Calibri"/>
          <w:color w:val="000000"/>
          <w:szCs w:val="24"/>
          <w:bdr w:val="none" w:sz="0" w:space="0" w:color="auto" w:frame="1"/>
          <w:lang w:eastAsia="en-GB"/>
        </w:rPr>
        <w:lastRenderedPageBreak/>
        <w:t>The</w:t>
      </w:r>
      <w:r w:rsidR="00D7118B" w:rsidRPr="000C51B3">
        <w:rPr>
          <w:rFonts w:ascii="Calibri" w:eastAsia="Times New Roman" w:hAnsi="Calibri" w:cs="Calibri"/>
          <w:color w:val="000000"/>
          <w:szCs w:val="24"/>
          <w:bdr w:val="none" w:sz="0" w:space="0" w:color="auto" w:frame="1"/>
          <w:lang w:eastAsia="en-GB"/>
        </w:rPr>
        <w:t xml:space="preserve"> decision to relocate</w:t>
      </w:r>
      <w:r w:rsidRPr="000C51B3">
        <w:rPr>
          <w:rFonts w:ascii="Calibri" w:eastAsia="Times New Roman" w:hAnsi="Calibri" w:cs="Calibri"/>
          <w:color w:val="000000"/>
          <w:szCs w:val="24"/>
          <w:bdr w:val="none" w:sz="0" w:space="0" w:color="auto" w:frame="1"/>
          <w:lang w:eastAsia="en-GB"/>
        </w:rPr>
        <w:t xml:space="preserve"> from Battleby</w:t>
      </w:r>
      <w:r w:rsidR="00D7118B" w:rsidRPr="000C51B3">
        <w:rPr>
          <w:rFonts w:ascii="Calibri" w:eastAsia="Times New Roman" w:hAnsi="Calibri" w:cs="Calibri"/>
          <w:color w:val="000000"/>
          <w:szCs w:val="24"/>
          <w:bdr w:val="none" w:sz="0" w:space="0" w:color="auto" w:frame="1"/>
          <w:lang w:eastAsia="en-GB"/>
        </w:rPr>
        <w:t xml:space="preserve"> </w:t>
      </w:r>
      <w:r w:rsidRPr="000C51B3">
        <w:rPr>
          <w:rFonts w:ascii="Calibri" w:eastAsia="Times New Roman" w:hAnsi="Calibri" w:cs="Calibri"/>
          <w:color w:val="000000"/>
          <w:szCs w:val="24"/>
          <w:bdr w:val="none" w:sz="0" w:space="0" w:color="auto" w:frame="1"/>
          <w:lang w:eastAsia="en-GB"/>
        </w:rPr>
        <w:t xml:space="preserve">to Pullar House in Perth </w:t>
      </w:r>
      <w:r w:rsidR="0012071B" w:rsidRPr="000C51B3">
        <w:rPr>
          <w:rFonts w:ascii="Calibri" w:eastAsia="Times New Roman" w:hAnsi="Calibri" w:cs="Calibri"/>
          <w:color w:val="000000"/>
          <w:szCs w:val="24"/>
          <w:bdr w:val="none" w:sz="0" w:space="0" w:color="auto" w:frame="1"/>
          <w:lang w:eastAsia="en-GB"/>
        </w:rPr>
        <w:t>was made</w:t>
      </w:r>
      <w:r w:rsidR="00106E68" w:rsidRPr="000C51B3">
        <w:rPr>
          <w:rFonts w:ascii="Calibri" w:eastAsia="Times New Roman" w:hAnsi="Calibri" w:cs="Calibri"/>
          <w:color w:val="000000"/>
          <w:szCs w:val="24"/>
          <w:bdr w:val="none" w:sz="0" w:space="0" w:color="auto" w:frame="1"/>
          <w:lang w:eastAsia="en-GB"/>
        </w:rPr>
        <w:t>. P</w:t>
      </w:r>
      <w:r w:rsidR="00D7118B" w:rsidRPr="000C51B3">
        <w:rPr>
          <w:rFonts w:ascii="Calibri" w:eastAsia="Times New Roman" w:hAnsi="Calibri" w:cs="Calibri"/>
          <w:color w:val="000000"/>
          <w:szCs w:val="24"/>
          <w:bdr w:val="none" w:sz="0" w:space="0" w:color="auto" w:frame="1"/>
          <w:lang w:eastAsia="en-GB"/>
        </w:rPr>
        <w:t xml:space="preserve">lans to implement </w:t>
      </w:r>
      <w:r w:rsidRPr="000C51B3">
        <w:rPr>
          <w:rFonts w:ascii="Calibri" w:eastAsia="Times New Roman" w:hAnsi="Calibri" w:cs="Calibri"/>
          <w:color w:val="000000"/>
          <w:szCs w:val="24"/>
          <w:bdr w:val="none" w:sz="0" w:space="0" w:color="auto" w:frame="1"/>
          <w:lang w:eastAsia="en-GB"/>
        </w:rPr>
        <w:t>the decision</w:t>
      </w:r>
      <w:r w:rsidR="00106E68" w:rsidRPr="000C51B3">
        <w:rPr>
          <w:rFonts w:ascii="Calibri" w:eastAsia="Times New Roman" w:hAnsi="Calibri" w:cs="Calibri"/>
          <w:color w:val="000000"/>
          <w:szCs w:val="24"/>
          <w:bdr w:val="none" w:sz="0" w:space="0" w:color="auto" w:frame="1"/>
          <w:lang w:eastAsia="en-GB"/>
        </w:rPr>
        <w:t xml:space="preserve"> are being</w:t>
      </w:r>
      <w:r w:rsidRPr="000C51B3">
        <w:rPr>
          <w:rFonts w:ascii="Calibri" w:eastAsia="Times New Roman" w:hAnsi="Calibri" w:cs="Calibri"/>
          <w:color w:val="000000"/>
          <w:szCs w:val="24"/>
          <w:bdr w:val="none" w:sz="0" w:space="0" w:color="auto" w:frame="1"/>
          <w:lang w:eastAsia="en-GB"/>
        </w:rPr>
        <w:t xml:space="preserve"> </w:t>
      </w:r>
      <w:r w:rsidR="0012071B" w:rsidRPr="000C51B3">
        <w:rPr>
          <w:rFonts w:ascii="Calibri" w:eastAsia="Times New Roman" w:hAnsi="Calibri" w:cs="Calibri"/>
          <w:color w:val="000000"/>
          <w:szCs w:val="24"/>
          <w:bdr w:val="none" w:sz="0" w:space="0" w:color="auto" w:frame="1"/>
          <w:lang w:eastAsia="en-GB"/>
        </w:rPr>
        <w:t>taken forward</w:t>
      </w:r>
      <w:r w:rsidR="00106E68" w:rsidRPr="000C51B3">
        <w:rPr>
          <w:rFonts w:ascii="Calibri" w:eastAsia="Times New Roman" w:hAnsi="Calibri" w:cs="Calibri"/>
          <w:color w:val="000000"/>
          <w:szCs w:val="24"/>
          <w:bdr w:val="none" w:sz="0" w:space="0" w:color="auto" w:frame="1"/>
          <w:lang w:eastAsia="en-GB"/>
        </w:rPr>
        <w:t>,</w:t>
      </w:r>
      <w:r w:rsidR="0012071B" w:rsidRPr="000C51B3">
        <w:rPr>
          <w:rFonts w:ascii="Calibri" w:eastAsia="Times New Roman" w:hAnsi="Calibri" w:cs="Calibri"/>
          <w:color w:val="000000"/>
          <w:szCs w:val="24"/>
          <w:bdr w:val="none" w:sz="0" w:space="0" w:color="auto" w:frame="1"/>
          <w:lang w:eastAsia="en-GB"/>
        </w:rPr>
        <w:t xml:space="preserve"> including </w:t>
      </w:r>
      <w:r w:rsidR="00106E68" w:rsidRPr="000C51B3">
        <w:rPr>
          <w:rFonts w:ascii="Calibri" w:eastAsia="Times New Roman" w:hAnsi="Calibri" w:cs="Calibri"/>
          <w:color w:val="000000"/>
          <w:szCs w:val="24"/>
          <w:bdr w:val="none" w:sz="0" w:space="0" w:color="auto" w:frame="1"/>
          <w:lang w:eastAsia="en-GB"/>
        </w:rPr>
        <w:t xml:space="preserve">for </w:t>
      </w:r>
      <w:r w:rsidR="0012071B" w:rsidRPr="000C51B3">
        <w:rPr>
          <w:rFonts w:ascii="Calibri" w:eastAsia="Times New Roman" w:hAnsi="Calibri" w:cs="Calibri"/>
          <w:color w:val="000000"/>
          <w:szCs w:val="24"/>
          <w:bdr w:val="none" w:sz="0" w:space="0" w:color="auto" w:frame="1"/>
          <w:lang w:eastAsia="en-GB"/>
        </w:rPr>
        <w:t>the</w:t>
      </w:r>
      <w:r w:rsidR="00D7118B" w:rsidRPr="000C51B3">
        <w:rPr>
          <w:rFonts w:ascii="Calibri" w:eastAsia="Times New Roman" w:hAnsi="Calibri" w:cs="Calibri"/>
          <w:color w:val="000000"/>
          <w:szCs w:val="24"/>
          <w:bdr w:val="none" w:sz="0" w:space="0" w:color="auto" w:frame="1"/>
          <w:lang w:eastAsia="en-GB"/>
        </w:rPr>
        <w:t xml:space="preserve"> sale of </w:t>
      </w:r>
      <w:r w:rsidR="0012071B" w:rsidRPr="000C51B3">
        <w:rPr>
          <w:rFonts w:ascii="Calibri" w:eastAsia="Times New Roman" w:hAnsi="Calibri" w:cs="Calibri"/>
          <w:color w:val="000000"/>
          <w:szCs w:val="24"/>
          <w:bdr w:val="none" w:sz="0" w:space="0" w:color="auto" w:frame="1"/>
          <w:lang w:eastAsia="en-GB"/>
        </w:rPr>
        <w:t xml:space="preserve">the </w:t>
      </w:r>
      <w:r w:rsidR="00D7118B" w:rsidRPr="000C51B3">
        <w:rPr>
          <w:rFonts w:ascii="Calibri" w:eastAsia="Times New Roman" w:hAnsi="Calibri" w:cs="Calibri"/>
          <w:color w:val="000000"/>
          <w:szCs w:val="24"/>
          <w:bdr w:val="none" w:sz="0" w:space="0" w:color="auto" w:frame="1"/>
          <w:lang w:eastAsia="en-GB"/>
        </w:rPr>
        <w:t>site</w:t>
      </w:r>
      <w:r w:rsidR="00106E68" w:rsidRPr="000C51B3">
        <w:rPr>
          <w:rFonts w:ascii="Calibri" w:eastAsia="Times New Roman" w:hAnsi="Calibri" w:cs="Calibri"/>
          <w:color w:val="000000"/>
          <w:szCs w:val="24"/>
          <w:bdr w:val="none" w:sz="0" w:space="0" w:color="auto" w:frame="1"/>
          <w:lang w:eastAsia="en-GB"/>
        </w:rPr>
        <w:t>, for delivering in 2026/27.</w:t>
      </w:r>
      <w:r w:rsidR="00D7118B" w:rsidRPr="000C51B3">
        <w:rPr>
          <w:rFonts w:ascii="Calibri" w:eastAsia="Times New Roman" w:hAnsi="Calibri" w:cs="Calibri"/>
          <w:color w:val="000000"/>
          <w:szCs w:val="24"/>
          <w:bdr w:val="none" w:sz="0" w:space="0" w:color="auto" w:frame="1"/>
          <w:lang w:eastAsia="en-GB"/>
        </w:rPr>
        <w:t xml:space="preserve"> </w:t>
      </w:r>
    </w:p>
    <w:p w14:paraId="378C4A4F" w14:textId="68F0FEBF" w:rsidR="007453AD" w:rsidRPr="000C51B3" w:rsidRDefault="00D7118B">
      <w:pPr>
        <w:numPr>
          <w:ilvl w:val="0"/>
          <w:numId w:val="8"/>
        </w:numPr>
        <w:shd w:val="clear" w:color="auto" w:fill="FFFFFF"/>
        <w:spacing w:after="0"/>
        <w:textAlignment w:val="baseline"/>
        <w:rPr>
          <w:rFonts w:ascii="Calibri" w:eastAsia="Times New Roman" w:hAnsi="Calibri" w:cs="Calibri"/>
          <w:color w:val="000000"/>
          <w:szCs w:val="24"/>
          <w:bdr w:val="none" w:sz="0" w:space="0" w:color="auto" w:frame="1"/>
          <w:lang w:eastAsia="en-GB"/>
        </w:rPr>
      </w:pPr>
      <w:r w:rsidRPr="000C51B3">
        <w:rPr>
          <w:rFonts w:ascii="Calibri" w:eastAsia="Times New Roman" w:hAnsi="Calibri" w:cs="Calibri"/>
          <w:color w:val="000000"/>
          <w:szCs w:val="24"/>
          <w:bdr w:val="none" w:sz="0" w:space="0" w:color="auto" w:frame="1"/>
          <w:lang w:eastAsia="en-GB"/>
        </w:rPr>
        <w:t>Facilitating the future sale of Kinloch Castle on Rum</w:t>
      </w:r>
      <w:r w:rsidR="0056430E" w:rsidRPr="000C51B3">
        <w:rPr>
          <w:rFonts w:ascii="Calibri" w:eastAsia="Times New Roman" w:hAnsi="Calibri" w:cs="Calibri"/>
          <w:color w:val="000000"/>
          <w:szCs w:val="24"/>
          <w:bdr w:val="none" w:sz="0" w:space="0" w:color="auto" w:frame="1"/>
          <w:lang w:eastAsia="en-GB"/>
        </w:rPr>
        <w:t xml:space="preserve"> with a</w:t>
      </w:r>
      <w:r w:rsidRPr="000C51B3">
        <w:rPr>
          <w:rFonts w:ascii="Calibri" w:eastAsia="Times New Roman" w:hAnsi="Calibri" w:cs="Calibri"/>
          <w:color w:val="000000"/>
          <w:szCs w:val="24"/>
          <w:bdr w:val="none" w:sz="0" w:space="0" w:color="auto" w:frame="1"/>
          <w:lang w:eastAsia="en-GB"/>
        </w:rPr>
        <w:t xml:space="preserve"> </w:t>
      </w:r>
      <w:r w:rsidR="0056430E" w:rsidRPr="000C51B3">
        <w:rPr>
          <w:rFonts w:ascii="Calibri" w:eastAsia="Times New Roman" w:hAnsi="Calibri" w:cs="Calibri"/>
          <w:color w:val="000000"/>
          <w:szCs w:val="24"/>
          <w:bdr w:val="none" w:sz="0" w:space="0" w:color="auto" w:frame="1"/>
          <w:lang w:eastAsia="en-GB"/>
        </w:rPr>
        <w:t>c</w:t>
      </w:r>
      <w:r w:rsidRPr="000C51B3">
        <w:rPr>
          <w:rFonts w:ascii="Calibri" w:eastAsia="Times New Roman" w:hAnsi="Calibri" w:cs="Calibri"/>
          <w:color w:val="000000"/>
          <w:szCs w:val="24"/>
          <w:bdr w:val="none" w:sz="0" w:space="0" w:color="auto" w:frame="1"/>
          <w:lang w:eastAsia="en-GB"/>
        </w:rPr>
        <w:t>losing date set for the 9</w:t>
      </w:r>
      <w:r w:rsidRPr="000C51B3">
        <w:rPr>
          <w:rFonts w:ascii="Calibri" w:eastAsia="Times New Roman" w:hAnsi="Calibri" w:cs="Calibri"/>
          <w:color w:val="000000"/>
          <w:szCs w:val="24"/>
          <w:bdr w:val="none" w:sz="0" w:space="0" w:color="auto" w:frame="1"/>
          <w:vertAlign w:val="superscript"/>
          <w:lang w:eastAsia="en-GB"/>
        </w:rPr>
        <w:t>th</w:t>
      </w:r>
      <w:r w:rsidR="00EE5C66" w:rsidRPr="000C51B3">
        <w:rPr>
          <w:rFonts w:ascii="Calibri" w:eastAsia="Times New Roman" w:hAnsi="Calibri" w:cs="Calibri"/>
          <w:color w:val="000000"/>
          <w:szCs w:val="24"/>
          <w:bdr w:val="none" w:sz="0" w:space="0" w:color="auto" w:frame="1"/>
          <w:lang w:eastAsia="en-GB"/>
        </w:rPr>
        <w:t xml:space="preserve"> </w:t>
      </w:r>
      <w:r w:rsidRPr="000C51B3">
        <w:rPr>
          <w:rFonts w:ascii="Calibri" w:eastAsia="Times New Roman" w:hAnsi="Calibri" w:cs="Calibri"/>
          <w:color w:val="000000"/>
          <w:szCs w:val="24"/>
          <w:bdr w:val="none" w:sz="0" w:space="0" w:color="auto" w:frame="1"/>
          <w:lang w:eastAsia="en-GB"/>
        </w:rPr>
        <w:t xml:space="preserve"> </w:t>
      </w:r>
      <w:r w:rsidR="00EE5C66" w:rsidRPr="000C51B3">
        <w:rPr>
          <w:rFonts w:ascii="Calibri" w:eastAsia="Times New Roman" w:hAnsi="Calibri" w:cs="Calibri"/>
          <w:color w:val="000000"/>
          <w:szCs w:val="24"/>
          <w:bdr w:val="none" w:sz="0" w:space="0" w:color="auto" w:frame="1"/>
          <w:lang w:eastAsia="en-GB"/>
        </w:rPr>
        <w:t xml:space="preserve">of </w:t>
      </w:r>
      <w:r w:rsidRPr="000C51B3">
        <w:rPr>
          <w:rFonts w:ascii="Calibri" w:eastAsia="Times New Roman" w:hAnsi="Calibri" w:cs="Calibri"/>
          <w:color w:val="000000"/>
          <w:szCs w:val="24"/>
          <w:bdr w:val="none" w:sz="0" w:space="0" w:color="auto" w:frame="1"/>
          <w:lang w:eastAsia="en-GB"/>
        </w:rPr>
        <w:t>April 2026.</w:t>
      </w:r>
      <w:r w:rsidR="007453AD" w:rsidRPr="000C51B3">
        <w:rPr>
          <w:rFonts w:ascii="Calibri" w:eastAsia="Times New Roman" w:hAnsi="Calibri" w:cs="Calibri"/>
          <w:color w:val="000000"/>
          <w:szCs w:val="24"/>
          <w:bdr w:val="none" w:sz="0" w:space="0" w:color="auto" w:frame="1"/>
          <w:lang w:eastAsia="en-GB"/>
        </w:rPr>
        <w:t xml:space="preserve"> </w:t>
      </w:r>
    </w:p>
    <w:p w14:paraId="6F1FF88F" w14:textId="77777777" w:rsidR="004D51E9" w:rsidRPr="000C51B3" w:rsidRDefault="004D51E9" w:rsidP="004D51E9">
      <w:pPr>
        <w:shd w:val="clear" w:color="auto" w:fill="FFFFFF"/>
        <w:spacing w:after="0"/>
        <w:ind w:left="720"/>
        <w:textAlignment w:val="baseline"/>
        <w:rPr>
          <w:rFonts w:ascii="Calibri" w:eastAsia="Times New Roman" w:hAnsi="Calibri" w:cs="Calibri"/>
          <w:color w:val="000000"/>
          <w:szCs w:val="24"/>
          <w:bdr w:val="none" w:sz="0" w:space="0" w:color="auto" w:frame="1"/>
          <w:lang w:eastAsia="en-GB"/>
        </w:rPr>
      </w:pPr>
    </w:p>
    <w:p w14:paraId="183683B3" w14:textId="77777777" w:rsidR="0097178F" w:rsidRDefault="007453AD" w:rsidP="0097178F">
      <w:pPr>
        <w:pStyle w:val="ListParagraph"/>
        <w:numPr>
          <w:ilvl w:val="0"/>
          <w:numId w:val="10"/>
        </w:numPr>
        <w:ind w:left="426" w:hanging="426"/>
        <w:jc w:val="both"/>
        <w:rPr>
          <w:rFonts w:ascii="Calibri" w:hAnsi="Calibri" w:cs="Calibri"/>
        </w:rPr>
      </w:pPr>
      <w:r w:rsidRPr="000C51B3">
        <w:rPr>
          <w:rFonts w:ascii="Calibri" w:hAnsi="Calibri" w:cs="Calibri"/>
        </w:rPr>
        <w:t>The Inner Development Goals (IDG) Summit on “Bridging Polarities, From Inner Growth to Outer Change” was attended both in person and through staff events in Edinburgh, Inverness and Perth. A Leadership Exchange programme was established to provide a framework for offering an insight into different organisational cultures, constraints and opportunities.</w:t>
      </w:r>
    </w:p>
    <w:p w14:paraId="5456D5DF" w14:textId="77777777" w:rsidR="0097178F" w:rsidRDefault="0097178F" w:rsidP="0097178F">
      <w:pPr>
        <w:pStyle w:val="ListParagraph"/>
        <w:ind w:left="426"/>
        <w:jc w:val="both"/>
        <w:rPr>
          <w:rFonts w:ascii="Calibri" w:hAnsi="Calibri" w:cs="Calibri"/>
        </w:rPr>
      </w:pPr>
    </w:p>
    <w:p w14:paraId="2915197E" w14:textId="48D1159A" w:rsidR="007453AD" w:rsidRPr="0097178F" w:rsidRDefault="007453AD" w:rsidP="0097178F">
      <w:pPr>
        <w:pStyle w:val="ListParagraph"/>
        <w:numPr>
          <w:ilvl w:val="0"/>
          <w:numId w:val="10"/>
        </w:numPr>
        <w:ind w:left="426" w:hanging="426"/>
        <w:jc w:val="both"/>
        <w:rPr>
          <w:rFonts w:ascii="Calibri" w:hAnsi="Calibri" w:cs="Calibri"/>
        </w:rPr>
      </w:pPr>
      <w:r w:rsidRPr="0097178F">
        <w:rPr>
          <w:rFonts w:ascii="Calibri" w:hAnsi="Calibri" w:cs="Calibri"/>
        </w:rPr>
        <w:t xml:space="preserve">Stress Survey and People Survey response levels were </w:t>
      </w:r>
      <w:r w:rsidR="00824C3D" w:rsidRPr="0097178F">
        <w:rPr>
          <w:rFonts w:ascii="Calibri" w:hAnsi="Calibri" w:cs="Calibri"/>
        </w:rPr>
        <w:t xml:space="preserve">excellent and staff engagement scores </w:t>
      </w:r>
      <w:r w:rsidRPr="0097178F">
        <w:rPr>
          <w:rFonts w:ascii="Calibri" w:hAnsi="Calibri" w:cs="Calibri"/>
        </w:rPr>
        <w:t>very high</w:t>
      </w:r>
      <w:r w:rsidR="00824C3D" w:rsidRPr="0097178F">
        <w:rPr>
          <w:rFonts w:ascii="Calibri" w:hAnsi="Calibri" w:cs="Calibri"/>
        </w:rPr>
        <w:t>.</w:t>
      </w:r>
      <w:r w:rsidRPr="0097178F">
        <w:rPr>
          <w:rFonts w:ascii="Calibri" w:hAnsi="Calibri" w:cs="Calibri"/>
        </w:rPr>
        <w:t xml:space="preserve"> </w:t>
      </w:r>
      <w:r w:rsidR="00824C3D" w:rsidRPr="0097178F">
        <w:rPr>
          <w:rFonts w:ascii="Calibri" w:hAnsi="Calibri" w:cs="Calibri"/>
        </w:rPr>
        <w:t>W</w:t>
      </w:r>
      <w:r w:rsidRPr="0097178F">
        <w:rPr>
          <w:rFonts w:ascii="Calibri" w:hAnsi="Calibri" w:cs="Calibri"/>
        </w:rPr>
        <w:t xml:space="preserve">e developed </w:t>
      </w:r>
      <w:r w:rsidR="00824C3D" w:rsidRPr="0097178F">
        <w:rPr>
          <w:rFonts w:ascii="Calibri" w:hAnsi="Calibri" w:cs="Calibri"/>
        </w:rPr>
        <w:t xml:space="preserve">and launched </w:t>
      </w:r>
      <w:r w:rsidRPr="0097178F">
        <w:rPr>
          <w:rFonts w:ascii="Calibri" w:hAnsi="Calibri" w:cs="Calibri"/>
        </w:rPr>
        <w:t>our “Respect Campaign” in response</w:t>
      </w:r>
      <w:r w:rsidR="00824C3D" w:rsidRPr="0097178F">
        <w:rPr>
          <w:rFonts w:ascii="Calibri" w:hAnsi="Calibri" w:cs="Calibri"/>
        </w:rPr>
        <w:t xml:space="preserve"> to stress survey findings</w:t>
      </w:r>
      <w:r w:rsidRPr="0097178F">
        <w:rPr>
          <w:rFonts w:ascii="Calibri" w:hAnsi="Calibri" w:cs="Calibri"/>
        </w:rPr>
        <w:t>.</w:t>
      </w:r>
    </w:p>
    <w:p w14:paraId="5898099D" w14:textId="297FB531" w:rsidR="00D7118B" w:rsidRPr="000C51B3" w:rsidRDefault="00D7118B" w:rsidP="007453AD">
      <w:pPr>
        <w:pStyle w:val="ListParagraph"/>
        <w:spacing w:after="0"/>
        <w:ind w:left="1800"/>
        <w:rPr>
          <w:rFonts w:ascii="Calibri" w:hAnsi="Calibri" w:cs="Calibri"/>
        </w:rPr>
      </w:pPr>
    </w:p>
    <w:p w14:paraId="15E5B6CD" w14:textId="48B961D9" w:rsidR="00D7118B" w:rsidRPr="000C51B3" w:rsidRDefault="00D7118B" w:rsidP="00977B59">
      <w:pPr>
        <w:pStyle w:val="Heading2"/>
      </w:pPr>
      <w:r w:rsidRPr="000C51B3">
        <w:t>Communications</w:t>
      </w:r>
    </w:p>
    <w:p w14:paraId="2766976C" w14:textId="388F875A" w:rsidR="00D7118B" w:rsidRDefault="0012071B">
      <w:pPr>
        <w:pStyle w:val="ListParagraph"/>
        <w:numPr>
          <w:ilvl w:val="0"/>
          <w:numId w:val="10"/>
        </w:numPr>
        <w:ind w:left="426" w:hanging="426"/>
        <w:jc w:val="both"/>
        <w:rPr>
          <w:rFonts w:ascii="Calibri" w:hAnsi="Calibri" w:cs="Calibri"/>
        </w:rPr>
      </w:pPr>
      <w:r w:rsidRPr="000C51B3">
        <w:rPr>
          <w:rFonts w:ascii="Calibri" w:hAnsi="Calibri" w:cs="Calibri"/>
        </w:rPr>
        <w:t>Our n</w:t>
      </w:r>
      <w:r w:rsidR="00D7118B" w:rsidRPr="000C51B3">
        <w:rPr>
          <w:rFonts w:ascii="Calibri" w:hAnsi="Calibri" w:cs="Calibri"/>
        </w:rPr>
        <w:t xml:space="preserve">ew Corporate Plan </w:t>
      </w:r>
      <w:r w:rsidRPr="000C51B3">
        <w:rPr>
          <w:rFonts w:ascii="Calibri" w:hAnsi="Calibri" w:cs="Calibri"/>
        </w:rPr>
        <w:t xml:space="preserve">was </w:t>
      </w:r>
      <w:r w:rsidR="00D7118B" w:rsidRPr="000C51B3">
        <w:rPr>
          <w:rFonts w:ascii="Calibri" w:hAnsi="Calibri" w:cs="Calibri"/>
        </w:rPr>
        <w:t xml:space="preserve">successfully delivered, including stakeholder events with high levels of engagement and </w:t>
      </w:r>
      <w:r w:rsidR="006A1A80" w:rsidRPr="000C51B3">
        <w:rPr>
          <w:rFonts w:ascii="Calibri" w:hAnsi="Calibri" w:cs="Calibri"/>
        </w:rPr>
        <w:t xml:space="preserve">the approval of the Cabinet Secretary. </w:t>
      </w:r>
    </w:p>
    <w:p w14:paraId="18F81D0F" w14:textId="77777777" w:rsidR="0097178F" w:rsidRPr="000C51B3" w:rsidRDefault="0097178F" w:rsidP="0097178F">
      <w:pPr>
        <w:pStyle w:val="ListParagraph"/>
        <w:ind w:left="426"/>
        <w:jc w:val="both"/>
        <w:rPr>
          <w:rFonts w:ascii="Calibri" w:hAnsi="Calibri" w:cs="Calibri"/>
        </w:rPr>
      </w:pPr>
    </w:p>
    <w:p w14:paraId="37287446" w14:textId="77777777" w:rsidR="0097178F" w:rsidRDefault="00D7118B" w:rsidP="0097178F">
      <w:pPr>
        <w:pStyle w:val="ListParagraph"/>
        <w:numPr>
          <w:ilvl w:val="0"/>
          <w:numId w:val="10"/>
        </w:numPr>
        <w:ind w:left="426" w:hanging="426"/>
        <w:jc w:val="both"/>
        <w:rPr>
          <w:rFonts w:ascii="Calibri" w:hAnsi="Calibri" w:cs="Calibri"/>
        </w:rPr>
      </w:pPr>
      <w:r w:rsidRPr="000C51B3">
        <w:rPr>
          <w:rFonts w:ascii="Calibri" w:hAnsi="Calibri" w:cs="Calibri"/>
        </w:rPr>
        <w:t>We more than doubled our previous year’s media reach to a total audience of over 4.59 billion (from 2.16 billion in 2024-25), with 2888 articles mentioning NatureScot</w:t>
      </w:r>
      <w:r w:rsidR="006A1A80" w:rsidRPr="000C51B3">
        <w:rPr>
          <w:rFonts w:ascii="Calibri" w:hAnsi="Calibri" w:cs="Calibri"/>
        </w:rPr>
        <w:t>.</w:t>
      </w:r>
    </w:p>
    <w:p w14:paraId="260185B0" w14:textId="77777777" w:rsidR="0097178F" w:rsidRPr="0097178F" w:rsidRDefault="0097178F" w:rsidP="0097178F">
      <w:pPr>
        <w:pStyle w:val="ListParagraph"/>
        <w:rPr>
          <w:rFonts w:ascii="Calibri" w:hAnsi="Calibri" w:cs="Calibri"/>
        </w:rPr>
      </w:pPr>
    </w:p>
    <w:p w14:paraId="1DD6A116" w14:textId="77777777" w:rsidR="0097178F" w:rsidRDefault="00D7118B" w:rsidP="0097178F">
      <w:pPr>
        <w:pStyle w:val="ListParagraph"/>
        <w:numPr>
          <w:ilvl w:val="0"/>
          <w:numId w:val="10"/>
        </w:numPr>
        <w:ind w:left="426" w:hanging="426"/>
        <w:jc w:val="both"/>
        <w:rPr>
          <w:rFonts w:ascii="Calibri" w:hAnsi="Calibri" w:cs="Calibri"/>
        </w:rPr>
      </w:pPr>
      <w:r w:rsidRPr="0097178F">
        <w:rPr>
          <w:rFonts w:ascii="Calibri" w:hAnsi="Calibri" w:cs="Calibri"/>
        </w:rPr>
        <w:t xml:space="preserve">Our website content increased in size, relevance, design quality, functionality, and accessibility. </w:t>
      </w:r>
      <w:r w:rsidR="006A1A80" w:rsidRPr="0097178F">
        <w:rPr>
          <w:rFonts w:ascii="Calibri" w:hAnsi="Calibri" w:cs="Calibri"/>
        </w:rPr>
        <w:t>We are n</w:t>
      </w:r>
      <w:r w:rsidRPr="0097178F">
        <w:rPr>
          <w:rFonts w:ascii="Calibri" w:hAnsi="Calibri" w:cs="Calibri"/>
        </w:rPr>
        <w:t>ow hosting over 4.5k pages, in tandem with rigorous retention and archiving policy. New functionality and design</w:t>
      </w:r>
      <w:r w:rsidR="006A1A80" w:rsidRPr="0097178F">
        <w:rPr>
          <w:rFonts w:ascii="Calibri" w:hAnsi="Calibri" w:cs="Calibri"/>
        </w:rPr>
        <w:t>s were</w:t>
      </w:r>
      <w:r w:rsidRPr="0097178F">
        <w:rPr>
          <w:rFonts w:ascii="Calibri" w:hAnsi="Calibri" w:cs="Calibri"/>
        </w:rPr>
        <w:t xml:space="preserve"> implemented. Page accessibility </w:t>
      </w:r>
      <w:r w:rsidR="006A1A80" w:rsidRPr="0097178F">
        <w:rPr>
          <w:rFonts w:ascii="Calibri" w:hAnsi="Calibri" w:cs="Calibri"/>
        </w:rPr>
        <w:t xml:space="preserve">is </w:t>
      </w:r>
      <w:r w:rsidRPr="0097178F">
        <w:rPr>
          <w:rFonts w:ascii="Calibri" w:hAnsi="Calibri" w:cs="Calibri"/>
        </w:rPr>
        <w:t xml:space="preserve">consistently above 96% </w:t>
      </w:r>
      <w:r w:rsidR="006A1A80" w:rsidRPr="0097178F">
        <w:rPr>
          <w:rFonts w:ascii="Calibri" w:hAnsi="Calibri" w:cs="Calibri"/>
        </w:rPr>
        <w:t>which</w:t>
      </w:r>
      <w:r w:rsidRPr="0097178F">
        <w:rPr>
          <w:rFonts w:ascii="Calibri" w:hAnsi="Calibri" w:cs="Calibri"/>
        </w:rPr>
        <w:t xml:space="preserve"> exceed</w:t>
      </w:r>
      <w:r w:rsidR="006A1A80" w:rsidRPr="0097178F">
        <w:rPr>
          <w:rFonts w:ascii="Calibri" w:hAnsi="Calibri" w:cs="Calibri"/>
        </w:rPr>
        <w:t>s</w:t>
      </w:r>
      <w:r w:rsidRPr="0097178F">
        <w:rPr>
          <w:rFonts w:ascii="Calibri" w:hAnsi="Calibri" w:cs="Calibri"/>
        </w:rPr>
        <w:t xml:space="preserve"> legislative requirement</w:t>
      </w:r>
      <w:r w:rsidR="006A1A80" w:rsidRPr="0097178F">
        <w:rPr>
          <w:rFonts w:ascii="Calibri" w:hAnsi="Calibri" w:cs="Calibri"/>
        </w:rPr>
        <w:t>s.</w:t>
      </w:r>
    </w:p>
    <w:p w14:paraId="4DEE79D8" w14:textId="77777777" w:rsidR="0097178F" w:rsidRPr="0097178F" w:rsidRDefault="0097178F" w:rsidP="0097178F">
      <w:pPr>
        <w:pStyle w:val="ListParagraph"/>
        <w:rPr>
          <w:rFonts w:ascii="Calibri" w:hAnsi="Calibri" w:cs="Calibri"/>
        </w:rPr>
      </w:pPr>
    </w:p>
    <w:p w14:paraId="4373CE53" w14:textId="77777777" w:rsidR="0097178F" w:rsidRDefault="006A1A80" w:rsidP="0097178F">
      <w:pPr>
        <w:pStyle w:val="ListParagraph"/>
        <w:numPr>
          <w:ilvl w:val="0"/>
          <w:numId w:val="10"/>
        </w:numPr>
        <w:ind w:left="426" w:hanging="426"/>
        <w:jc w:val="both"/>
        <w:rPr>
          <w:rFonts w:ascii="Calibri" w:hAnsi="Calibri" w:cs="Calibri"/>
        </w:rPr>
      </w:pPr>
      <w:r w:rsidRPr="0097178F">
        <w:rPr>
          <w:rFonts w:ascii="Calibri" w:hAnsi="Calibri" w:cs="Calibri"/>
        </w:rPr>
        <w:t xml:space="preserve">Our </w:t>
      </w:r>
      <w:r w:rsidR="00D7118B" w:rsidRPr="0097178F">
        <w:rPr>
          <w:rFonts w:ascii="Calibri" w:hAnsi="Calibri" w:cs="Calibri"/>
        </w:rPr>
        <w:t xml:space="preserve">Make Space for Nature campaign 2025/26 exceeded targets for every quarter of this </w:t>
      </w:r>
      <w:r w:rsidRPr="0097178F">
        <w:rPr>
          <w:rFonts w:ascii="Calibri" w:hAnsi="Calibri" w:cs="Calibri"/>
        </w:rPr>
        <w:t xml:space="preserve">year’s </w:t>
      </w:r>
      <w:r w:rsidR="00D7118B" w:rsidRPr="0097178F">
        <w:rPr>
          <w:rFonts w:ascii="Calibri" w:hAnsi="Calibri" w:cs="Calibri"/>
        </w:rPr>
        <w:t>campaign, engaging with diverse audiences including young adults, people living with chronic illness, and minority ethnic communities in Scotland. Paid-for activity delivered over 56k engagements with our campaign website. Seven influencer partners generated over 621k social media views</w:t>
      </w:r>
      <w:r w:rsidRPr="0097178F">
        <w:rPr>
          <w:rFonts w:ascii="Calibri" w:hAnsi="Calibri" w:cs="Calibri"/>
        </w:rPr>
        <w:t>.</w:t>
      </w:r>
    </w:p>
    <w:p w14:paraId="4CBF2576" w14:textId="77777777" w:rsidR="0097178F" w:rsidRPr="0097178F" w:rsidRDefault="0097178F" w:rsidP="0097178F">
      <w:pPr>
        <w:pStyle w:val="ListParagraph"/>
        <w:rPr>
          <w:rFonts w:ascii="Calibri" w:hAnsi="Calibri" w:cs="Calibri"/>
        </w:rPr>
      </w:pPr>
    </w:p>
    <w:p w14:paraId="5F67527A" w14:textId="20645093" w:rsidR="00D7118B" w:rsidRPr="0097178F" w:rsidRDefault="00D7118B" w:rsidP="0097178F">
      <w:pPr>
        <w:pStyle w:val="ListParagraph"/>
        <w:numPr>
          <w:ilvl w:val="0"/>
          <w:numId w:val="10"/>
        </w:numPr>
        <w:ind w:left="426" w:hanging="426"/>
        <w:jc w:val="both"/>
        <w:rPr>
          <w:rFonts w:ascii="Calibri" w:hAnsi="Calibri" w:cs="Calibri"/>
        </w:rPr>
      </w:pPr>
      <w:r w:rsidRPr="0097178F">
        <w:rPr>
          <w:rFonts w:ascii="Calibri" w:hAnsi="Calibri" w:cs="Calibri"/>
        </w:rPr>
        <w:t xml:space="preserve">The Scottish Outdoor Access Code </w:t>
      </w:r>
      <w:r w:rsidR="00106E68" w:rsidRPr="0097178F">
        <w:rPr>
          <w:rFonts w:ascii="Calibri" w:hAnsi="Calibri" w:cs="Calibri"/>
        </w:rPr>
        <w:t>S</w:t>
      </w:r>
      <w:r w:rsidRPr="0097178F">
        <w:rPr>
          <w:rFonts w:ascii="Calibri" w:hAnsi="Calibri" w:cs="Calibri"/>
        </w:rPr>
        <w:t xml:space="preserve">ummer 2025 campaign reached a radio audience of 1.5 million, achieving over 2 million impressions across digital platforms, nearly 200,000 views and high engagement rates on influencer partnership content. </w:t>
      </w:r>
    </w:p>
    <w:p w14:paraId="2F13552F" w14:textId="284462D8" w:rsidR="00D7118B" w:rsidRPr="000C51B3" w:rsidRDefault="00D7118B" w:rsidP="00D7118B">
      <w:pPr>
        <w:rPr>
          <w:rFonts w:ascii="Calibri" w:hAnsi="Calibri" w:cs="Calibri"/>
          <w:szCs w:val="24"/>
        </w:rPr>
      </w:pPr>
    </w:p>
    <w:p w14:paraId="5CB5246D" w14:textId="77777777" w:rsidR="007907D2" w:rsidRPr="000C51B3" w:rsidRDefault="007907D2" w:rsidP="009C29B2">
      <w:pPr>
        <w:rPr>
          <w:rFonts w:ascii="Calibri" w:hAnsi="Calibri" w:cs="Calibri"/>
          <w:b/>
          <w:bCs/>
        </w:rPr>
      </w:pPr>
    </w:p>
    <w:sectPr w:rsidR="007907D2" w:rsidRPr="000C51B3" w:rsidSect="00947D2D">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0E720" w14:textId="77777777" w:rsidR="0040280E" w:rsidRDefault="0040280E" w:rsidP="00204D20">
      <w:pPr>
        <w:spacing w:after="0" w:line="240" w:lineRule="auto"/>
      </w:pPr>
      <w:r>
        <w:separator/>
      </w:r>
    </w:p>
  </w:endnote>
  <w:endnote w:type="continuationSeparator" w:id="0">
    <w:p w14:paraId="6FD52FCE" w14:textId="77777777" w:rsidR="0040280E" w:rsidRDefault="0040280E"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3E2B" w14:textId="77777777" w:rsidR="006A739A" w:rsidRDefault="006A739A" w:rsidP="00B158B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87F9B" w14:textId="77777777" w:rsidR="0040280E" w:rsidRDefault="0040280E" w:rsidP="00204D20">
      <w:pPr>
        <w:spacing w:after="0" w:line="240" w:lineRule="auto"/>
      </w:pPr>
      <w:r>
        <w:separator/>
      </w:r>
    </w:p>
  </w:footnote>
  <w:footnote w:type="continuationSeparator" w:id="0">
    <w:p w14:paraId="0E8E10B3" w14:textId="77777777" w:rsidR="0040280E" w:rsidRDefault="0040280E"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FB81" w14:textId="5C7EA30C" w:rsidR="005903DD" w:rsidRPr="005903DD" w:rsidRDefault="005903DD" w:rsidP="005903DD">
    <w:pPr>
      <w:pStyle w:val="Header"/>
      <w:jc w:val="right"/>
      <w:rPr>
        <w:b/>
        <w:bCs/>
      </w:rPr>
    </w:pPr>
    <w:r w:rsidRPr="005903DD">
      <w:rPr>
        <w:b/>
        <w:bCs/>
      </w:rPr>
      <w:t>BOARD/226/10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88E2" w14:textId="77777777" w:rsidR="005903DD" w:rsidRPr="005903DD" w:rsidRDefault="005903DD" w:rsidP="005903DD">
    <w:pPr>
      <w:pStyle w:val="Header"/>
      <w:jc w:val="right"/>
      <w:rPr>
        <w:b/>
        <w:bCs/>
      </w:rPr>
    </w:pPr>
    <w:r w:rsidRPr="005903DD">
      <w:rPr>
        <w:b/>
        <w:bCs/>
      </w:rPr>
      <w:t>BOARD/226/10</w:t>
    </w:r>
  </w:p>
  <w:p w14:paraId="5B4F3407" w14:textId="088BD6E6" w:rsidR="00701DEB" w:rsidRPr="00701DEB" w:rsidRDefault="00701DEB" w:rsidP="00701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61DC0"/>
    <w:multiLevelType w:val="hybridMultilevel"/>
    <w:tmpl w:val="EE5835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30026D72"/>
    <w:multiLevelType w:val="hybridMultilevel"/>
    <w:tmpl w:val="5E46246A"/>
    <w:lvl w:ilvl="0" w:tplc="E51630A8">
      <w:start w:val="1"/>
      <w:numFmt w:val="decimal"/>
      <w:lvlText w:val="%1."/>
      <w:lvlJc w:val="left"/>
      <w:pPr>
        <w:ind w:left="357" w:hanging="357"/>
      </w:pPr>
      <w:rPr>
        <w:rFonts w:eastAsiaTheme="minorHAnsi"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B65545"/>
    <w:multiLevelType w:val="hybridMultilevel"/>
    <w:tmpl w:val="F2D8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A71C97"/>
    <w:multiLevelType w:val="multilevel"/>
    <w:tmpl w:val="F630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B469D7"/>
    <w:multiLevelType w:val="hybridMultilevel"/>
    <w:tmpl w:val="6FF2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5841CD"/>
    <w:multiLevelType w:val="hybridMultilevel"/>
    <w:tmpl w:val="0A78012E"/>
    <w:lvl w:ilvl="0" w:tplc="08090001">
      <w:start w:val="1"/>
      <w:numFmt w:val="bullet"/>
      <w:lvlText w:val=""/>
      <w:lvlJc w:val="left"/>
      <w:pPr>
        <w:ind w:left="-627" w:hanging="360"/>
      </w:pPr>
      <w:rPr>
        <w:rFonts w:ascii="Symbol" w:hAnsi="Symbol" w:hint="default"/>
      </w:rPr>
    </w:lvl>
    <w:lvl w:ilvl="1" w:tplc="08090003" w:tentative="1">
      <w:start w:val="1"/>
      <w:numFmt w:val="bullet"/>
      <w:lvlText w:val="o"/>
      <w:lvlJc w:val="left"/>
      <w:pPr>
        <w:ind w:left="93" w:hanging="360"/>
      </w:pPr>
      <w:rPr>
        <w:rFonts w:ascii="Courier New" w:hAnsi="Courier New" w:cs="Courier New" w:hint="default"/>
      </w:rPr>
    </w:lvl>
    <w:lvl w:ilvl="2" w:tplc="08090005" w:tentative="1">
      <w:start w:val="1"/>
      <w:numFmt w:val="bullet"/>
      <w:lvlText w:val=""/>
      <w:lvlJc w:val="left"/>
      <w:pPr>
        <w:ind w:left="813" w:hanging="360"/>
      </w:pPr>
      <w:rPr>
        <w:rFonts w:ascii="Wingdings" w:hAnsi="Wingdings" w:hint="default"/>
      </w:rPr>
    </w:lvl>
    <w:lvl w:ilvl="3" w:tplc="08090001" w:tentative="1">
      <w:start w:val="1"/>
      <w:numFmt w:val="bullet"/>
      <w:lvlText w:val=""/>
      <w:lvlJc w:val="left"/>
      <w:pPr>
        <w:ind w:left="1533" w:hanging="360"/>
      </w:pPr>
      <w:rPr>
        <w:rFonts w:ascii="Symbol" w:hAnsi="Symbol" w:hint="default"/>
      </w:rPr>
    </w:lvl>
    <w:lvl w:ilvl="4" w:tplc="08090003" w:tentative="1">
      <w:start w:val="1"/>
      <w:numFmt w:val="bullet"/>
      <w:lvlText w:val="o"/>
      <w:lvlJc w:val="left"/>
      <w:pPr>
        <w:ind w:left="2253" w:hanging="360"/>
      </w:pPr>
      <w:rPr>
        <w:rFonts w:ascii="Courier New" w:hAnsi="Courier New" w:cs="Courier New" w:hint="default"/>
      </w:rPr>
    </w:lvl>
    <w:lvl w:ilvl="5" w:tplc="08090005" w:tentative="1">
      <w:start w:val="1"/>
      <w:numFmt w:val="bullet"/>
      <w:lvlText w:val=""/>
      <w:lvlJc w:val="left"/>
      <w:pPr>
        <w:ind w:left="2973" w:hanging="360"/>
      </w:pPr>
      <w:rPr>
        <w:rFonts w:ascii="Wingdings" w:hAnsi="Wingdings" w:hint="default"/>
      </w:rPr>
    </w:lvl>
    <w:lvl w:ilvl="6" w:tplc="08090001" w:tentative="1">
      <w:start w:val="1"/>
      <w:numFmt w:val="bullet"/>
      <w:lvlText w:val=""/>
      <w:lvlJc w:val="left"/>
      <w:pPr>
        <w:ind w:left="3693" w:hanging="360"/>
      </w:pPr>
      <w:rPr>
        <w:rFonts w:ascii="Symbol" w:hAnsi="Symbol" w:hint="default"/>
      </w:rPr>
    </w:lvl>
    <w:lvl w:ilvl="7" w:tplc="08090003" w:tentative="1">
      <w:start w:val="1"/>
      <w:numFmt w:val="bullet"/>
      <w:lvlText w:val="o"/>
      <w:lvlJc w:val="left"/>
      <w:pPr>
        <w:ind w:left="4413" w:hanging="360"/>
      </w:pPr>
      <w:rPr>
        <w:rFonts w:ascii="Courier New" w:hAnsi="Courier New" w:cs="Courier New" w:hint="default"/>
      </w:rPr>
    </w:lvl>
    <w:lvl w:ilvl="8" w:tplc="08090005" w:tentative="1">
      <w:start w:val="1"/>
      <w:numFmt w:val="bullet"/>
      <w:lvlText w:val=""/>
      <w:lvlJc w:val="left"/>
      <w:pPr>
        <w:ind w:left="5133" w:hanging="360"/>
      </w:pPr>
      <w:rPr>
        <w:rFonts w:ascii="Wingdings" w:hAnsi="Wingdings" w:hint="default"/>
      </w:rPr>
    </w:lvl>
  </w:abstractNum>
  <w:abstractNum w:abstractNumId="6" w15:restartNumberingAfterBreak="0">
    <w:nsid w:val="594D1517"/>
    <w:multiLevelType w:val="multilevel"/>
    <w:tmpl w:val="4740D1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3A68C8"/>
    <w:multiLevelType w:val="hybridMultilevel"/>
    <w:tmpl w:val="693CC1F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F820AF"/>
    <w:multiLevelType w:val="hybridMultilevel"/>
    <w:tmpl w:val="4C3040C4"/>
    <w:lvl w:ilvl="0" w:tplc="0809000F">
      <w:start w:val="1"/>
      <w:numFmt w:val="decimal"/>
      <w:lvlText w:val="%1."/>
      <w:lvlJc w:val="left"/>
      <w:pPr>
        <w:ind w:left="360" w:hanging="360"/>
      </w:pPr>
      <w:rPr>
        <w:rFonts w:hint="default"/>
      </w:rPr>
    </w:lvl>
    <w:lvl w:ilvl="1" w:tplc="91A63402">
      <w:start w:val="1"/>
      <w:numFmt w:val="bullet"/>
      <w:lvlText w:val=""/>
      <w:lvlJc w:val="left"/>
      <w:pPr>
        <w:ind w:left="1080" w:hanging="360"/>
      </w:pPr>
      <w:rPr>
        <w:rFonts w:ascii="Symbol" w:hAnsi="Symbol" w:hint="default"/>
        <w:color w:val="auto"/>
        <w:sz w:val="24"/>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6EC2DAD"/>
    <w:multiLevelType w:val="multilevel"/>
    <w:tmpl w:val="28C0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AA2601"/>
    <w:multiLevelType w:val="hybridMultilevel"/>
    <w:tmpl w:val="2368CE92"/>
    <w:lvl w:ilvl="0" w:tplc="3D903F10">
      <w:start w:val="1"/>
      <w:numFmt w:val="decimal"/>
      <w:lvlText w:val="%1."/>
      <w:lvlJc w:val="left"/>
      <w:pPr>
        <w:ind w:left="360" w:hanging="360"/>
      </w:pPr>
      <w:rPr>
        <w:b w:val="0"/>
        <w:bCs/>
        <w:color w:val="auto"/>
        <w:sz w:val="24"/>
        <w:szCs w:val="24"/>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82E6FF1"/>
    <w:multiLevelType w:val="hybridMultilevel"/>
    <w:tmpl w:val="9A7C2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AF870D9"/>
    <w:multiLevelType w:val="hybridMultilevel"/>
    <w:tmpl w:val="E6C6C9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C747DC4"/>
    <w:multiLevelType w:val="hybridMultilevel"/>
    <w:tmpl w:val="39DC154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E1611EF"/>
    <w:multiLevelType w:val="multilevel"/>
    <w:tmpl w:val="4ADE8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BC707E"/>
    <w:multiLevelType w:val="hybridMultilevel"/>
    <w:tmpl w:val="DAC67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16453616">
    <w:abstractNumId w:val="10"/>
  </w:num>
  <w:num w:numId="2" w16cid:durableId="1398239645">
    <w:abstractNumId w:val="11"/>
  </w:num>
  <w:num w:numId="3" w16cid:durableId="826945251">
    <w:abstractNumId w:val="1"/>
  </w:num>
  <w:num w:numId="4" w16cid:durableId="1867254023">
    <w:abstractNumId w:val="8"/>
  </w:num>
  <w:num w:numId="5" w16cid:durableId="1691640436">
    <w:abstractNumId w:val="4"/>
  </w:num>
  <w:num w:numId="6" w16cid:durableId="1295335200">
    <w:abstractNumId w:val="9"/>
  </w:num>
  <w:num w:numId="7" w16cid:durableId="768164822">
    <w:abstractNumId w:val="6"/>
  </w:num>
  <w:num w:numId="8" w16cid:durableId="2135173685">
    <w:abstractNumId w:val="3"/>
  </w:num>
  <w:num w:numId="9" w16cid:durableId="616638975">
    <w:abstractNumId w:val="5"/>
  </w:num>
  <w:num w:numId="10" w16cid:durableId="1224020204">
    <w:abstractNumId w:val="7"/>
  </w:num>
  <w:num w:numId="11" w16cid:durableId="45951886">
    <w:abstractNumId w:val="14"/>
  </w:num>
  <w:num w:numId="12" w16cid:durableId="633950789">
    <w:abstractNumId w:val="13"/>
  </w:num>
  <w:num w:numId="13" w16cid:durableId="1483035363">
    <w:abstractNumId w:val="15"/>
  </w:num>
  <w:num w:numId="14" w16cid:durableId="1476142997">
    <w:abstractNumId w:val="2"/>
  </w:num>
  <w:num w:numId="15" w16cid:durableId="1180466825">
    <w:abstractNumId w:val="0"/>
  </w:num>
  <w:num w:numId="16" w16cid:durableId="19211035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1641"/>
    <w:rsid w:val="000017AB"/>
    <w:rsid w:val="00002465"/>
    <w:rsid w:val="00002EB2"/>
    <w:rsid w:val="000046A4"/>
    <w:rsid w:val="000048EA"/>
    <w:rsid w:val="00004E77"/>
    <w:rsid w:val="00004FEA"/>
    <w:rsid w:val="000057CA"/>
    <w:rsid w:val="00006B61"/>
    <w:rsid w:val="00006BDB"/>
    <w:rsid w:val="0000754E"/>
    <w:rsid w:val="000075A4"/>
    <w:rsid w:val="00007828"/>
    <w:rsid w:val="00010393"/>
    <w:rsid w:val="0001158B"/>
    <w:rsid w:val="00011E4C"/>
    <w:rsid w:val="000131EE"/>
    <w:rsid w:val="00014497"/>
    <w:rsid w:val="00015238"/>
    <w:rsid w:val="00016012"/>
    <w:rsid w:val="00020415"/>
    <w:rsid w:val="00020D88"/>
    <w:rsid w:val="00022898"/>
    <w:rsid w:val="000229E0"/>
    <w:rsid w:val="00023C29"/>
    <w:rsid w:val="00023EF6"/>
    <w:rsid w:val="00024233"/>
    <w:rsid w:val="00024326"/>
    <w:rsid w:val="00024546"/>
    <w:rsid w:val="000249D0"/>
    <w:rsid w:val="000259B7"/>
    <w:rsid w:val="00025C49"/>
    <w:rsid w:val="00026ACE"/>
    <w:rsid w:val="00027507"/>
    <w:rsid w:val="00030902"/>
    <w:rsid w:val="00030D53"/>
    <w:rsid w:val="00031929"/>
    <w:rsid w:val="00034113"/>
    <w:rsid w:val="0004006B"/>
    <w:rsid w:val="000402DB"/>
    <w:rsid w:val="00040C0B"/>
    <w:rsid w:val="00040D72"/>
    <w:rsid w:val="000411A0"/>
    <w:rsid w:val="00041A5C"/>
    <w:rsid w:val="00042CC9"/>
    <w:rsid w:val="00042CEF"/>
    <w:rsid w:val="000439AC"/>
    <w:rsid w:val="00043F84"/>
    <w:rsid w:val="0004428F"/>
    <w:rsid w:val="00044CCB"/>
    <w:rsid w:val="00044D57"/>
    <w:rsid w:val="00044F55"/>
    <w:rsid w:val="00047113"/>
    <w:rsid w:val="000473F6"/>
    <w:rsid w:val="0005056A"/>
    <w:rsid w:val="00051324"/>
    <w:rsid w:val="00052694"/>
    <w:rsid w:val="000535DB"/>
    <w:rsid w:val="00053D01"/>
    <w:rsid w:val="00054BCF"/>
    <w:rsid w:val="000550A2"/>
    <w:rsid w:val="00055D52"/>
    <w:rsid w:val="00055E59"/>
    <w:rsid w:val="00056042"/>
    <w:rsid w:val="00056670"/>
    <w:rsid w:val="00057057"/>
    <w:rsid w:val="00057190"/>
    <w:rsid w:val="0005795C"/>
    <w:rsid w:val="00057D11"/>
    <w:rsid w:val="00060151"/>
    <w:rsid w:val="000602A3"/>
    <w:rsid w:val="00061590"/>
    <w:rsid w:val="00061801"/>
    <w:rsid w:val="00061BC9"/>
    <w:rsid w:val="00061EED"/>
    <w:rsid w:val="00062629"/>
    <w:rsid w:val="00063B37"/>
    <w:rsid w:val="000652E6"/>
    <w:rsid w:val="00065524"/>
    <w:rsid w:val="00065F53"/>
    <w:rsid w:val="00067123"/>
    <w:rsid w:val="00070284"/>
    <w:rsid w:val="00070493"/>
    <w:rsid w:val="000720BA"/>
    <w:rsid w:val="00072349"/>
    <w:rsid w:val="00073008"/>
    <w:rsid w:val="00075E65"/>
    <w:rsid w:val="00075F02"/>
    <w:rsid w:val="0007662F"/>
    <w:rsid w:val="00076983"/>
    <w:rsid w:val="00080412"/>
    <w:rsid w:val="00080862"/>
    <w:rsid w:val="000820AF"/>
    <w:rsid w:val="000820F1"/>
    <w:rsid w:val="0008288A"/>
    <w:rsid w:val="000837C9"/>
    <w:rsid w:val="00084054"/>
    <w:rsid w:val="000854EC"/>
    <w:rsid w:val="00086D59"/>
    <w:rsid w:val="00087704"/>
    <w:rsid w:val="00087911"/>
    <w:rsid w:val="00087B69"/>
    <w:rsid w:val="000913D4"/>
    <w:rsid w:val="00091D91"/>
    <w:rsid w:val="000920B2"/>
    <w:rsid w:val="000922CD"/>
    <w:rsid w:val="00092FC8"/>
    <w:rsid w:val="00093087"/>
    <w:rsid w:val="000936B1"/>
    <w:rsid w:val="000938C9"/>
    <w:rsid w:val="00093C9E"/>
    <w:rsid w:val="00093EE0"/>
    <w:rsid w:val="000943F2"/>
    <w:rsid w:val="00095438"/>
    <w:rsid w:val="00095F93"/>
    <w:rsid w:val="00096E1C"/>
    <w:rsid w:val="000A008A"/>
    <w:rsid w:val="000A03AB"/>
    <w:rsid w:val="000A0BF6"/>
    <w:rsid w:val="000A15CC"/>
    <w:rsid w:val="000A2E08"/>
    <w:rsid w:val="000A2F3C"/>
    <w:rsid w:val="000A51DE"/>
    <w:rsid w:val="000A64A8"/>
    <w:rsid w:val="000B000C"/>
    <w:rsid w:val="000B120E"/>
    <w:rsid w:val="000B1B06"/>
    <w:rsid w:val="000B2014"/>
    <w:rsid w:val="000B2595"/>
    <w:rsid w:val="000B2C17"/>
    <w:rsid w:val="000B4361"/>
    <w:rsid w:val="000B4710"/>
    <w:rsid w:val="000B5AD5"/>
    <w:rsid w:val="000C0C63"/>
    <w:rsid w:val="000C2C51"/>
    <w:rsid w:val="000C2E85"/>
    <w:rsid w:val="000C3E41"/>
    <w:rsid w:val="000C51B3"/>
    <w:rsid w:val="000C5A34"/>
    <w:rsid w:val="000C6311"/>
    <w:rsid w:val="000C67BC"/>
    <w:rsid w:val="000C6CA5"/>
    <w:rsid w:val="000C6D69"/>
    <w:rsid w:val="000D0BF7"/>
    <w:rsid w:val="000D0DD8"/>
    <w:rsid w:val="000D2372"/>
    <w:rsid w:val="000D297A"/>
    <w:rsid w:val="000D3E64"/>
    <w:rsid w:val="000D555D"/>
    <w:rsid w:val="000D5794"/>
    <w:rsid w:val="000D6138"/>
    <w:rsid w:val="000D7F59"/>
    <w:rsid w:val="000E0313"/>
    <w:rsid w:val="000E0C76"/>
    <w:rsid w:val="000E1F01"/>
    <w:rsid w:val="000E395B"/>
    <w:rsid w:val="000E47B7"/>
    <w:rsid w:val="000E592B"/>
    <w:rsid w:val="000E6545"/>
    <w:rsid w:val="000E7016"/>
    <w:rsid w:val="000E771F"/>
    <w:rsid w:val="000E7AEA"/>
    <w:rsid w:val="000F1517"/>
    <w:rsid w:val="000F18FB"/>
    <w:rsid w:val="000F211B"/>
    <w:rsid w:val="000F2456"/>
    <w:rsid w:val="000F2F44"/>
    <w:rsid w:val="000F4686"/>
    <w:rsid w:val="000F5532"/>
    <w:rsid w:val="00101278"/>
    <w:rsid w:val="001015F1"/>
    <w:rsid w:val="0010286E"/>
    <w:rsid w:val="001033FB"/>
    <w:rsid w:val="00103CF8"/>
    <w:rsid w:val="001043CE"/>
    <w:rsid w:val="001046A5"/>
    <w:rsid w:val="00105283"/>
    <w:rsid w:val="001053C5"/>
    <w:rsid w:val="00105B95"/>
    <w:rsid w:val="00106424"/>
    <w:rsid w:val="00106623"/>
    <w:rsid w:val="001067E8"/>
    <w:rsid w:val="00106E68"/>
    <w:rsid w:val="00107243"/>
    <w:rsid w:val="00107E06"/>
    <w:rsid w:val="0011009F"/>
    <w:rsid w:val="001112E3"/>
    <w:rsid w:val="00111B84"/>
    <w:rsid w:val="00111D71"/>
    <w:rsid w:val="0011228E"/>
    <w:rsid w:val="001126C6"/>
    <w:rsid w:val="0011387D"/>
    <w:rsid w:val="001146D6"/>
    <w:rsid w:val="00114E45"/>
    <w:rsid w:val="0011589B"/>
    <w:rsid w:val="00116039"/>
    <w:rsid w:val="001160F9"/>
    <w:rsid w:val="001168CE"/>
    <w:rsid w:val="001173CE"/>
    <w:rsid w:val="0012071B"/>
    <w:rsid w:val="00120B7F"/>
    <w:rsid w:val="00121ACF"/>
    <w:rsid w:val="001226E7"/>
    <w:rsid w:val="00122FA0"/>
    <w:rsid w:val="00123FC7"/>
    <w:rsid w:val="00124214"/>
    <w:rsid w:val="00124639"/>
    <w:rsid w:val="00126D6E"/>
    <w:rsid w:val="00127486"/>
    <w:rsid w:val="00127FE7"/>
    <w:rsid w:val="001317CE"/>
    <w:rsid w:val="00131B9F"/>
    <w:rsid w:val="00131BD2"/>
    <w:rsid w:val="001328B2"/>
    <w:rsid w:val="00133656"/>
    <w:rsid w:val="00134297"/>
    <w:rsid w:val="00135003"/>
    <w:rsid w:val="001362AF"/>
    <w:rsid w:val="0013690B"/>
    <w:rsid w:val="00136B5E"/>
    <w:rsid w:val="00141636"/>
    <w:rsid w:val="00141AE1"/>
    <w:rsid w:val="00141C4D"/>
    <w:rsid w:val="00141D2A"/>
    <w:rsid w:val="001428C1"/>
    <w:rsid w:val="0014395C"/>
    <w:rsid w:val="00143C54"/>
    <w:rsid w:val="001441A1"/>
    <w:rsid w:val="00145331"/>
    <w:rsid w:val="00146276"/>
    <w:rsid w:val="00146CDB"/>
    <w:rsid w:val="00147A01"/>
    <w:rsid w:val="00150C7B"/>
    <w:rsid w:val="001517CD"/>
    <w:rsid w:val="00152035"/>
    <w:rsid w:val="00152549"/>
    <w:rsid w:val="001525A8"/>
    <w:rsid w:val="00152EAE"/>
    <w:rsid w:val="001530FB"/>
    <w:rsid w:val="00154009"/>
    <w:rsid w:val="001541DE"/>
    <w:rsid w:val="00154FDE"/>
    <w:rsid w:val="00155D40"/>
    <w:rsid w:val="00155F55"/>
    <w:rsid w:val="00157C3B"/>
    <w:rsid w:val="00160596"/>
    <w:rsid w:val="00160B08"/>
    <w:rsid w:val="00160D05"/>
    <w:rsid w:val="00162DE7"/>
    <w:rsid w:val="00162E4B"/>
    <w:rsid w:val="00165273"/>
    <w:rsid w:val="00166111"/>
    <w:rsid w:val="00167067"/>
    <w:rsid w:val="00167E0D"/>
    <w:rsid w:val="0017054F"/>
    <w:rsid w:val="00171B99"/>
    <w:rsid w:val="00171C80"/>
    <w:rsid w:val="0017275A"/>
    <w:rsid w:val="00172E3D"/>
    <w:rsid w:val="001743AF"/>
    <w:rsid w:val="00174CD1"/>
    <w:rsid w:val="00174E38"/>
    <w:rsid w:val="0017500F"/>
    <w:rsid w:val="001753AB"/>
    <w:rsid w:val="00175E33"/>
    <w:rsid w:val="0017625A"/>
    <w:rsid w:val="0017701F"/>
    <w:rsid w:val="00177240"/>
    <w:rsid w:val="00177DAA"/>
    <w:rsid w:val="00180181"/>
    <w:rsid w:val="00180257"/>
    <w:rsid w:val="00180BAC"/>
    <w:rsid w:val="001810BD"/>
    <w:rsid w:val="001832A6"/>
    <w:rsid w:val="00183C38"/>
    <w:rsid w:val="001846E2"/>
    <w:rsid w:val="00186510"/>
    <w:rsid w:val="001878EC"/>
    <w:rsid w:val="00187C7B"/>
    <w:rsid w:val="0019053B"/>
    <w:rsid w:val="001937E0"/>
    <w:rsid w:val="0019392B"/>
    <w:rsid w:val="00193EA5"/>
    <w:rsid w:val="00194645"/>
    <w:rsid w:val="00195EB1"/>
    <w:rsid w:val="001960D7"/>
    <w:rsid w:val="00197293"/>
    <w:rsid w:val="001A03C8"/>
    <w:rsid w:val="001A17E0"/>
    <w:rsid w:val="001A26E8"/>
    <w:rsid w:val="001A3568"/>
    <w:rsid w:val="001A4580"/>
    <w:rsid w:val="001A5102"/>
    <w:rsid w:val="001A5C1D"/>
    <w:rsid w:val="001A5CB3"/>
    <w:rsid w:val="001A5F20"/>
    <w:rsid w:val="001A6025"/>
    <w:rsid w:val="001A6096"/>
    <w:rsid w:val="001A6FF4"/>
    <w:rsid w:val="001A7DC4"/>
    <w:rsid w:val="001B0C0D"/>
    <w:rsid w:val="001B3CEF"/>
    <w:rsid w:val="001B452F"/>
    <w:rsid w:val="001B6867"/>
    <w:rsid w:val="001B785B"/>
    <w:rsid w:val="001B7A15"/>
    <w:rsid w:val="001C009C"/>
    <w:rsid w:val="001C01B2"/>
    <w:rsid w:val="001C0792"/>
    <w:rsid w:val="001C0910"/>
    <w:rsid w:val="001C0D45"/>
    <w:rsid w:val="001C1825"/>
    <w:rsid w:val="001C1C7A"/>
    <w:rsid w:val="001C3132"/>
    <w:rsid w:val="001C3DD5"/>
    <w:rsid w:val="001C4790"/>
    <w:rsid w:val="001C722B"/>
    <w:rsid w:val="001D0028"/>
    <w:rsid w:val="001D0490"/>
    <w:rsid w:val="001D08B3"/>
    <w:rsid w:val="001D2721"/>
    <w:rsid w:val="001D30F4"/>
    <w:rsid w:val="001D3DD6"/>
    <w:rsid w:val="001D47A4"/>
    <w:rsid w:val="001D5309"/>
    <w:rsid w:val="001E04AE"/>
    <w:rsid w:val="001E0618"/>
    <w:rsid w:val="001E0B42"/>
    <w:rsid w:val="001E1AFD"/>
    <w:rsid w:val="001E2A49"/>
    <w:rsid w:val="001E589B"/>
    <w:rsid w:val="001E5ABC"/>
    <w:rsid w:val="001E6923"/>
    <w:rsid w:val="001E6DB8"/>
    <w:rsid w:val="001F01A7"/>
    <w:rsid w:val="001F1D0F"/>
    <w:rsid w:val="001F21FE"/>
    <w:rsid w:val="001F3B97"/>
    <w:rsid w:val="001F4479"/>
    <w:rsid w:val="001F4594"/>
    <w:rsid w:val="001F4F66"/>
    <w:rsid w:val="001F552B"/>
    <w:rsid w:val="001F7397"/>
    <w:rsid w:val="001F7773"/>
    <w:rsid w:val="00200570"/>
    <w:rsid w:val="00200DBC"/>
    <w:rsid w:val="00201B01"/>
    <w:rsid w:val="00202841"/>
    <w:rsid w:val="00204D20"/>
    <w:rsid w:val="0020596F"/>
    <w:rsid w:val="00205B9A"/>
    <w:rsid w:val="00205C6C"/>
    <w:rsid w:val="002062E0"/>
    <w:rsid w:val="00206444"/>
    <w:rsid w:val="002069F8"/>
    <w:rsid w:val="00206A8E"/>
    <w:rsid w:val="00207344"/>
    <w:rsid w:val="00207565"/>
    <w:rsid w:val="00207F93"/>
    <w:rsid w:val="002109CE"/>
    <w:rsid w:val="00210B4A"/>
    <w:rsid w:val="0021236F"/>
    <w:rsid w:val="00212E87"/>
    <w:rsid w:val="002145D6"/>
    <w:rsid w:val="00214C83"/>
    <w:rsid w:val="00215EA3"/>
    <w:rsid w:val="0021659B"/>
    <w:rsid w:val="002168B3"/>
    <w:rsid w:val="00216D7B"/>
    <w:rsid w:val="00217883"/>
    <w:rsid w:val="00217896"/>
    <w:rsid w:val="00217A5A"/>
    <w:rsid w:val="00221195"/>
    <w:rsid w:val="00221E2B"/>
    <w:rsid w:val="00223927"/>
    <w:rsid w:val="00223C29"/>
    <w:rsid w:val="002240B9"/>
    <w:rsid w:val="002243FC"/>
    <w:rsid w:val="00224908"/>
    <w:rsid w:val="00224BE2"/>
    <w:rsid w:val="00224F32"/>
    <w:rsid w:val="00226B59"/>
    <w:rsid w:val="00226BD2"/>
    <w:rsid w:val="0022798B"/>
    <w:rsid w:val="0023014F"/>
    <w:rsid w:val="002318E3"/>
    <w:rsid w:val="00231E73"/>
    <w:rsid w:val="002341A1"/>
    <w:rsid w:val="002343E9"/>
    <w:rsid w:val="002347A1"/>
    <w:rsid w:val="00234E82"/>
    <w:rsid w:val="00236700"/>
    <w:rsid w:val="00236E5B"/>
    <w:rsid w:val="0024021E"/>
    <w:rsid w:val="0024027D"/>
    <w:rsid w:val="00240918"/>
    <w:rsid w:val="00240A3B"/>
    <w:rsid w:val="00240F39"/>
    <w:rsid w:val="002412BB"/>
    <w:rsid w:val="00241316"/>
    <w:rsid w:val="00242C9C"/>
    <w:rsid w:val="002438B6"/>
    <w:rsid w:val="00246353"/>
    <w:rsid w:val="0024639B"/>
    <w:rsid w:val="00246728"/>
    <w:rsid w:val="00247019"/>
    <w:rsid w:val="00247119"/>
    <w:rsid w:val="0024773F"/>
    <w:rsid w:val="00247A46"/>
    <w:rsid w:val="00250054"/>
    <w:rsid w:val="00250A2D"/>
    <w:rsid w:val="00252A73"/>
    <w:rsid w:val="00252B00"/>
    <w:rsid w:val="00252CDA"/>
    <w:rsid w:val="00253121"/>
    <w:rsid w:val="00253721"/>
    <w:rsid w:val="00256E0F"/>
    <w:rsid w:val="00256FE5"/>
    <w:rsid w:val="002576BF"/>
    <w:rsid w:val="00257A02"/>
    <w:rsid w:val="00257B62"/>
    <w:rsid w:val="00260D8C"/>
    <w:rsid w:val="00261272"/>
    <w:rsid w:val="002628E0"/>
    <w:rsid w:val="00264512"/>
    <w:rsid w:val="00265523"/>
    <w:rsid w:val="00265931"/>
    <w:rsid w:val="00266152"/>
    <w:rsid w:val="00266B03"/>
    <w:rsid w:val="00267507"/>
    <w:rsid w:val="00270032"/>
    <w:rsid w:val="002704C0"/>
    <w:rsid w:val="002709D6"/>
    <w:rsid w:val="00270F79"/>
    <w:rsid w:val="00271AB3"/>
    <w:rsid w:val="0027236F"/>
    <w:rsid w:val="00273107"/>
    <w:rsid w:val="0027331C"/>
    <w:rsid w:val="00273E59"/>
    <w:rsid w:val="00274299"/>
    <w:rsid w:val="002742B2"/>
    <w:rsid w:val="00275CCD"/>
    <w:rsid w:val="00276B43"/>
    <w:rsid w:val="002775CA"/>
    <w:rsid w:val="00277B9B"/>
    <w:rsid w:val="00277F80"/>
    <w:rsid w:val="00280F03"/>
    <w:rsid w:val="00281DF5"/>
    <w:rsid w:val="00281EC5"/>
    <w:rsid w:val="00282A4C"/>
    <w:rsid w:val="00283881"/>
    <w:rsid w:val="00283E84"/>
    <w:rsid w:val="00283F5C"/>
    <w:rsid w:val="002856FB"/>
    <w:rsid w:val="00286B98"/>
    <w:rsid w:val="00290215"/>
    <w:rsid w:val="002903A2"/>
    <w:rsid w:val="002907ED"/>
    <w:rsid w:val="002918D7"/>
    <w:rsid w:val="002929E5"/>
    <w:rsid w:val="00294283"/>
    <w:rsid w:val="00294BAD"/>
    <w:rsid w:val="00294C71"/>
    <w:rsid w:val="00295B1F"/>
    <w:rsid w:val="00295D25"/>
    <w:rsid w:val="00297646"/>
    <w:rsid w:val="002976DD"/>
    <w:rsid w:val="00297EF0"/>
    <w:rsid w:val="00297FE0"/>
    <w:rsid w:val="002A1053"/>
    <w:rsid w:val="002A1BC1"/>
    <w:rsid w:val="002A3558"/>
    <w:rsid w:val="002A3C54"/>
    <w:rsid w:val="002A3F0E"/>
    <w:rsid w:val="002A4104"/>
    <w:rsid w:val="002A5968"/>
    <w:rsid w:val="002A7A0F"/>
    <w:rsid w:val="002B0601"/>
    <w:rsid w:val="002B4C6B"/>
    <w:rsid w:val="002B5230"/>
    <w:rsid w:val="002B5C1A"/>
    <w:rsid w:val="002B6135"/>
    <w:rsid w:val="002B6BB7"/>
    <w:rsid w:val="002B70A1"/>
    <w:rsid w:val="002B76C5"/>
    <w:rsid w:val="002B7ED3"/>
    <w:rsid w:val="002C0740"/>
    <w:rsid w:val="002C09F5"/>
    <w:rsid w:val="002C13BF"/>
    <w:rsid w:val="002C17F9"/>
    <w:rsid w:val="002C19CD"/>
    <w:rsid w:val="002C1DDB"/>
    <w:rsid w:val="002C2101"/>
    <w:rsid w:val="002C4E9F"/>
    <w:rsid w:val="002C4EDE"/>
    <w:rsid w:val="002C5F95"/>
    <w:rsid w:val="002C723A"/>
    <w:rsid w:val="002D0A26"/>
    <w:rsid w:val="002D0A7D"/>
    <w:rsid w:val="002D1CC4"/>
    <w:rsid w:val="002D1F9B"/>
    <w:rsid w:val="002D4D9D"/>
    <w:rsid w:val="002D644D"/>
    <w:rsid w:val="002D6FBA"/>
    <w:rsid w:val="002E202A"/>
    <w:rsid w:val="002E27E2"/>
    <w:rsid w:val="002E3995"/>
    <w:rsid w:val="002E3CEA"/>
    <w:rsid w:val="002E4208"/>
    <w:rsid w:val="002E52AA"/>
    <w:rsid w:val="002E53FA"/>
    <w:rsid w:val="002E647F"/>
    <w:rsid w:val="002E6489"/>
    <w:rsid w:val="002E6B3A"/>
    <w:rsid w:val="002E7CE4"/>
    <w:rsid w:val="002F0224"/>
    <w:rsid w:val="002F06D7"/>
    <w:rsid w:val="002F1049"/>
    <w:rsid w:val="002F28D4"/>
    <w:rsid w:val="002F2C32"/>
    <w:rsid w:val="002F5947"/>
    <w:rsid w:val="002F5EDD"/>
    <w:rsid w:val="002F6661"/>
    <w:rsid w:val="002F763F"/>
    <w:rsid w:val="002F786B"/>
    <w:rsid w:val="00300974"/>
    <w:rsid w:val="00300FEB"/>
    <w:rsid w:val="003011F1"/>
    <w:rsid w:val="00301D23"/>
    <w:rsid w:val="0030356B"/>
    <w:rsid w:val="00303F33"/>
    <w:rsid w:val="003043D4"/>
    <w:rsid w:val="00304855"/>
    <w:rsid w:val="0030547B"/>
    <w:rsid w:val="00305AB7"/>
    <w:rsid w:val="00305CA5"/>
    <w:rsid w:val="00307926"/>
    <w:rsid w:val="00307F1E"/>
    <w:rsid w:val="003105B3"/>
    <w:rsid w:val="00310838"/>
    <w:rsid w:val="003110D6"/>
    <w:rsid w:val="00312266"/>
    <w:rsid w:val="003123E4"/>
    <w:rsid w:val="00313599"/>
    <w:rsid w:val="00314095"/>
    <w:rsid w:val="003144DD"/>
    <w:rsid w:val="00314D65"/>
    <w:rsid w:val="00314E25"/>
    <w:rsid w:val="00314F72"/>
    <w:rsid w:val="0031508F"/>
    <w:rsid w:val="00315719"/>
    <w:rsid w:val="00315CF4"/>
    <w:rsid w:val="0031622C"/>
    <w:rsid w:val="003173A9"/>
    <w:rsid w:val="00317C9F"/>
    <w:rsid w:val="00317F22"/>
    <w:rsid w:val="00320835"/>
    <w:rsid w:val="00320CAE"/>
    <w:rsid w:val="00321D8B"/>
    <w:rsid w:val="00321FE8"/>
    <w:rsid w:val="0032221F"/>
    <w:rsid w:val="00322D98"/>
    <w:rsid w:val="0032429D"/>
    <w:rsid w:val="003252B4"/>
    <w:rsid w:val="003254E8"/>
    <w:rsid w:val="0032627F"/>
    <w:rsid w:val="00326EEA"/>
    <w:rsid w:val="003276C5"/>
    <w:rsid w:val="00330547"/>
    <w:rsid w:val="00331237"/>
    <w:rsid w:val="003318DF"/>
    <w:rsid w:val="00331C09"/>
    <w:rsid w:val="003328AC"/>
    <w:rsid w:val="0033297B"/>
    <w:rsid w:val="00332E68"/>
    <w:rsid w:val="0033326E"/>
    <w:rsid w:val="0033355B"/>
    <w:rsid w:val="0033391B"/>
    <w:rsid w:val="003344F1"/>
    <w:rsid w:val="00334782"/>
    <w:rsid w:val="00334AFF"/>
    <w:rsid w:val="00335004"/>
    <w:rsid w:val="00335871"/>
    <w:rsid w:val="00336265"/>
    <w:rsid w:val="003362DC"/>
    <w:rsid w:val="003363AC"/>
    <w:rsid w:val="00337253"/>
    <w:rsid w:val="00340A79"/>
    <w:rsid w:val="00341B3F"/>
    <w:rsid w:val="00343E5C"/>
    <w:rsid w:val="00344912"/>
    <w:rsid w:val="003467B2"/>
    <w:rsid w:val="00347E3E"/>
    <w:rsid w:val="0035019C"/>
    <w:rsid w:val="00350526"/>
    <w:rsid w:val="0035101E"/>
    <w:rsid w:val="00351B08"/>
    <w:rsid w:val="00351F31"/>
    <w:rsid w:val="00351F7E"/>
    <w:rsid w:val="00352305"/>
    <w:rsid w:val="00352383"/>
    <w:rsid w:val="00353F88"/>
    <w:rsid w:val="00354009"/>
    <w:rsid w:val="00354B2C"/>
    <w:rsid w:val="003566CB"/>
    <w:rsid w:val="00356754"/>
    <w:rsid w:val="00357DA5"/>
    <w:rsid w:val="00357FB8"/>
    <w:rsid w:val="003610A8"/>
    <w:rsid w:val="00361550"/>
    <w:rsid w:val="003619DB"/>
    <w:rsid w:val="00361A92"/>
    <w:rsid w:val="00362AB1"/>
    <w:rsid w:val="00363127"/>
    <w:rsid w:val="003632BC"/>
    <w:rsid w:val="00363910"/>
    <w:rsid w:val="0036400C"/>
    <w:rsid w:val="003645C6"/>
    <w:rsid w:val="0036463C"/>
    <w:rsid w:val="00365E1E"/>
    <w:rsid w:val="003665EE"/>
    <w:rsid w:val="00366E4B"/>
    <w:rsid w:val="003672E7"/>
    <w:rsid w:val="0036748C"/>
    <w:rsid w:val="0036767C"/>
    <w:rsid w:val="0037041C"/>
    <w:rsid w:val="00371D9E"/>
    <w:rsid w:val="00372220"/>
    <w:rsid w:val="00373426"/>
    <w:rsid w:val="0037422F"/>
    <w:rsid w:val="00374FAD"/>
    <w:rsid w:val="003753A7"/>
    <w:rsid w:val="00376FC4"/>
    <w:rsid w:val="0037756A"/>
    <w:rsid w:val="00377989"/>
    <w:rsid w:val="00381DC4"/>
    <w:rsid w:val="0038302E"/>
    <w:rsid w:val="0038315D"/>
    <w:rsid w:val="00383B4A"/>
    <w:rsid w:val="003850CA"/>
    <w:rsid w:val="003850F5"/>
    <w:rsid w:val="00385B5A"/>
    <w:rsid w:val="00386BF4"/>
    <w:rsid w:val="00387043"/>
    <w:rsid w:val="0038725F"/>
    <w:rsid w:val="003874ED"/>
    <w:rsid w:val="00387703"/>
    <w:rsid w:val="00387B92"/>
    <w:rsid w:val="0039061A"/>
    <w:rsid w:val="00392215"/>
    <w:rsid w:val="00392308"/>
    <w:rsid w:val="0039244B"/>
    <w:rsid w:val="00392591"/>
    <w:rsid w:val="00392F0D"/>
    <w:rsid w:val="00393021"/>
    <w:rsid w:val="0039435E"/>
    <w:rsid w:val="00394991"/>
    <w:rsid w:val="00394CE5"/>
    <w:rsid w:val="00395A9F"/>
    <w:rsid w:val="0039742D"/>
    <w:rsid w:val="00397D43"/>
    <w:rsid w:val="00397DEC"/>
    <w:rsid w:val="003A09F8"/>
    <w:rsid w:val="003A0BAA"/>
    <w:rsid w:val="003A1445"/>
    <w:rsid w:val="003A210C"/>
    <w:rsid w:val="003A2252"/>
    <w:rsid w:val="003A2B04"/>
    <w:rsid w:val="003A36FC"/>
    <w:rsid w:val="003A43C6"/>
    <w:rsid w:val="003A5820"/>
    <w:rsid w:val="003A6C37"/>
    <w:rsid w:val="003A6E93"/>
    <w:rsid w:val="003A7356"/>
    <w:rsid w:val="003A7F5E"/>
    <w:rsid w:val="003B04D5"/>
    <w:rsid w:val="003B170D"/>
    <w:rsid w:val="003B1A4C"/>
    <w:rsid w:val="003B1C20"/>
    <w:rsid w:val="003B38D2"/>
    <w:rsid w:val="003B5D13"/>
    <w:rsid w:val="003C0B5D"/>
    <w:rsid w:val="003C3F48"/>
    <w:rsid w:val="003C6239"/>
    <w:rsid w:val="003C6C3C"/>
    <w:rsid w:val="003D00DD"/>
    <w:rsid w:val="003D0460"/>
    <w:rsid w:val="003D0937"/>
    <w:rsid w:val="003D0A40"/>
    <w:rsid w:val="003D0C7B"/>
    <w:rsid w:val="003D2471"/>
    <w:rsid w:val="003D28CF"/>
    <w:rsid w:val="003D2CC0"/>
    <w:rsid w:val="003D35ED"/>
    <w:rsid w:val="003D4DD4"/>
    <w:rsid w:val="003D6B74"/>
    <w:rsid w:val="003D77FD"/>
    <w:rsid w:val="003E0207"/>
    <w:rsid w:val="003E02CB"/>
    <w:rsid w:val="003E064F"/>
    <w:rsid w:val="003E0AFA"/>
    <w:rsid w:val="003E1E84"/>
    <w:rsid w:val="003E22BB"/>
    <w:rsid w:val="003E3649"/>
    <w:rsid w:val="003E3917"/>
    <w:rsid w:val="003E3A4E"/>
    <w:rsid w:val="003E509E"/>
    <w:rsid w:val="003E65B0"/>
    <w:rsid w:val="003E74CD"/>
    <w:rsid w:val="003F3E94"/>
    <w:rsid w:val="003F42F1"/>
    <w:rsid w:val="003F4B69"/>
    <w:rsid w:val="003F5337"/>
    <w:rsid w:val="003F57BE"/>
    <w:rsid w:val="003F6B12"/>
    <w:rsid w:val="003F7E4C"/>
    <w:rsid w:val="004007E4"/>
    <w:rsid w:val="00400FD4"/>
    <w:rsid w:val="0040189B"/>
    <w:rsid w:val="0040280E"/>
    <w:rsid w:val="004034B3"/>
    <w:rsid w:val="00403D67"/>
    <w:rsid w:val="00404636"/>
    <w:rsid w:val="004058F3"/>
    <w:rsid w:val="004071D4"/>
    <w:rsid w:val="004078BC"/>
    <w:rsid w:val="0040792C"/>
    <w:rsid w:val="00407C68"/>
    <w:rsid w:val="00410F47"/>
    <w:rsid w:val="004119B4"/>
    <w:rsid w:val="0041256E"/>
    <w:rsid w:val="004138F1"/>
    <w:rsid w:val="0041597D"/>
    <w:rsid w:val="00415B08"/>
    <w:rsid w:val="00417806"/>
    <w:rsid w:val="00420463"/>
    <w:rsid w:val="00420818"/>
    <w:rsid w:val="00421502"/>
    <w:rsid w:val="00422757"/>
    <w:rsid w:val="00423A38"/>
    <w:rsid w:val="004256C5"/>
    <w:rsid w:val="0042600B"/>
    <w:rsid w:val="004278C0"/>
    <w:rsid w:val="0043005C"/>
    <w:rsid w:val="0043201D"/>
    <w:rsid w:val="00432D87"/>
    <w:rsid w:val="00433927"/>
    <w:rsid w:val="0043402B"/>
    <w:rsid w:val="0043465F"/>
    <w:rsid w:val="00434EBB"/>
    <w:rsid w:val="004354D9"/>
    <w:rsid w:val="00435720"/>
    <w:rsid w:val="00436099"/>
    <w:rsid w:val="004369FE"/>
    <w:rsid w:val="00437108"/>
    <w:rsid w:val="00437897"/>
    <w:rsid w:val="00437B2D"/>
    <w:rsid w:val="00437CDD"/>
    <w:rsid w:val="004405D6"/>
    <w:rsid w:val="00440662"/>
    <w:rsid w:val="004418B3"/>
    <w:rsid w:val="00441B5A"/>
    <w:rsid w:val="00443CB2"/>
    <w:rsid w:val="00444233"/>
    <w:rsid w:val="00444475"/>
    <w:rsid w:val="00445F0F"/>
    <w:rsid w:val="00446F16"/>
    <w:rsid w:val="00446FBF"/>
    <w:rsid w:val="00447069"/>
    <w:rsid w:val="004472AF"/>
    <w:rsid w:val="00450DA6"/>
    <w:rsid w:val="0045169F"/>
    <w:rsid w:val="004524E3"/>
    <w:rsid w:val="00453468"/>
    <w:rsid w:val="004549DF"/>
    <w:rsid w:val="00454B23"/>
    <w:rsid w:val="00455580"/>
    <w:rsid w:val="00457967"/>
    <w:rsid w:val="004602D8"/>
    <w:rsid w:val="00460391"/>
    <w:rsid w:val="00460AE0"/>
    <w:rsid w:val="004610B2"/>
    <w:rsid w:val="00462E39"/>
    <w:rsid w:val="00464840"/>
    <w:rsid w:val="004658C5"/>
    <w:rsid w:val="00465B18"/>
    <w:rsid w:val="0046619F"/>
    <w:rsid w:val="004665ED"/>
    <w:rsid w:val="00467348"/>
    <w:rsid w:val="00467896"/>
    <w:rsid w:val="00470228"/>
    <w:rsid w:val="00471BF1"/>
    <w:rsid w:val="00471C2D"/>
    <w:rsid w:val="00471FA7"/>
    <w:rsid w:val="00472C6E"/>
    <w:rsid w:val="0047415A"/>
    <w:rsid w:val="0047424A"/>
    <w:rsid w:val="00474D07"/>
    <w:rsid w:val="00475D56"/>
    <w:rsid w:val="00480616"/>
    <w:rsid w:val="004818D9"/>
    <w:rsid w:val="00483047"/>
    <w:rsid w:val="00483ED5"/>
    <w:rsid w:val="00484404"/>
    <w:rsid w:val="00486CC1"/>
    <w:rsid w:val="00486D0F"/>
    <w:rsid w:val="00486FF8"/>
    <w:rsid w:val="004872D7"/>
    <w:rsid w:val="0048798C"/>
    <w:rsid w:val="004902F4"/>
    <w:rsid w:val="004914EA"/>
    <w:rsid w:val="00492070"/>
    <w:rsid w:val="0049213E"/>
    <w:rsid w:val="00496CD3"/>
    <w:rsid w:val="00496E0A"/>
    <w:rsid w:val="004974E7"/>
    <w:rsid w:val="004A018C"/>
    <w:rsid w:val="004A06B1"/>
    <w:rsid w:val="004A12AF"/>
    <w:rsid w:val="004A27F9"/>
    <w:rsid w:val="004A2AB7"/>
    <w:rsid w:val="004A3F3A"/>
    <w:rsid w:val="004A4485"/>
    <w:rsid w:val="004A46DD"/>
    <w:rsid w:val="004A47F9"/>
    <w:rsid w:val="004A486E"/>
    <w:rsid w:val="004A494A"/>
    <w:rsid w:val="004A4A83"/>
    <w:rsid w:val="004A66C2"/>
    <w:rsid w:val="004A6FB1"/>
    <w:rsid w:val="004A7104"/>
    <w:rsid w:val="004B0300"/>
    <w:rsid w:val="004B07BB"/>
    <w:rsid w:val="004B2164"/>
    <w:rsid w:val="004B27D8"/>
    <w:rsid w:val="004B2F31"/>
    <w:rsid w:val="004B356C"/>
    <w:rsid w:val="004B3A3E"/>
    <w:rsid w:val="004B4101"/>
    <w:rsid w:val="004B5C07"/>
    <w:rsid w:val="004B7178"/>
    <w:rsid w:val="004B7E78"/>
    <w:rsid w:val="004C035F"/>
    <w:rsid w:val="004C0C54"/>
    <w:rsid w:val="004C15B1"/>
    <w:rsid w:val="004C16F3"/>
    <w:rsid w:val="004C2A4B"/>
    <w:rsid w:val="004C2F11"/>
    <w:rsid w:val="004C3E5B"/>
    <w:rsid w:val="004C3E5E"/>
    <w:rsid w:val="004C42BE"/>
    <w:rsid w:val="004C48D6"/>
    <w:rsid w:val="004C4966"/>
    <w:rsid w:val="004C4F21"/>
    <w:rsid w:val="004C6304"/>
    <w:rsid w:val="004C7A9B"/>
    <w:rsid w:val="004C7E87"/>
    <w:rsid w:val="004D15B1"/>
    <w:rsid w:val="004D2CDC"/>
    <w:rsid w:val="004D3158"/>
    <w:rsid w:val="004D3ACB"/>
    <w:rsid w:val="004D3D42"/>
    <w:rsid w:val="004D51E9"/>
    <w:rsid w:val="004D5B09"/>
    <w:rsid w:val="004D6590"/>
    <w:rsid w:val="004E09A3"/>
    <w:rsid w:val="004E0BAB"/>
    <w:rsid w:val="004E33E8"/>
    <w:rsid w:val="004E3E96"/>
    <w:rsid w:val="004E4A88"/>
    <w:rsid w:val="004E4FB1"/>
    <w:rsid w:val="004F1BBD"/>
    <w:rsid w:val="004F3330"/>
    <w:rsid w:val="004F33F7"/>
    <w:rsid w:val="004F3C3D"/>
    <w:rsid w:val="004F3D4F"/>
    <w:rsid w:val="004F3D8D"/>
    <w:rsid w:val="004F4596"/>
    <w:rsid w:val="004F570B"/>
    <w:rsid w:val="004F58C3"/>
    <w:rsid w:val="004F59FA"/>
    <w:rsid w:val="004F6CB4"/>
    <w:rsid w:val="004F7386"/>
    <w:rsid w:val="004F73A9"/>
    <w:rsid w:val="00501026"/>
    <w:rsid w:val="00501A8C"/>
    <w:rsid w:val="00501BED"/>
    <w:rsid w:val="00501D5C"/>
    <w:rsid w:val="00502607"/>
    <w:rsid w:val="00502728"/>
    <w:rsid w:val="005049A8"/>
    <w:rsid w:val="00505116"/>
    <w:rsid w:val="00505153"/>
    <w:rsid w:val="00505836"/>
    <w:rsid w:val="0050584B"/>
    <w:rsid w:val="00505A57"/>
    <w:rsid w:val="00505BD6"/>
    <w:rsid w:val="00505CE5"/>
    <w:rsid w:val="005065DC"/>
    <w:rsid w:val="00506AFE"/>
    <w:rsid w:val="00506E5C"/>
    <w:rsid w:val="0050710B"/>
    <w:rsid w:val="00507565"/>
    <w:rsid w:val="005102E2"/>
    <w:rsid w:val="005104CE"/>
    <w:rsid w:val="00512897"/>
    <w:rsid w:val="00512A39"/>
    <w:rsid w:val="00512D3E"/>
    <w:rsid w:val="0051324F"/>
    <w:rsid w:val="00513659"/>
    <w:rsid w:val="00514573"/>
    <w:rsid w:val="00515E19"/>
    <w:rsid w:val="00515F68"/>
    <w:rsid w:val="00517412"/>
    <w:rsid w:val="00520262"/>
    <w:rsid w:val="00520FD4"/>
    <w:rsid w:val="005211B9"/>
    <w:rsid w:val="00521711"/>
    <w:rsid w:val="00521912"/>
    <w:rsid w:val="00522A2B"/>
    <w:rsid w:val="00523A62"/>
    <w:rsid w:val="00523EED"/>
    <w:rsid w:val="00525856"/>
    <w:rsid w:val="005261AF"/>
    <w:rsid w:val="005265DA"/>
    <w:rsid w:val="00526BCF"/>
    <w:rsid w:val="00527E2B"/>
    <w:rsid w:val="00527EAF"/>
    <w:rsid w:val="00530421"/>
    <w:rsid w:val="00530612"/>
    <w:rsid w:val="00531B2B"/>
    <w:rsid w:val="005322EE"/>
    <w:rsid w:val="0053560F"/>
    <w:rsid w:val="00540A77"/>
    <w:rsid w:val="0054131B"/>
    <w:rsid w:val="005415BC"/>
    <w:rsid w:val="00541821"/>
    <w:rsid w:val="00541A63"/>
    <w:rsid w:val="0054218B"/>
    <w:rsid w:val="005434AE"/>
    <w:rsid w:val="005443ED"/>
    <w:rsid w:val="005449FE"/>
    <w:rsid w:val="00544B54"/>
    <w:rsid w:val="00544B6F"/>
    <w:rsid w:val="005455BF"/>
    <w:rsid w:val="005455CE"/>
    <w:rsid w:val="005455CF"/>
    <w:rsid w:val="00545A1C"/>
    <w:rsid w:val="00545DB0"/>
    <w:rsid w:val="00546D2A"/>
    <w:rsid w:val="00546F0B"/>
    <w:rsid w:val="00547DB2"/>
    <w:rsid w:val="00550FF5"/>
    <w:rsid w:val="00552A70"/>
    <w:rsid w:val="00554C98"/>
    <w:rsid w:val="00555BEF"/>
    <w:rsid w:val="00557A1F"/>
    <w:rsid w:val="00557FB0"/>
    <w:rsid w:val="00561FE7"/>
    <w:rsid w:val="0056333C"/>
    <w:rsid w:val="00563D11"/>
    <w:rsid w:val="0056430E"/>
    <w:rsid w:val="005645F9"/>
    <w:rsid w:val="0056516D"/>
    <w:rsid w:val="00565DD7"/>
    <w:rsid w:val="00565DEA"/>
    <w:rsid w:val="00566355"/>
    <w:rsid w:val="0056685C"/>
    <w:rsid w:val="00566916"/>
    <w:rsid w:val="005670F5"/>
    <w:rsid w:val="00567227"/>
    <w:rsid w:val="00567986"/>
    <w:rsid w:val="005724EC"/>
    <w:rsid w:val="00573234"/>
    <w:rsid w:val="005740FB"/>
    <w:rsid w:val="005749BC"/>
    <w:rsid w:val="00575714"/>
    <w:rsid w:val="005762A0"/>
    <w:rsid w:val="005769B8"/>
    <w:rsid w:val="00576D85"/>
    <w:rsid w:val="00577F7B"/>
    <w:rsid w:val="00580C83"/>
    <w:rsid w:val="0058103D"/>
    <w:rsid w:val="00582D93"/>
    <w:rsid w:val="005839BE"/>
    <w:rsid w:val="00583C17"/>
    <w:rsid w:val="005846A6"/>
    <w:rsid w:val="00585305"/>
    <w:rsid w:val="00586F3D"/>
    <w:rsid w:val="005870EE"/>
    <w:rsid w:val="00587418"/>
    <w:rsid w:val="005903DD"/>
    <w:rsid w:val="00590568"/>
    <w:rsid w:val="0059086D"/>
    <w:rsid w:val="00590A16"/>
    <w:rsid w:val="00590FF8"/>
    <w:rsid w:val="005926A8"/>
    <w:rsid w:val="005928E4"/>
    <w:rsid w:val="00593337"/>
    <w:rsid w:val="005934AD"/>
    <w:rsid w:val="00593E02"/>
    <w:rsid w:val="005949B5"/>
    <w:rsid w:val="0059503D"/>
    <w:rsid w:val="00595040"/>
    <w:rsid w:val="0059527D"/>
    <w:rsid w:val="00595684"/>
    <w:rsid w:val="0059721F"/>
    <w:rsid w:val="00597951"/>
    <w:rsid w:val="005A0812"/>
    <w:rsid w:val="005A0EA2"/>
    <w:rsid w:val="005A1157"/>
    <w:rsid w:val="005A16E5"/>
    <w:rsid w:val="005A2359"/>
    <w:rsid w:val="005A3C7A"/>
    <w:rsid w:val="005A4ACC"/>
    <w:rsid w:val="005A4E83"/>
    <w:rsid w:val="005A53D6"/>
    <w:rsid w:val="005A56D1"/>
    <w:rsid w:val="005A5859"/>
    <w:rsid w:val="005A6532"/>
    <w:rsid w:val="005A72FA"/>
    <w:rsid w:val="005B10E7"/>
    <w:rsid w:val="005B1D94"/>
    <w:rsid w:val="005B22E3"/>
    <w:rsid w:val="005B326E"/>
    <w:rsid w:val="005B36F1"/>
    <w:rsid w:val="005B4B54"/>
    <w:rsid w:val="005B5CE4"/>
    <w:rsid w:val="005B6E0B"/>
    <w:rsid w:val="005B7AF2"/>
    <w:rsid w:val="005B7EB9"/>
    <w:rsid w:val="005C0676"/>
    <w:rsid w:val="005C07E3"/>
    <w:rsid w:val="005C1651"/>
    <w:rsid w:val="005C3E6A"/>
    <w:rsid w:val="005C5C59"/>
    <w:rsid w:val="005C5CE2"/>
    <w:rsid w:val="005C611D"/>
    <w:rsid w:val="005C6F3F"/>
    <w:rsid w:val="005C7664"/>
    <w:rsid w:val="005D0309"/>
    <w:rsid w:val="005D0456"/>
    <w:rsid w:val="005D0963"/>
    <w:rsid w:val="005D0E4E"/>
    <w:rsid w:val="005D12EE"/>
    <w:rsid w:val="005D1EE3"/>
    <w:rsid w:val="005D2BDE"/>
    <w:rsid w:val="005D2DFB"/>
    <w:rsid w:val="005D3023"/>
    <w:rsid w:val="005D3FF5"/>
    <w:rsid w:val="005D432B"/>
    <w:rsid w:val="005D4FF8"/>
    <w:rsid w:val="005D5FF6"/>
    <w:rsid w:val="005D614C"/>
    <w:rsid w:val="005D6C8D"/>
    <w:rsid w:val="005D7863"/>
    <w:rsid w:val="005D7C88"/>
    <w:rsid w:val="005D7D03"/>
    <w:rsid w:val="005E05B0"/>
    <w:rsid w:val="005E05D0"/>
    <w:rsid w:val="005E10D0"/>
    <w:rsid w:val="005E184D"/>
    <w:rsid w:val="005E1E13"/>
    <w:rsid w:val="005E2BE8"/>
    <w:rsid w:val="005E5068"/>
    <w:rsid w:val="005E51A2"/>
    <w:rsid w:val="005E595E"/>
    <w:rsid w:val="005E5B60"/>
    <w:rsid w:val="005E6A03"/>
    <w:rsid w:val="005E6CF8"/>
    <w:rsid w:val="005F0B36"/>
    <w:rsid w:val="005F0FC4"/>
    <w:rsid w:val="005F1385"/>
    <w:rsid w:val="005F1471"/>
    <w:rsid w:val="005F1A76"/>
    <w:rsid w:val="005F2452"/>
    <w:rsid w:val="005F2537"/>
    <w:rsid w:val="005F424C"/>
    <w:rsid w:val="005F524E"/>
    <w:rsid w:val="005F53C1"/>
    <w:rsid w:val="005F67B3"/>
    <w:rsid w:val="005F70A9"/>
    <w:rsid w:val="006001DC"/>
    <w:rsid w:val="0060070B"/>
    <w:rsid w:val="006007B3"/>
    <w:rsid w:val="00600E73"/>
    <w:rsid w:val="00600E8F"/>
    <w:rsid w:val="00602160"/>
    <w:rsid w:val="0060273F"/>
    <w:rsid w:val="00602F51"/>
    <w:rsid w:val="0060496A"/>
    <w:rsid w:val="00604DB9"/>
    <w:rsid w:val="006055E6"/>
    <w:rsid w:val="00606286"/>
    <w:rsid w:val="0060687A"/>
    <w:rsid w:val="006072FA"/>
    <w:rsid w:val="006105F9"/>
    <w:rsid w:val="00611458"/>
    <w:rsid w:val="00611CD6"/>
    <w:rsid w:val="0061200E"/>
    <w:rsid w:val="00613349"/>
    <w:rsid w:val="00613357"/>
    <w:rsid w:val="00614365"/>
    <w:rsid w:val="0061470D"/>
    <w:rsid w:val="006149C1"/>
    <w:rsid w:val="00617BA8"/>
    <w:rsid w:val="00620294"/>
    <w:rsid w:val="0062342B"/>
    <w:rsid w:val="00624051"/>
    <w:rsid w:val="00626789"/>
    <w:rsid w:val="00631734"/>
    <w:rsid w:val="00631DE5"/>
    <w:rsid w:val="00633D97"/>
    <w:rsid w:val="00633F28"/>
    <w:rsid w:val="00634260"/>
    <w:rsid w:val="0063436A"/>
    <w:rsid w:val="00635084"/>
    <w:rsid w:val="006360FA"/>
    <w:rsid w:val="0063665B"/>
    <w:rsid w:val="00637139"/>
    <w:rsid w:val="00637467"/>
    <w:rsid w:val="0064058F"/>
    <w:rsid w:val="0064289F"/>
    <w:rsid w:val="006433B8"/>
    <w:rsid w:val="00644AF5"/>
    <w:rsid w:val="00644E05"/>
    <w:rsid w:val="006454B5"/>
    <w:rsid w:val="00647B40"/>
    <w:rsid w:val="00650F9D"/>
    <w:rsid w:val="00651ABE"/>
    <w:rsid w:val="00651B5F"/>
    <w:rsid w:val="00651CBE"/>
    <w:rsid w:val="00651E96"/>
    <w:rsid w:val="00652928"/>
    <w:rsid w:val="00652A61"/>
    <w:rsid w:val="006544F1"/>
    <w:rsid w:val="00654C46"/>
    <w:rsid w:val="0065545A"/>
    <w:rsid w:val="00655747"/>
    <w:rsid w:val="006557DA"/>
    <w:rsid w:val="00657D07"/>
    <w:rsid w:val="00663359"/>
    <w:rsid w:val="00663C83"/>
    <w:rsid w:val="00664378"/>
    <w:rsid w:val="0066509B"/>
    <w:rsid w:val="0066536B"/>
    <w:rsid w:val="00665542"/>
    <w:rsid w:val="00665E5F"/>
    <w:rsid w:val="0066606D"/>
    <w:rsid w:val="0066648F"/>
    <w:rsid w:val="00666571"/>
    <w:rsid w:val="00666943"/>
    <w:rsid w:val="006671CD"/>
    <w:rsid w:val="0066735E"/>
    <w:rsid w:val="00672199"/>
    <w:rsid w:val="006734F2"/>
    <w:rsid w:val="00674C63"/>
    <w:rsid w:val="00680B1F"/>
    <w:rsid w:val="00680C9F"/>
    <w:rsid w:val="006810D6"/>
    <w:rsid w:val="00683793"/>
    <w:rsid w:val="0068385F"/>
    <w:rsid w:val="00683DAA"/>
    <w:rsid w:val="00685284"/>
    <w:rsid w:val="0068682A"/>
    <w:rsid w:val="00686DE7"/>
    <w:rsid w:val="00690249"/>
    <w:rsid w:val="00690252"/>
    <w:rsid w:val="00690D20"/>
    <w:rsid w:val="00691583"/>
    <w:rsid w:val="006916A5"/>
    <w:rsid w:val="00691726"/>
    <w:rsid w:val="00693734"/>
    <w:rsid w:val="00695208"/>
    <w:rsid w:val="0069625F"/>
    <w:rsid w:val="00696A48"/>
    <w:rsid w:val="0069795F"/>
    <w:rsid w:val="006A0541"/>
    <w:rsid w:val="006A1A80"/>
    <w:rsid w:val="006A1E71"/>
    <w:rsid w:val="006A27E6"/>
    <w:rsid w:val="006A3A5B"/>
    <w:rsid w:val="006A3B65"/>
    <w:rsid w:val="006A3D29"/>
    <w:rsid w:val="006A44C2"/>
    <w:rsid w:val="006A4DD5"/>
    <w:rsid w:val="006A5910"/>
    <w:rsid w:val="006A5C79"/>
    <w:rsid w:val="006A5CB3"/>
    <w:rsid w:val="006A6A27"/>
    <w:rsid w:val="006A739A"/>
    <w:rsid w:val="006B02ED"/>
    <w:rsid w:val="006B181C"/>
    <w:rsid w:val="006B2065"/>
    <w:rsid w:val="006B3CB0"/>
    <w:rsid w:val="006B49DF"/>
    <w:rsid w:val="006B4F97"/>
    <w:rsid w:val="006B521F"/>
    <w:rsid w:val="006B6AAF"/>
    <w:rsid w:val="006B70EE"/>
    <w:rsid w:val="006C20E7"/>
    <w:rsid w:val="006C2490"/>
    <w:rsid w:val="006C488B"/>
    <w:rsid w:val="006C5934"/>
    <w:rsid w:val="006C605A"/>
    <w:rsid w:val="006C72C7"/>
    <w:rsid w:val="006C77A8"/>
    <w:rsid w:val="006D038D"/>
    <w:rsid w:val="006D03B0"/>
    <w:rsid w:val="006D042E"/>
    <w:rsid w:val="006D068A"/>
    <w:rsid w:val="006D3FA5"/>
    <w:rsid w:val="006D5591"/>
    <w:rsid w:val="006D5E49"/>
    <w:rsid w:val="006E0251"/>
    <w:rsid w:val="006E075C"/>
    <w:rsid w:val="006E0B5B"/>
    <w:rsid w:val="006E319D"/>
    <w:rsid w:val="006E336B"/>
    <w:rsid w:val="006E3BED"/>
    <w:rsid w:val="006E4EB6"/>
    <w:rsid w:val="006E5FF6"/>
    <w:rsid w:val="006E60EF"/>
    <w:rsid w:val="006E79FF"/>
    <w:rsid w:val="006F2B19"/>
    <w:rsid w:val="006F3730"/>
    <w:rsid w:val="006F4263"/>
    <w:rsid w:val="006F4A92"/>
    <w:rsid w:val="006F54E5"/>
    <w:rsid w:val="006F7547"/>
    <w:rsid w:val="0070072A"/>
    <w:rsid w:val="00700921"/>
    <w:rsid w:val="00701143"/>
    <w:rsid w:val="00701DEB"/>
    <w:rsid w:val="00701FAD"/>
    <w:rsid w:val="00702CBB"/>
    <w:rsid w:val="00702CE6"/>
    <w:rsid w:val="0070328A"/>
    <w:rsid w:val="007040E3"/>
    <w:rsid w:val="0070585B"/>
    <w:rsid w:val="0070618F"/>
    <w:rsid w:val="0070632F"/>
    <w:rsid w:val="00706C4E"/>
    <w:rsid w:val="007076B4"/>
    <w:rsid w:val="00707711"/>
    <w:rsid w:val="007100B0"/>
    <w:rsid w:val="007102DE"/>
    <w:rsid w:val="00710300"/>
    <w:rsid w:val="00710349"/>
    <w:rsid w:val="0071180B"/>
    <w:rsid w:val="00714CD3"/>
    <w:rsid w:val="0071534C"/>
    <w:rsid w:val="00716555"/>
    <w:rsid w:val="00716D61"/>
    <w:rsid w:val="00717294"/>
    <w:rsid w:val="00717EC9"/>
    <w:rsid w:val="0072052F"/>
    <w:rsid w:val="007210C6"/>
    <w:rsid w:val="00721299"/>
    <w:rsid w:val="00722F1A"/>
    <w:rsid w:val="00722FD0"/>
    <w:rsid w:val="0072304F"/>
    <w:rsid w:val="007234CE"/>
    <w:rsid w:val="00723548"/>
    <w:rsid w:val="00724996"/>
    <w:rsid w:val="00724E48"/>
    <w:rsid w:val="00724FBF"/>
    <w:rsid w:val="00725A02"/>
    <w:rsid w:val="00734EB1"/>
    <w:rsid w:val="00736017"/>
    <w:rsid w:val="007361D3"/>
    <w:rsid w:val="00742538"/>
    <w:rsid w:val="0074288B"/>
    <w:rsid w:val="00742F67"/>
    <w:rsid w:val="00743E7E"/>
    <w:rsid w:val="00743EFE"/>
    <w:rsid w:val="007453AD"/>
    <w:rsid w:val="007465B0"/>
    <w:rsid w:val="00746A04"/>
    <w:rsid w:val="00747CC0"/>
    <w:rsid w:val="00750DE6"/>
    <w:rsid w:val="00751050"/>
    <w:rsid w:val="00751947"/>
    <w:rsid w:val="007523B5"/>
    <w:rsid w:val="007525DF"/>
    <w:rsid w:val="0075267E"/>
    <w:rsid w:val="00752D4D"/>
    <w:rsid w:val="00754287"/>
    <w:rsid w:val="00754B30"/>
    <w:rsid w:val="00755BA0"/>
    <w:rsid w:val="00756BCF"/>
    <w:rsid w:val="00757E31"/>
    <w:rsid w:val="0076051D"/>
    <w:rsid w:val="00760F0F"/>
    <w:rsid w:val="007630CB"/>
    <w:rsid w:val="00763688"/>
    <w:rsid w:val="00763934"/>
    <w:rsid w:val="0076430D"/>
    <w:rsid w:val="007646BB"/>
    <w:rsid w:val="0076529C"/>
    <w:rsid w:val="007652CA"/>
    <w:rsid w:val="007668A6"/>
    <w:rsid w:val="00766F11"/>
    <w:rsid w:val="00767210"/>
    <w:rsid w:val="007705CA"/>
    <w:rsid w:val="007709BE"/>
    <w:rsid w:val="007712ED"/>
    <w:rsid w:val="00771336"/>
    <w:rsid w:val="00773B62"/>
    <w:rsid w:val="00773CCC"/>
    <w:rsid w:val="00774770"/>
    <w:rsid w:val="007749E2"/>
    <w:rsid w:val="00774B23"/>
    <w:rsid w:val="007755BC"/>
    <w:rsid w:val="007759C3"/>
    <w:rsid w:val="00775CA5"/>
    <w:rsid w:val="00775F89"/>
    <w:rsid w:val="007764F4"/>
    <w:rsid w:val="00776A18"/>
    <w:rsid w:val="007807A0"/>
    <w:rsid w:val="007808DD"/>
    <w:rsid w:val="007808FA"/>
    <w:rsid w:val="007810DC"/>
    <w:rsid w:val="007816A6"/>
    <w:rsid w:val="007825C5"/>
    <w:rsid w:val="00782800"/>
    <w:rsid w:val="0078285D"/>
    <w:rsid w:val="007830D1"/>
    <w:rsid w:val="0078357F"/>
    <w:rsid w:val="00784C39"/>
    <w:rsid w:val="0078505F"/>
    <w:rsid w:val="0078596F"/>
    <w:rsid w:val="00785E6E"/>
    <w:rsid w:val="00785F52"/>
    <w:rsid w:val="00786980"/>
    <w:rsid w:val="00787269"/>
    <w:rsid w:val="007906AD"/>
    <w:rsid w:val="007907D2"/>
    <w:rsid w:val="00791180"/>
    <w:rsid w:val="007931BF"/>
    <w:rsid w:val="007938DE"/>
    <w:rsid w:val="0079492C"/>
    <w:rsid w:val="00794997"/>
    <w:rsid w:val="00795749"/>
    <w:rsid w:val="007959F3"/>
    <w:rsid w:val="0079747D"/>
    <w:rsid w:val="00797605"/>
    <w:rsid w:val="007A05EA"/>
    <w:rsid w:val="007A0E92"/>
    <w:rsid w:val="007A29B1"/>
    <w:rsid w:val="007A2D5C"/>
    <w:rsid w:val="007A5985"/>
    <w:rsid w:val="007A5A19"/>
    <w:rsid w:val="007A6B3B"/>
    <w:rsid w:val="007B03C3"/>
    <w:rsid w:val="007B0E00"/>
    <w:rsid w:val="007B1596"/>
    <w:rsid w:val="007B190E"/>
    <w:rsid w:val="007B1B9E"/>
    <w:rsid w:val="007B45DB"/>
    <w:rsid w:val="007B4C13"/>
    <w:rsid w:val="007B4CC7"/>
    <w:rsid w:val="007B5077"/>
    <w:rsid w:val="007B6B13"/>
    <w:rsid w:val="007B6CBE"/>
    <w:rsid w:val="007C03F7"/>
    <w:rsid w:val="007C0782"/>
    <w:rsid w:val="007C25A0"/>
    <w:rsid w:val="007C290D"/>
    <w:rsid w:val="007C2F88"/>
    <w:rsid w:val="007C315C"/>
    <w:rsid w:val="007C375E"/>
    <w:rsid w:val="007C5167"/>
    <w:rsid w:val="007C53F6"/>
    <w:rsid w:val="007C603F"/>
    <w:rsid w:val="007D027B"/>
    <w:rsid w:val="007D1A07"/>
    <w:rsid w:val="007D246C"/>
    <w:rsid w:val="007D33E1"/>
    <w:rsid w:val="007D4236"/>
    <w:rsid w:val="007D4D82"/>
    <w:rsid w:val="007D4F3F"/>
    <w:rsid w:val="007D52A4"/>
    <w:rsid w:val="007D59C4"/>
    <w:rsid w:val="007D5E6C"/>
    <w:rsid w:val="007D5F0B"/>
    <w:rsid w:val="007D7062"/>
    <w:rsid w:val="007E0A44"/>
    <w:rsid w:val="007E1088"/>
    <w:rsid w:val="007E1ECD"/>
    <w:rsid w:val="007E34CA"/>
    <w:rsid w:val="007E3675"/>
    <w:rsid w:val="007E3F94"/>
    <w:rsid w:val="007E46EE"/>
    <w:rsid w:val="007E67DF"/>
    <w:rsid w:val="007E6F20"/>
    <w:rsid w:val="007E794A"/>
    <w:rsid w:val="007E7A85"/>
    <w:rsid w:val="007F04DD"/>
    <w:rsid w:val="007F2074"/>
    <w:rsid w:val="007F21CB"/>
    <w:rsid w:val="007F243D"/>
    <w:rsid w:val="007F26B5"/>
    <w:rsid w:val="007F2ED9"/>
    <w:rsid w:val="007F6383"/>
    <w:rsid w:val="007F6B98"/>
    <w:rsid w:val="00800E30"/>
    <w:rsid w:val="008019F4"/>
    <w:rsid w:val="00801E69"/>
    <w:rsid w:val="00802211"/>
    <w:rsid w:val="00803E97"/>
    <w:rsid w:val="008042BC"/>
    <w:rsid w:val="00804D5C"/>
    <w:rsid w:val="0080571D"/>
    <w:rsid w:val="0080599B"/>
    <w:rsid w:val="0080686E"/>
    <w:rsid w:val="00806C3E"/>
    <w:rsid w:val="008070E2"/>
    <w:rsid w:val="00810A79"/>
    <w:rsid w:val="00812B99"/>
    <w:rsid w:val="00813A6B"/>
    <w:rsid w:val="00814483"/>
    <w:rsid w:val="0081582B"/>
    <w:rsid w:val="0081699B"/>
    <w:rsid w:val="0082067A"/>
    <w:rsid w:val="0082236E"/>
    <w:rsid w:val="00822B8D"/>
    <w:rsid w:val="00824C3D"/>
    <w:rsid w:val="008250F9"/>
    <w:rsid w:val="0082588D"/>
    <w:rsid w:val="00825898"/>
    <w:rsid w:val="00825C31"/>
    <w:rsid w:val="00826032"/>
    <w:rsid w:val="008261E5"/>
    <w:rsid w:val="00826BA7"/>
    <w:rsid w:val="00826C82"/>
    <w:rsid w:val="00826D92"/>
    <w:rsid w:val="008272F1"/>
    <w:rsid w:val="0083045C"/>
    <w:rsid w:val="00830896"/>
    <w:rsid w:val="0083179B"/>
    <w:rsid w:val="0083328C"/>
    <w:rsid w:val="008334BC"/>
    <w:rsid w:val="00834565"/>
    <w:rsid w:val="00834FC8"/>
    <w:rsid w:val="0083530F"/>
    <w:rsid w:val="00835C56"/>
    <w:rsid w:val="00835DB7"/>
    <w:rsid w:val="00836528"/>
    <w:rsid w:val="00836C51"/>
    <w:rsid w:val="008371A1"/>
    <w:rsid w:val="008373AC"/>
    <w:rsid w:val="00841063"/>
    <w:rsid w:val="008418CD"/>
    <w:rsid w:val="00841ED2"/>
    <w:rsid w:val="00842174"/>
    <w:rsid w:val="008428AD"/>
    <w:rsid w:val="00844CBE"/>
    <w:rsid w:val="0084559A"/>
    <w:rsid w:val="0084629B"/>
    <w:rsid w:val="00846436"/>
    <w:rsid w:val="008464B0"/>
    <w:rsid w:val="00846FF4"/>
    <w:rsid w:val="00847F1C"/>
    <w:rsid w:val="00851C7C"/>
    <w:rsid w:val="0085231B"/>
    <w:rsid w:val="008525BB"/>
    <w:rsid w:val="00852891"/>
    <w:rsid w:val="00852C00"/>
    <w:rsid w:val="008539EE"/>
    <w:rsid w:val="00853DAA"/>
    <w:rsid w:val="00854600"/>
    <w:rsid w:val="00854827"/>
    <w:rsid w:val="008556D9"/>
    <w:rsid w:val="008558A8"/>
    <w:rsid w:val="00855932"/>
    <w:rsid w:val="008561D2"/>
    <w:rsid w:val="00857B70"/>
    <w:rsid w:val="00860202"/>
    <w:rsid w:val="00860A66"/>
    <w:rsid w:val="008610EA"/>
    <w:rsid w:val="0086120C"/>
    <w:rsid w:val="00861272"/>
    <w:rsid w:val="00861392"/>
    <w:rsid w:val="008624E9"/>
    <w:rsid w:val="008625A3"/>
    <w:rsid w:val="00863CA4"/>
    <w:rsid w:val="00865AD4"/>
    <w:rsid w:val="00866727"/>
    <w:rsid w:val="00866908"/>
    <w:rsid w:val="0086730E"/>
    <w:rsid w:val="0086798F"/>
    <w:rsid w:val="00870175"/>
    <w:rsid w:val="00870E4F"/>
    <w:rsid w:val="00871191"/>
    <w:rsid w:val="00871EC6"/>
    <w:rsid w:val="00872198"/>
    <w:rsid w:val="00873638"/>
    <w:rsid w:val="00874C56"/>
    <w:rsid w:val="00874FFF"/>
    <w:rsid w:val="00875170"/>
    <w:rsid w:val="00875678"/>
    <w:rsid w:val="0087617D"/>
    <w:rsid w:val="00876455"/>
    <w:rsid w:val="00876C6F"/>
    <w:rsid w:val="00876C8B"/>
    <w:rsid w:val="008809A2"/>
    <w:rsid w:val="00880A62"/>
    <w:rsid w:val="008810A8"/>
    <w:rsid w:val="00882475"/>
    <w:rsid w:val="00883929"/>
    <w:rsid w:val="008847AF"/>
    <w:rsid w:val="008851CA"/>
    <w:rsid w:val="008857C4"/>
    <w:rsid w:val="00887981"/>
    <w:rsid w:val="00890180"/>
    <w:rsid w:val="008903AD"/>
    <w:rsid w:val="00890C2B"/>
    <w:rsid w:val="008912A1"/>
    <w:rsid w:val="00892667"/>
    <w:rsid w:val="00894077"/>
    <w:rsid w:val="0089471C"/>
    <w:rsid w:val="00895786"/>
    <w:rsid w:val="008957DE"/>
    <w:rsid w:val="00895AC6"/>
    <w:rsid w:val="008962FE"/>
    <w:rsid w:val="00896740"/>
    <w:rsid w:val="0089687F"/>
    <w:rsid w:val="00896C17"/>
    <w:rsid w:val="00896EAA"/>
    <w:rsid w:val="00897489"/>
    <w:rsid w:val="00897B62"/>
    <w:rsid w:val="008A0CCB"/>
    <w:rsid w:val="008A112F"/>
    <w:rsid w:val="008A4E29"/>
    <w:rsid w:val="008A5070"/>
    <w:rsid w:val="008A5585"/>
    <w:rsid w:val="008B03C8"/>
    <w:rsid w:val="008B0677"/>
    <w:rsid w:val="008B1732"/>
    <w:rsid w:val="008B1BFF"/>
    <w:rsid w:val="008B2F44"/>
    <w:rsid w:val="008B4A55"/>
    <w:rsid w:val="008B50F9"/>
    <w:rsid w:val="008B64E7"/>
    <w:rsid w:val="008B68CC"/>
    <w:rsid w:val="008B6AB8"/>
    <w:rsid w:val="008B6E5C"/>
    <w:rsid w:val="008B6F6E"/>
    <w:rsid w:val="008B7BD5"/>
    <w:rsid w:val="008C03B0"/>
    <w:rsid w:val="008C26C6"/>
    <w:rsid w:val="008C44DA"/>
    <w:rsid w:val="008C68B1"/>
    <w:rsid w:val="008C6B93"/>
    <w:rsid w:val="008D04BC"/>
    <w:rsid w:val="008D1895"/>
    <w:rsid w:val="008D20BE"/>
    <w:rsid w:val="008D323E"/>
    <w:rsid w:val="008D3F02"/>
    <w:rsid w:val="008D406B"/>
    <w:rsid w:val="008D507C"/>
    <w:rsid w:val="008D58EF"/>
    <w:rsid w:val="008D60CB"/>
    <w:rsid w:val="008D7DE0"/>
    <w:rsid w:val="008E250C"/>
    <w:rsid w:val="008E2AE5"/>
    <w:rsid w:val="008E4225"/>
    <w:rsid w:val="008E7BE7"/>
    <w:rsid w:val="008E7EFE"/>
    <w:rsid w:val="008F0BAE"/>
    <w:rsid w:val="008F20DA"/>
    <w:rsid w:val="008F214E"/>
    <w:rsid w:val="008F2631"/>
    <w:rsid w:val="008F3292"/>
    <w:rsid w:val="008F329B"/>
    <w:rsid w:val="008F34CA"/>
    <w:rsid w:val="008F3AA0"/>
    <w:rsid w:val="008F5B26"/>
    <w:rsid w:val="008F5F20"/>
    <w:rsid w:val="008F627D"/>
    <w:rsid w:val="008F6296"/>
    <w:rsid w:val="008F674D"/>
    <w:rsid w:val="008F7761"/>
    <w:rsid w:val="0090078C"/>
    <w:rsid w:val="00901043"/>
    <w:rsid w:val="00901781"/>
    <w:rsid w:val="009037B9"/>
    <w:rsid w:val="00905043"/>
    <w:rsid w:val="00905E95"/>
    <w:rsid w:val="00906CFE"/>
    <w:rsid w:val="00907159"/>
    <w:rsid w:val="00907B7C"/>
    <w:rsid w:val="0091107E"/>
    <w:rsid w:val="009118C6"/>
    <w:rsid w:val="00911CB7"/>
    <w:rsid w:val="0091231C"/>
    <w:rsid w:val="00912C08"/>
    <w:rsid w:val="00913FA6"/>
    <w:rsid w:val="00914E87"/>
    <w:rsid w:val="0091555A"/>
    <w:rsid w:val="00916346"/>
    <w:rsid w:val="00917297"/>
    <w:rsid w:val="009176E3"/>
    <w:rsid w:val="00920D08"/>
    <w:rsid w:val="0092217D"/>
    <w:rsid w:val="009239A1"/>
    <w:rsid w:val="00924F91"/>
    <w:rsid w:val="0092739C"/>
    <w:rsid w:val="009276B1"/>
    <w:rsid w:val="0093004B"/>
    <w:rsid w:val="00930102"/>
    <w:rsid w:val="00930721"/>
    <w:rsid w:val="0093096A"/>
    <w:rsid w:val="00930A69"/>
    <w:rsid w:val="009318A0"/>
    <w:rsid w:val="0093190C"/>
    <w:rsid w:val="0093198F"/>
    <w:rsid w:val="00931AA3"/>
    <w:rsid w:val="009328DC"/>
    <w:rsid w:val="00932FAE"/>
    <w:rsid w:val="0093447A"/>
    <w:rsid w:val="009349EE"/>
    <w:rsid w:val="00936CE6"/>
    <w:rsid w:val="009373E8"/>
    <w:rsid w:val="00940A53"/>
    <w:rsid w:val="00940CAA"/>
    <w:rsid w:val="0094182F"/>
    <w:rsid w:val="009427AE"/>
    <w:rsid w:val="009446F2"/>
    <w:rsid w:val="009449CD"/>
    <w:rsid w:val="00944C9A"/>
    <w:rsid w:val="00945709"/>
    <w:rsid w:val="00946309"/>
    <w:rsid w:val="00946790"/>
    <w:rsid w:val="00946AD8"/>
    <w:rsid w:val="00947D2D"/>
    <w:rsid w:val="00947D93"/>
    <w:rsid w:val="00950626"/>
    <w:rsid w:val="009509F8"/>
    <w:rsid w:val="00951E50"/>
    <w:rsid w:val="00952709"/>
    <w:rsid w:val="0095308B"/>
    <w:rsid w:val="00954E71"/>
    <w:rsid w:val="00956E4A"/>
    <w:rsid w:val="00956ED4"/>
    <w:rsid w:val="0096019C"/>
    <w:rsid w:val="00960216"/>
    <w:rsid w:val="0096063A"/>
    <w:rsid w:val="009617CA"/>
    <w:rsid w:val="009619B1"/>
    <w:rsid w:val="00961AA4"/>
    <w:rsid w:val="00961BD3"/>
    <w:rsid w:val="00963472"/>
    <w:rsid w:val="0096400C"/>
    <w:rsid w:val="00964330"/>
    <w:rsid w:val="009644AB"/>
    <w:rsid w:val="009662EB"/>
    <w:rsid w:val="009679F5"/>
    <w:rsid w:val="00971091"/>
    <w:rsid w:val="0097178F"/>
    <w:rsid w:val="00972398"/>
    <w:rsid w:val="00973B62"/>
    <w:rsid w:val="00974AA0"/>
    <w:rsid w:val="00974FBE"/>
    <w:rsid w:val="00975FF1"/>
    <w:rsid w:val="00976314"/>
    <w:rsid w:val="0097688A"/>
    <w:rsid w:val="00976B38"/>
    <w:rsid w:val="00976D4C"/>
    <w:rsid w:val="0097760D"/>
    <w:rsid w:val="00977B59"/>
    <w:rsid w:val="00977D73"/>
    <w:rsid w:val="009803C7"/>
    <w:rsid w:val="00980BC6"/>
    <w:rsid w:val="00981FE7"/>
    <w:rsid w:val="00982B01"/>
    <w:rsid w:val="009849E9"/>
    <w:rsid w:val="00985541"/>
    <w:rsid w:val="00985ED0"/>
    <w:rsid w:val="009863AB"/>
    <w:rsid w:val="00986997"/>
    <w:rsid w:val="00987414"/>
    <w:rsid w:val="00987B70"/>
    <w:rsid w:val="00990601"/>
    <w:rsid w:val="0099070A"/>
    <w:rsid w:val="009912E4"/>
    <w:rsid w:val="00994C4D"/>
    <w:rsid w:val="00995C7A"/>
    <w:rsid w:val="0099783B"/>
    <w:rsid w:val="009A0042"/>
    <w:rsid w:val="009A0129"/>
    <w:rsid w:val="009A2656"/>
    <w:rsid w:val="009A31A4"/>
    <w:rsid w:val="009A53B5"/>
    <w:rsid w:val="009A549A"/>
    <w:rsid w:val="009A6A5E"/>
    <w:rsid w:val="009A6B5B"/>
    <w:rsid w:val="009A6D1D"/>
    <w:rsid w:val="009A7229"/>
    <w:rsid w:val="009B0F6E"/>
    <w:rsid w:val="009B166D"/>
    <w:rsid w:val="009B16C1"/>
    <w:rsid w:val="009B1972"/>
    <w:rsid w:val="009B2E34"/>
    <w:rsid w:val="009B467A"/>
    <w:rsid w:val="009B4A5C"/>
    <w:rsid w:val="009B59F1"/>
    <w:rsid w:val="009B5E09"/>
    <w:rsid w:val="009B6B14"/>
    <w:rsid w:val="009B6ED6"/>
    <w:rsid w:val="009B6F67"/>
    <w:rsid w:val="009B6F68"/>
    <w:rsid w:val="009B70F3"/>
    <w:rsid w:val="009B72BC"/>
    <w:rsid w:val="009B7433"/>
    <w:rsid w:val="009B7BA2"/>
    <w:rsid w:val="009C0505"/>
    <w:rsid w:val="009C109E"/>
    <w:rsid w:val="009C2483"/>
    <w:rsid w:val="009C29B2"/>
    <w:rsid w:val="009C2F06"/>
    <w:rsid w:val="009C4CAD"/>
    <w:rsid w:val="009C5409"/>
    <w:rsid w:val="009D0AFA"/>
    <w:rsid w:val="009D2266"/>
    <w:rsid w:val="009D375C"/>
    <w:rsid w:val="009D523D"/>
    <w:rsid w:val="009D6BC6"/>
    <w:rsid w:val="009D7558"/>
    <w:rsid w:val="009D7B70"/>
    <w:rsid w:val="009E274F"/>
    <w:rsid w:val="009E28E5"/>
    <w:rsid w:val="009E2BCC"/>
    <w:rsid w:val="009E3F8D"/>
    <w:rsid w:val="009E51DE"/>
    <w:rsid w:val="009E550D"/>
    <w:rsid w:val="009E599C"/>
    <w:rsid w:val="009E619F"/>
    <w:rsid w:val="009F127F"/>
    <w:rsid w:val="009F1A98"/>
    <w:rsid w:val="009F23AE"/>
    <w:rsid w:val="009F56F4"/>
    <w:rsid w:val="009F5DCB"/>
    <w:rsid w:val="009F5DF1"/>
    <w:rsid w:val="009F5E37"/>
    <w:rsid w:val="009F63AF"/>
    <w:rsid w:val="009F7A8A"/>
    <w:rsid w:val="00A004A5"/>
    <w:rsid w:val="00A01362"/>
    <w:rsid w:val="00A0142A"/>
    <w:rsid w:val="00A01E62"/>
    <w:rsid w:val="00A020E4"/>
    <w:rsid w:val="00A02221"/>
    <w:rsid w:val="00A0427F"/>
    <w:rsid w:val="00A04497"/>
    <w:rsid w:val="00A04F23"/>
    <w:rsid w:val="00A0504C"/>
    <w:rsid w:val="00A061AE"/>
    <w:rsid w:val="00A06BFC"/>
    <w:rsid w:val="00A07596"/>
    <w:rsid w:val="00A11704"/>
    <w:rsid w:val="00A11B72"/>
    <w:rsid w:val="00A12EB7"/>
    <w:rsid w:val="00A134E0"/>
    <w:rsid w:val="00A152FA"/>
    <w:rsid w:val="00A15D6F"/>
    <w:rsid w:val="00A1782C"/>
    <w:rsid w:val="00A21C02"/>
    <w:rsid w:val="00A22032"/>
    <w:rsid w:val="00A22254"/>
    <w:rsid w:val="00A22535"/>
    <w:rsid w:val="00A229D2"/>
    <w:rsid w:val="00A23FC0"/>
    <w:rsid w:val="00A24140"/>
    <w:rsid w:val="00A2483C"/>
    <w:rsid w:val="00A25306"/>
    <w:rsid w:val="00A25A27"/>
    <w:rsid w:val="00A26E66"/>
    <w:rsid w:val="00A27078"/>
    <w:rsid w:val="00A278A9"/>
    <w:rsid w:val="00A30242"/>
    <w:rsid w:val="00A30604"/>
    <w:rsid w:val="00A32704"/>
    <w:rsid w:val="00A32A9C"/>
    <w:rsid w:val="00A33EEE"/>
    <w:rsid w:val="00A350FF"/>
    <w:rsid w:val="00A35844"/>
    <w:rsid w:val="00A35E11"/>
    <w:rsid w:val="00A37A2A"/>
    <w:rsid w:val="00A37DD2"/>
    <w:rsid w:val="00A40E46"/>
    <w:rsid w:val="00A41161"/>
    <w:rsid w:val="00A4300C"/>
    <w:rsid w:val="00A43790"/>
    <w:rsid w:val="00A45BCF"/>
    <w:rsid w:val="00A45D71"/>
    <w:rsid w:val="00A47506"/>
    <w:rsid w:val="00A479D5"/>
    <w:rsid w:val="00A47BDE"/>
    <w:rsid w:val="00A50177"/>
    <w:rsid w:val="00A50440"/>
    <w:rsid w:val="00A51117"/>
    <w:rsid w:val="00A51A2B"/>
    <w:rsid w:val="00A52512"/>
    <w:rsid w:val="00A538D3"/>
    <w:rsid w:val="00A55433"/>
    <w:rsid w:val="00A6077C"/>
    <w:rsid w:val="00A628AD"/>
    <w:rsid w:val="00A6333E"/>
    <w:rsid w:val="00A64456"/>
    <w:rsid w:val="00A648DD"/>
    <w:rsid w:val="00A64927"/>
    <w:rsid w:val="00A64963"/>
    <w:rsid w:val="00A651A6"/>
    <w:rsid w:val="00A67E1D"/>
    <w:rsid w:val="00A700E2"/>
    <w:rsid w:val="00A706D0"/>
    <w:rsid w:val="00A72747"/>
    <w:rsid w:val="00A737E5"/>
    <w:rsid w:val="00A738F1"/>
    <w:rsid w:val="00A73B69"/>
    <w:rsid w:val="00A743D3"/>
    <w:rsid w:val="00A7484C"/>
    <w:rsid w:val="00A769B4"/>
    <w:rsid w:val="00A77840"/>
    <w:rsid w:val="00A779B2"/>
    <w:rsid w:val="00A8044E"/>
    <w:rsid w:val="00A80762"/>
    <w:rsid w:val="00A81585"/>
    <w:rsid w:val="00A817A3"/>
    <w:rsid w:val="00A8260F"/>
    <w:rsid w:val="00A82DA7"/>
    <w:rsid w:val="00A85879"/>
    <w:rsid w:val="00A860A0"/>
    <w:rsid w:val="00A86343"/>
    <w:rsid w:val="00A8652D"/>
    <w:rsid w:val="00A87436"/>
    <w:rsid w:val="00A87A69"/>
    <w:rsid w:val="00A907C9"/>
    <w:rsid w:val="00A90F7C"/>
    <w:rsid w:val="00A92711"/>
    <w:rsid w:val="00A929B5"/>
    <w:rsid w:val="00A92AE9"/>
    <w:rsid w:val="00A92B9C"/>
    <w:rsid w:val="00A93033"/>
    <w:rsid w:val="00A932B9"/>
    <w:rsid w:val="00A93654"/>
    <w:rsid w:val="00A93657"/>
    <w:rsid w:val="00A94A51"/>
    <w:rsid w:val="00A94C2C"/>
    <w:rsid w:val="00A970D6"/>
    <w:rsid w:val="00A97615"/>
    <w:rsid w:val="00A97778"/>
    <w:rsid w:val="00AA0184"/>
    <w:rsid w:val="00AA05B4"/>
    <w:rsid w:val="00AA1221"/>
    <w:rsid w:val="00AA1277"/>
    <w:rsid w:val="00AA3591"/>
    <w:rsid w:val="00AA6419"/>
    <w:rsid w:val="00AA762D"/>
    <w:rsid w:val="00AB0E2B"/>
    <w:rsid w:val="00AB359A"/>
    <w:rsid w:val="00AB392B"/>
    <w:rsid w:val="00AB3C09"/>
    <w:rsid w:val="00AB40C3"/>
    <w:rsid w:val="00AB59AE"/>
    <w:rsid w:val="00AB5D2B"/>
    <w:rsid w:val="00AB60C4"/>
    <w:rsid w:val="00AB736C"/>
    <w:rsid w:val="00AB7597"/>
    <w:rsid w:val="00AB7602"/>
    <w:rsid w:val="00AC032C"/>
    <w:rsid w:val="00AC04B6"/>
    <w:rsid w:val="00AC1D8C"/>
    <w:rsid w:val="00AC1E83"/>
    <w:rsid w:val="00AC1FFA"/>
    <w:rsid w:val="00AC3436"/>
    <w:rsid w:val="00AC3A90"/>
    <w:rsid w:val="00AC4A70"/>
    <w:rsid w:val="00AC51D0"/>
    <w:rsid w:val="00AC53B1"/>
    <w:rsid w:val="00AC61BB"/>
    <w:rsid w:val="00AC6E72"/>
    <w:rsid w:val="00AD01B7"/>
    <w:rsid w:val="00AD0C91"/>
    <w:rsid w:val="00AD1D68"/>
    <w:rsid w:val="00AD2E4D"/>
    <w:rsid w:val="00AD3ABC"/>
    <w:rsid w:val="00AD4F30"/>
    <w:rsid w:val="00AD72DA"/>
    <w:rsid w:val="00AE0D77"/>
    <w:rsid w:val="00AE1100"/>
    <w:rsid w:val="00AE14D1"/>
    <w:rsid w:val="00AE1FA5"/>
    <w:rsid w:val="00AE216C"/>
    <w:rsid w:val="00AE2DD4"/>
    <w:rsid w:val="00AE3148"/>
    <w:rsid w:val="00AE334C"/>
    <w:rsid w:val="00AE346F"/>
    <w:rsid w:val="00AE3940"/>
    <w:rsid w:val="00AE4049"/>
    <w:rsid w:val="00AE6744"/>
    <w:rsid w:val="00AE68D6"/>
    <w:rsid w:val="00AE70C2"/>
    <w:rsid w:val="00AF02F6"/>
    <w:rsid w:val="00AF0ABE"/>
    <w:rsid w:val="00AF0F13"/>
    <w:rsid w:val="00AF1388"/>
    <w:rsid w:val="00AF1E52"/>
    <w:rsid w:val="00AF2D3D"/>
    <w:rsid w:val="00AF334F"/>
    <w:rsid w:val="00AF38AA"/>
    <w:rsid w:val="00AF457C"/>
    <w:rsid w:val="00AF464F"/>
    <w:rsid w:val="00AF5008"/>
    <w:rsid w:val="00AF6F5A"/>
    <w:rsid w:val="00AF72B3"/>
    <w:rsid w:val="00B0014B"/>
    <w:rsid w:val="00B00243"/>
    <w:rsid w:val="00B004CE"/>
    <w:rsid w:val="00B01A3B"/>
    <w:rsid w:val="00B01B70"/>
    <w:rsid w:val="00B01E08"/>
    <w:rsid w:val="00B01E5D"/>
    <w:rsid w:val="00B0223E"/>
    <w:rsid w:val="00B02915"/>
    <w:rsid w:val="00B033ED"/>
    <w:rsid w:val="00B048CB"/>
    <w:rsid w:val="00B06790"/>
    <w:rsid w:val="00B07EEB"/>
    <w:rsid w:val="00B07F33"/>
    <w:rsid w:val="00B10D94"/>
    <w:rsid w:val="00B12158"/>
    <w:rsid w:val="00B12352"/>
    <w:rsid w:val="00B12BD5"/>
    <w:rsid w:val="00B13FF8"/>
    <w:rsid w:val="00B14514"/>
    <w:rsid w:val="00B15516"/>
    <w:rsid w:val="00B15734"/>
    <w:rsid w:val="00B158B9"/>
    <w:rsid w:val="00B15CFE"/>
    <w:rsid w:val="00B15DF3"/>
    <w:rsid w:val="00B16353"/>
    <w:rsid w:val="00B16ACB"/>
    <w:rsid w:val="00B16D3C"/>
    <w:rsid w:val="00B175FD"/>
    <w:rsid w:val="00B17F58"/>
    <w:rsid w:val="00B20645"/>
    <w:rsid w:val="00B20BE7"/>
    <w:rsid w:val="00B22AC9"/>
    <w:rsid w:val="00B2331C"/>
    <w:rsid w:val="00B23486"/>
    <w:rsid w:val="00B23525"/>
    <w:rsid w:val="00B243D6"/>
    <w:rsid w:val="00B244B8"/>
    <w:rsid w:val="00B24CA5"/>
    <w:rsid w:val="00B254DF"/>
    <w:rsid w:val="00B27229"/>
    <w:rsid w:val="00B2774D"/>
    <w:rsid w:val="00B318D3"/>
    <w:rsid w:val="00B31D44"/>
    <w:rsid w:val="00B354FF"/>
    <w:rsid w:val="00B357F4"/>
    <w:rsid w:val="00B35AC0"/>
    <w:rsid w:val="00B35EA5"/>
    <w:rsid w:val="00B3617E"/>
    <w:rsid w:val="00B36869"/>
    <w:rsid w:val="00B36D9B"/>
    <w:rsid w:val="00B37E13"/>
    <w:rsid w:val="00B4026A"/>
    <w:rsid w:val="00B40326"/>
    <w:rsid w:val="00B40D1D"/>
    <w:rsid w:val="00B40E0B"/>
    <w:rsid w:val="00B40F33"/>
    <w:rsid w:val="00B4242E"/>
    <w:rsid w:val="00B4374A"/>
    <w:rsid w:val="00B44C93"/>
    <w:rsid w:val="00B45254"/>
    <w:rsid w:val="00B45716"/>
    <w:rsid w:val="00B4733C"/>
    <w:rsid w:val="00B47FBD"/>
    <w:rsid w:val="00B50354"/>
    <w:rsid w:val="00B529B0"/>
    <w:rsid w:val="00B5306B"/>
    <w:rsid w:val="00B544C0"/>
    <w:rsid w:val="00B574D9"/>
    <w:rsid w:val="00B57B40"/>
    <w:rsid w:val="00B60441"/>
    <w:rsid w:val="00B60685"/>
    <w:rsid w:val="00B6182C"/>
    <w:rsid w:val="00B62384"/>
    <w:rsid w:val="00B6250B"/>
    <w:rsid w:val="00B63545"/>
    <w:rsid w:val="00B63DD2"/>
    <w:rsid w:val="00B63F5B"/>
    <w:rsid w:val="00B64680"/>
    <w:rsid w:val="00B65188"/>
    <w:rsid w:val="00B65210"/>
    <w:rsid w:val="00B65223"/>
    <w:rsid w:val="00B6537E"/>
    <w:rsid w:val="00B70D8F"/>
    <w:rsid w:val="00B71150"/>
    <w:rsid w:val="00B7164A"/>
    <w:rsid w:val="00B71A8F"/>
    <w:rsid w:val="00B7228F"/>
    <w:rsid w:val="00B72C5E"/>
    <w:rsid w:val="00B73D55"/>
    <w:rsid w:val="00B73E3E"/>
    <w:rsid w:val="00B74D4C"/>
    <w:rsid w:val="00B7627D"/>
    <w:rsid w:val="00B7631C"/>
    <w:rsid w:val="00B76531"/>
    <w:rsid w:val="00B8035B"/>
    <w:rsid w:val="00B80A9E"/>
    <w:rsid w:val="00B80F36"/>
    <w:rsid w:val="00B824F8"/>
    <w:rsid w:val="00B82DFA"/>
    <w:rsid w:val="00B837E7"/>
    <w:rsid w:val="00B8463E"/>
    <w:rsid w:val="00B847C5"/>
    <w:rsid w:val="00B855E1"/>
    <w:rsid w:val="00B86955"/>
    <w:rsid w:val="00B87A69"/>
    <w:rsid w:val="00B92DF4"/>
    <w:rsid w:val="00B93058"/>
    <w:rsid w:val="00B933E4"/>
    <w:rsid w:val="00B935CF"/>
    <w:rsid w:val="00B93A85"/>
    <w:rsid w:val="00B94024"/>
    <w:rsid w:val="00B943CB"/>
    <w:rsid w:val="00B94786"/>
    <w:rsid w:val="00B94A0D"/>
    <w:rsid w:val="00B9554C"/>
    <w:rsid w:val="00B95587"/>
    <w:rsid w:val="00B957EC"/>
    <w:rsid w:val="00B95A04"/>
    <w:rsid w:val="00B96807"/>
    <w:rsid w:val="00B96B84"/>
    <w:rsid w:val="00B97466"/>
    <w:rsid w:val="00B974AB"/>
    <w:rsid w:val="00B977FC"/>
    <w:rsid w:val="00BA0483"/>
    <w:rsid w:val="00BA097E"/>
    <w:rsid w:val="00BA09FE"/>
    <w:rsid w:val="00BA105B"/>
    <w:rsid w:val="00BA14C0"/>
    <w:rsid w:val="00BA19FE"/>
    <w:rsid w:val="00BA1C7F"/>
    <w:rsid w:val="00BA2053"/>
    <w:rsid w:val="00BA2FBA"/>
    <w:rsid w:val="00BA4009"/>
    <w:rsid w:val="00BA65E2"/>
    <w:rsid w:val="00BB05CE"/>
    <w:rsid w:val="00BB13FE"/>
    <w:rsid w:val="00BB1597"/>
    <w:rsid w:val="00BB1BE8"/>
    <w:rsid w:val="00BB2AFD"/>
    <w:rsid w:val="00BB49A3"/>
    <w:rsid w:val="00BB50B8"/>
    <w:rsid w:val="00BB516F"/>
    <w:rsid w:val="00BB52BD"/>
    <w:rsid w:val="00BB5591"/>
    <w:rsid w:val="00BB73B1"/>
    <w:rsid w:val="00BB7EBA"/>
    <w:rsid w:val="00BC0167"/>
    <w:rsid w:val="00BC0C7B"/>
    <w:rsid w:val="00BC1ED8"/>
    <w:rsid w:val="00BC2772"/>
    <w:rsid w:val="00BC3AA4"/>
    <w:rsid w:val="00BC3DA1"/>
    <w:rsid w:val="00BC439E"/>
    <w:rsid w:val="00BC4721"/>
    <w:rsid w:val="00BC58D8"/>
    <w:rsid w:val="00BC5E6A"/>
    <w:rsid w:val="00BC6B69"/>
    <w:rsid w:val="00BC706D"/>
    <w:rsid w:val="00BC7A7D"/>
    <w:rsid w:val="00BD0A61"/>
    <w:rsid w:val="00BD1CC8"/>
    <w:rsid w:val="00BD25B9"/>
    <w:rsid w:val="00BD25D0"/>
    <w:rsid w:val="00BD49FA"/>
    <w:rsid w:val="00BD524B"/>
    <w:rsid w:val="00BD5E53"/>
    <w:rsid w:val="00BD7931"/>
    <w:rsid w:val="00BD7D6A"/>
    <w:rsid w:val="00BE003F"/>
    <w:rsid w:val="00BE0738"/>
    <w:rsid w:val="00BE08AE"/>
    <w:rsid w:val="00BE0C0A"/>
    <w:rsid w:val="00BE0D91"/>
    <w:rsid w:val="00BE1DCB"/>
    <w:rsid w:val="00BE6D35"/>
    <w:rsid w:val="00BE7EC5"/>
    <w:rsid w:val="00BF00DC"/>
    <w:rsid w:val="00BF04A8"/>
    <w:rsid w:val="00BF0D15"/>
    <w:rsid w:val="00BF24F0"/>
    <w:rsid w:val="00BF3733"/>
    <w:rsid w:val="00BF424F"/>
    <w:rsid w:val="00BF45F5"/>
    <w:rsid w:val="00BF46B8"/>
    <w:rsid w:val="00BF4DBE"/>
    <w:rsid w:val="00BF5C04"/>
    <w:rsid w:val="00BF69D6"/>
    <w:rsid w:val="00BF70B3"/>
    <w:rsid w:val="00BF7F79"/>
    <w:rsid w:val="00C013E1"/>
    <w:rsid w:val="00C01435"/>
    <w:rsid w:val="00C02B9D"/>
    <w:rsid w:val="00C03356"/>
    <w:rsid w:val="00C04412"/>
    <w:rsid w:val="00C04BCC"/>
    <w:rsid w:val="00C05796"/>
    <w:rsid w:val="00C05AA7"/>
    <w:rsid w:val="00C05B81"/>
    <w:rsid w:val="00C0781B"/>
    <w:rsid w:val="00C079E9"/>
    <w:rsid w:val="00C10476"/>
    <w:rsid w:val="00C10C5C"/>
    <w:rsid w:val="00C13C41"/>
    <w:rsid w:val="00C14B30"/>
    <w:rsid w:val="00C14C4D"/>
    <w:rsid w:val="00C150A8"/>
    <w:rsid w:val="00C16130"/>
    <w:rsid w:val="00C162F2"/>
    <w:rsid w:val="00C20267"/>
    <w:rsid w:val="00C2073B"/>
    <w:rsid w:val="00C20BBB"/>
    <w:rsid w:val="00C21B2A"/>
    <w:rsid w:val="00C21F46"/>
    <w:rsid w:val="00C22AC3"/>
    <w:rsid w:val="00C23940"/>
    <w:rsid w:val="00C23A43"/>
    <w:rsid w:val="00C24CD9"/>
    <w:rsid w:val="00C25C54"/>
    <w:rsid w:val="00C3030A"/>
    <w:rsid w:val="00C329ED"/>
    <w:rsid w:val="00C33B3F"/>
    <w:rsid w:val="00C34985"/>
    <w:rsid w:val="00C3696B"/>
    <w:rsid w:val="00C36F76"/>
    <w:rsid w:val="00C406C2"/>
    <w:rsid w:val="00C40A82"/>
    <w:rsid w:val="00C41796"/>
    <w:rsid w:val="00C43029"/>
    <w:rsid w:val="00C43040"/>
    <w:rsid w:val="00C440B1"/>
    <w:rsid w:val="00C44379"/>
    <w:rsid w:val="00C44846"/>
    <w:rsid w:val="00C44D26"/>
    <w:rsid w:val="00C45960"/>
    <w:rsid w:val="00C45D92"/>
    <w:rsid w:val="00C4657C"/>
    <w:rsid w:val="00C46B9F"/>
    <w:rsid w:val="00C46E96"/>
    <w:rsid w:val="00C47217"/>
    <w:rsid w:val="00C474D6"/>
    <w:rsid w:val="00C477ED"/>
    <w:rsid w:val="00C47B1F"/>
    <w:rsid w:val="00C47EBE"/>
    <w:rsid w:val="00C51C54"/>
    <w:rsid w:val="00C535F2"/>
    <w:rsid w:val="00C5457F"/>
    <w:rsid w:val="00C5491C"/>
    <w:rsid w:val="00C54AD3"/>
    <w:rsid w:val="00C54AF8"/>
    <w:rsid w:val="00C554E2"/>
    <w:rsid w:val="00C5576F"/>
    <w:rsid w:val="00C57899"/>
    <w:rsid w:val="00C57AF3"/>
    <w:rsid w:val="00C57EE3"/>
    <w:rsid w:val="00C60229"/>
    <w:rsid w:val="00C60633"/>
    <w:rsid w:val="00C63712"/>
    <w:rsid w:val="00C65BFF"/>
    <w:rsid w:val="00C672FA"/>
    <w:rsid w:val="00C67655"/>
    <w:rsid w:val="00C7018F"/>
    <w:rsid w:val="00C70AC5"/>
    <w:rsid w:val="00C7153E"/>
    <w:rsid w:val="00C7468C"/>
    <w:rsid w:val="00C75121"/>
    <w:rsid w:val="00C75BB4"/>
    <w:rsid w:val="00C75C26"/>
    <w:rsid w:val="00C77B36"/>
    <w:rsid w:val="00C80206"/>
    <w:rsid w:val="00C823FC"/>
    <w:rsid w:val="00C82B75"/>
    <w:rsid w:val="00C83C5D"/>
    <w:rsid w:val="00C848E9"/>
    <w:rsid w:val="00C854DD"/>
    <w:rsid w:val="00C85741"/>
    <w:rsid w:val="00C86562"/>
    <w:rsid w:val="00C86713"/>
    <w:rsid w:val="00C86E4F"/>
    <w:rsid w:val="00C90221"/>
    <w:rsid w:val="00C90668"/>
    <w:rsid w:val="00C92CDC"/>
    <w:rsid w:val="00C92DCF"/>
    <w:rsid w:val="00C977E9"/>
    <w:rsid w:val="00C97C1C"/>
    <w:rsid w:val="00CA0121"/>
    <w:rsid w:val="00CA01CF"/>
    <w:rsid w:val="00CA0DD1"/>
    <w:rsid w:val="00CA214A"/>
    <w:rsid w:val="00CA23B4"/>
    <w:rsid w:val="00CA3FD9"/>
    <w:rsid w:val="00CA47FF"/>
    <w:rsid w:val="00CA5622"/>
    <w:rsid w:val="00CA61A6"/>
    <w:rsid w:val="00CA620D"/>
    <w:rsid w:val="00CA6CA5"/>
    <w:rsid w:val="00CA7ECD"/>
    <w:rsid w:val="00CB2400"/>
    <w:rsid w:val="00CB2814"/>
    <w:rsid w:val="00CB3355"/>
    <w:rsid w:val="00CB3BD0"/>
    <w:rsid w:val="00CB44FF"/>
    <w:rsid w:val="00CB6357"/>
    <w:rsid w:val="00CB64C5"/>
    <w:rsid w:val="00CB70E5"/>
    <w:rsid w:val="00CC0887"/>
    <w:rsid w:val="00CC1480"/>
    <w:rsid w:val="00CC23E9"/>
    <w:rsid w:val="00CC2CD5"/>
    <w:rsid w:val="00CC4495"/>
    <w:rsid w:val="00CC4651"/>
    <w:rsid w:val="00CC6DCB"/>
    <w:rsid w:val="00CC75D8"/>
    <w:rsid w:val="00CC7D25"/>
    <w:rsid w:val="00CD0416"/>
    <w:rsid w:val="00CD09A1"/>
    <w:rsid w:val="00CD1F3C"/>
    <w:rsid w:val="00CD1F55"/>
    <w:rsid w:val="00CD406F"/>
    <w:rsid w:val="00CD4B93"/>
    <w:rsid w:val="00CD4F31"/>
    <w:rsid w:val="00CD613D"/>
    <w:rsid w:val="00CD75AE"/>
    <w:rsid w:val="00CD7767"/>
    <w:rsid w:val="00CD7E05"/>
    <w:rsid w:val="00CE1395"/>
    <w:rsid w:val="00CE1B3F"/>
    <w:rsid w:val="00CE3D14"/>
    <w:rsid w:val="00CE3F3A"/>
    <w:rsid w:val="00CE48E2"/>
    <w:rsid w:val="00CE527B"/>
    <w:rsid w:val="00CE5508"/>
    <w:rsid w:val="00CE573B"/>
    <w:rsid w:val="00CE5BE1"/>
    <w:rsid w:val="00CE67A3"/>
    <w:rsid w:val="00CE714E"/>
    <w:rsid w:val="00CF000B"/>
    <w:rsid w:val="00CF0529"/>
    <w:rsid w:val="00CF1398"/>
    <w:rsid w:val="00CF3713"/>
    <w:rsid w:val="00CF3AFE"/>
    <w:rsid w:val="00CF50DE"/>
    <w:rsid w:val="00CF5500"/>
    <w:rsid w:val="00CF5775"/>
    <w:rsid w:val="00CF5FF0"/>
    <w:rsid w:val="00CF604B"/>
    <w:rsid w:val="00CF69D1"/>
    <w:rsid w:val="00CF6F4D"/>
    <w:rsid w:val="00CF705E"/>
    <w:rsid w:val="00CF72C2"/>
    <w:rsid w:val="00CF7EC8"/>
    <w:rsid w:val="00D01124"/>
    <w:rsid w:val="00D01C85"/>
    <w:rsid w:val="00D01D60"/>
    <w:rsid w:val="00D01F8A"/>
    <w:rsid w:val="00D04CA0"/>
    <w:rsid w:val="00D05C40"/>
    <w:rsid w:val="00D067E9"/>
    <w:rsid w:val="00D06997"/>
    <w:rsid w:val="00D07C62"/>
    <w:rsid w:val="00D10AA3"/>
    <w:rsid w:val="00D11C86"/>
    <w:rsid w:val="00D122FB"/>
    <w:rsid w:val="00D12D43"/>
    <w:rsid w:val="00D1465A"/>
    <w:rsid w:val="00D15E53"/>
    <w:rsid w:val="00D1637E"/>
    <w:rsid w:val="00D1689E"/>
    <w:rsid w:val="00D1778D"/>
    <w:rsid w:val="00D17DCD"/>
    <w:rsid w:val="00D205FD"/>
    <w:rsid w:val="00D20F34"/>
    <w:rsid w:val="00D2110B"/>
    <w:rsid w:val="00D25A00"/>
    <w:rsid w:val="00D25C26"/>
    <w:rsid w:val="00D25EED"/>
    <w:rsid w:val="00D26A5C"/>
    <w:rsid w:val="00D26D65"/>
    <w:rsid w:val="00D3004F"/>
    <w:rsid w:val="00D305EA"/>
    <w:rsid w:val="00D33EBD"/>
    <w:rsid w:val="00D34EFB"/>
    <w:rsid w:val="00D35775"/>
    <w:rsid w:val="00D35778"/>
    <w:rsid w:val="00D35DBF"/>
    <w:rsid w:val="00D36033"/>
    <w:rsid w:val="00D37F12"/>
    <w:rsid w:val="00D40788"/>
    <w:rsid w:val="00D4167E"/>
    <w:rsid w:val="00D41C29"/>
    <w:rsid w:val="00D435EC"/>
    <w:rsid w:val="00D437E1"/>
    <w:rsid w:val="00D44333"/>
    <w:rsid w:val="00D44934"/>
    <w:rsid w:val="00D453EF"/>
    <w:rsid w:val="00D45650"/>
    <w:rsid w:val="00D457C7"/>
    <w:rsid w:val="00D45A32"/>
    <w:rsid w:val="00D465A8"/>
    <w:rsid w:val="00D4795A"/>
    <w:rsid w:val="00D50FBD"/>
    <w:rsid w:val="00D51F4A"/>
    <w:rsid w:val="00D52184"/>
    <w:rsid w:val="00D52B21"/>
    <w:rsid w:val="00D533D1"/>
    <w:rsid w:val="00D54219"/>
    <w:rsid w:val="00D54240"/>
    <w:rsid w:val="00D56D87"/>
    <w:rsid w:val="00D57026"/>
    <w:rsid w:val="00D57075"/>
    <w:rsid w:val="00D57B74"/>
    <w:rsid w:val="00D57EC9"/>
    <w:rsid w:val="00D61A0E"/>
    <w:rsid w:val="00D62446"/>
    <w:rsid w:val="00D62AB3"/>
    <w:rsid w:val="00D62CA6"/>
    <w:rsid w:val="00D63B51"/>
    <w:rsid w:val="00D63C79"/>
    <w:rsid w:val="00D6421E"/>
    <w:rsid w:val="00D65452"/>
    <w:rsid w:val="00D65719"/>
    <w:rsid w:val="00D66A45"/>
    <w:rsid w:val="00D678F3"/>
    <w:rsid w:val="00D679DC"/>
    <w:rsid w:val="00D70943"/>
    <w:rsid w:val="00D7118B"/>
    <w:rsid w:val="00D711A6"/>
    <w:rsid w:val="00D712DD"/>
    <w:rsid w:val="00D71742"/>
    <w:rsid w:val="00D71956"/>
    <w:rsid w:val="00D71E80"/>
    <w:rsid w:val="00D71EB3"/>
    <w:rsid w:val="00D723DF"/>
    <w:rsid w:val="00D73129"/>
    <w:rsid w:val="00D73236"/>
    <w:rsid w:val="00D771D0"/>
    <w:rsid w:val="00D77453"/>
    <w:rsid w:val="00D812FB"/>
    <w:rsid w:val="00D824A2"/>
    <w:rsid w:val="00D834CC"/>
    <w:rsid w:val="00D83899"/>
    <w:rsid w:val="00D8498E"/>
    <w:rsid w:val="00D84E89"/>
    <w:rsid w:val="00D85A63"/>
    <w:rsid w:val="00D86C60"/>
    <w:rsid w:val="00D87DA8"/>
    <w:rsid w:val="00D90A6D"/>
    <w:rsid w:val="00D9176A"/>
    <w:rsid w:val="00D91E0E"/>
    <w:rsid w:val="00D9203E"/>
    <w:rsid w:val="00D928BC"/>
    <w:rsid w:val="00D93184"/>
    <w:rsid w:val="00D93A28"/>
    <w:rsid w:val="00D9473C"/>
    <w:rsid w:val="00D9616E"/>
    <w:rsid w:val="00D963E1"/>
    <w:rsid w:val="00D97D31"/>
    <w:rsid w:val="00D97D97"/>
    <w:rsid w:val="00D97F4D"/>
    <w:rsid w:val="00DA0F46"/>
    <w:rsid w:val="00DA109C"/>
    <w:rsid w:val="00DA125A"/>
    <w:rsid w:val="00DA2922"/>
    <w:rsid w:val="00DA2D5B"/>
    <w:rsid w:val="00DA3453"/>
    <w:rsid w:val="00DA3504"/>
    <w:rsid w:val="00DA39C2"/>
    <w:rsid w:val="00DA4141"/>
    <w:rsid w:val="00DA46BF"/>
    <w:rsid w:val="00DA5743"/>
    <w:rsid w:val="00DA6426"/>
    <w:rsid w:val="00DA6B4D"/>
    <w:rsid w:val="00DA7159"/>
    <w:rsid w:val="00DA746E"/>
    <w:rsid w:val="00DA7CB5"/>
    <w:rsid w:val="00DB017B"/>
    <w:rsid w:val="00DB0C7E"/>
    <w:rsid w:val="00DB0FB4"/>
    <w:rsid w:val="00DB1B5C"/>
    <w:rsid w:val="00DB3790"/>
    <w:rsid w:val="00DB3BD6"/>
    <w:rsid w:val="00DB48B0"/>
    <w:rsid w:val="00DC093E"/>
    <w:rsid w:val="00DC14F3"/>
    <w:rsid w:val="00DC17EB"/>
    <w:rsid w:val="00DC1933"/>
    <w:rsid w:val="00DC1964"/>
    <w:rsid w:val="00DC3685"/>
    <w:rsid w:val="00DC3AF4"/>
    <w:rsid w:val="00DC3DFD"/>
    <w:rsid w:val="00DC4070"/>
    <w:rsid w:val="00DC4339"/>
    <w:rsid w:val="00DC483B"/>
    <w:rsid w:val="00DC5814"/>
    <w:rsid w:val="00DC708A"/>
    <w:rsid w:val="00DC7249"/>
    <w:rsid w:val="00DD0CCD"/>
    <w:rsid w:val="00DD0E2C"/>
    <w:rsid w:val="00DD1243"/>
    <w:rsid w:val="00DD1ACD"/>
    <w:rsid w:val="00DD1B7D"/>
    <w:rsid w:val="00DD2180"/>
    <w:rsid w:val="00DD363E"/>
    <w:rsid w:val="00DD4A1A"/>
    <w:rsid w:val="00DD4F2D"/>
    <w:rsid w:val="00DD4F7B"/>
    <w:rsid w:val="00DD68C7"/>
    <w:rsid w:val="00DD7184"/>
    <w:rsid w:val="00DD7D36"/>
    <w:rsid w:val="00DE0499"/>
    <w:rsid w:val="00DE1AD1"/>
    <w:rsid w:val="00DE2370"/>
    <w:rsid w:val="00DE392B"/>
    <w:rsid w:val="00DE3F09"/>
    <w:rsid w:val="00DE4449"/>
    <w:rsid w:val="00DE4C05"/>
    <w:rsid w:val="00DE51B4"/>
    <w:rsid w:val="00DE6848"/>
    <w:rsid w:val="00DE6935"/>
    <w:rsid w:val="00DE69C7"/>
    <w:rsid w:val="00DE6BD1"/>
    <w:rsid w:val="00DF008F"/>
    <w:rsid w:val="00DF09C4"/>
    <w:rsid w:val="00DF0F8B"/>
    <w:rsid w:val="00DF0FA7"/>
    <w:rsid w:val="00DF1F07"/>
    <w:rsid w:val="00DF299F"/>
    <w:rsid w:val="00DF3056"/>
    <w:rsid w:val="00DF345A"/>
    <w:rsid w:val="00DF4490"/>
    <w:rsid w:val="00DF7382"/>
    <w:rsid w:val="00E00AF1"/>
    <w:rsid w:val="00E0154D"/>
    <w:rsid w:val="00E03B0A"/>
    <w:rsid w:val="00E04063"/>
    <w:rsid w:val="00E04F18"/>
    <w:rsid w:val="00E06739"/>
    <w:rsid w:val="00E1182E"/>
    <w:rsid w:val="00E1234E"/>
    <w:rsid w:val="00E1294D"/>
    <w:rsid w:val="00E13463"/>
    <w:rsid w:val="00E13C13"/>
    <w:rsid w:val="00E1426A"/>
    <w:rsid w:val="00E14F21"/>
    <w:rsid w:val="00E1547F"/>
    <w:rsid w:val="00E154A5"/>
    <w:rsid w:val="00E1605E"/>
    <w:rsid w:val="00E16D30"/>
    <w:rsid w:val="00E174CA"/>
    <w:rsid w:val="00E1785E"/>
    <w:rsid w:val="00E20FD6"/>
    <w:rsid w:val="00E22A05"/>
    <w:rsid w:val="00E22BCA"/>
    <w:rsid w:val="00E241B1"/>
    <w:rsid w:val="00E2430A"/>
    <w:rsid w:val="00E2460D"/>
    <w:rsid w:val="00E31BCC"/>
    <w:rsid w:val="00E31FF8"/>
    <w:rsid w:val="00E32417"/>
    <w:rsid w:val="00E33E89"/>
    <w:rsid w:val="00E34596"/>
    <w:rsid w:val="00E34B3A"/>
    <w:rsid w:val="00E34DD3"/>
    <w:rsid w:val="00E358ED"/>
    <w:rsid w:val="00E35D94"/>
    <w:rsid w:val="00E35EB9"/>
    <w:rsid w:val="00E36649"/>
    <w:rsid w:val="00E366F0"/>
    <w:rsid w:val="00E36B0C"/>
    <w:rsid w:val="00E3754C"/>
    <w:rsid w:val="00E37F70"/>
    <w:rsid w:val="00E403E3"/>
    <w:rsid w:val="00E408F3"/>
    <w:rsid w:val="00E4110E"/>
    <w:rsid w:val="00E415B8"/>
    <w:rsid w:val="00E41ABA"/>
    <w:rsid w:val="00E4247E"/>
    <w:rsid w:val="00E44E32"/>
    <w:rsid w:val="00E45DF2"/>
    <w:rsid w:val="00E46449"/>
    <w:rsid w:val="00E478A3"/>
    <w:rsid w:val="00E5108B"/>
    <w:rsid w:val="00E52DEE"/>
    <w:rsid w:val="00E544EE"/>
    <w:rsid w:val="00E54BA5"/>
    <w:rsid w:val="00E54CA4"/>
    <w:rsid w:val="00E54E3D"/>
    <w:rsid w:val="00E552BC"/>
    <w:rsid w:val="00E55539"/>
    <w:rsid w:val="00E555C3"/>
    <w:rsid w:val="00E555F6"/>
    <w:rsid w:val="00E55C4C"/>
    <w:rsid w:val="00E565BF"/>
    <w:rsid w:val="00E5769C"/>
    <w:rsid w:val="00E6050F"/>
    <w:rsid w:val="00E6116B"/>
    <w:rsid w:val="00E62588"/>
    <w:rsid w:val="00E63257"/>
    <w:rsid w:val="00E6506A"/>
    <w:rsid w:val="00E652C5"/>
    <w:rsid w:val="00E66D39"/>
    <w:rsid w:val="00E66F6C"/>
    <w:rsid w:val="00E70164"/>
    <w:rsid w:val="00E728B0"/>
    <w:rsid w:val="00E755A1"/>
    <w:rsid w:val="00E7594C"/>
    <w:rsid w:val="00E75BB0"/>
    <w:rsid w:val="00E768CD"/>
    <w:rsid w:val="00E76BCB"/>
    <w:rsid w:val="00E76E19"/>
    <w:rsid w:val="00E77055"/>
    <w:rsid w:val="00E77A93"/>
    <w:rsid w:val="00E77B29"/>
    <w:rsid w:val="00E800B3"/>
    <w:rsid w:val="00E80188"/>
    <w:rsid w:val="00E81580"/>
    <w:rsid w:val="00E81C9D"/>
    <w:rsid w:val="00E81E84"/>
    <w:rsid w:val="00E832B5"/>
    <w:rsid w:val="00E83BDD"/>
    <w:rsid w:val="00E85199"/>
    <w:rsid w:val="00E85909"/>
    <w:rsid w:val="00E85B18"/>
    <w:rsid w:val="00E866CE"/>
    <w:rsid w:val="00E8717D"/>
    <w:rsid w:val="00E871B3"/>
    <w:rsid w:val="00E872AB"/>
    <w:rsid w:val="00E90C38"/>
    <w:rsid w:val="00E9241D"/>
    <w:rsid w:val="00E92CF1"/>
    <w:rsid w:val="00E93259"/>
    <w:rsid w:val="00E9350A"/>
    <w:rsid w:val="00E93F01"/>
    <w:rsid w:val="00E94DDE"/>
    <w:rsid w:val="00E95950"/>
    <w:rsid w:val="00E95F2A"/>
    <w:rsid w:val="00E96AE6"/>
    <w:rsid w:val="00EA05DF"/>
    <w:rsid w:val="00EA0C84"/>
    <w:rsid w:val="00EA1751"/>
    <w:rsid w:val="00EA266B"/>
    <w:rsid w:val="00EA39B7"/>
    <w:rsid w:val="00EA3F63"/>
    <w:rsid w:val="00EA4139"/>
    <w:rsid w:val="00EB1393"/>
    <w:rsid w:val="00EB23EF"/>
    <w:rsid w:val="00EB29A2"/>
    <w:rsid w:val="00EB29A5"/>
    <w:rsid w:val="00EB38B4"/>
    <w:rsid w:val="00EB3AB7"/>
    <w:rsid w:val="00EB3C56"/>
    <w:rsid w:val="00EB4F42"/>
    <w:rsid w:val="00EB51E9"/>
    <w:rsid w:val="00EB5403"/>
    <w:rsid w:val="00EB5BC5"/>
    <w:rsid w:val="00EB5D47"/>
    <w:rsid w:val="00EB67B1"/>
    <w:rsid w:val="00EB7DD9"/>
    <w:rsid w:val="00EC01DC"/>
    <w:rsid w:val="00EC0C7C"/>
    <w:rsid w:val="00EC1C3C"/>
    <w:rsid w:val="00EC2352"/>
    <w:rsid w:val="00EC297C"/>
    <w:rsid w:val="00EC4CBC"/>
    <w:rsid w:val="00EC6878"/>
    <w:rsid w:val="00EC6C50"/>
    <w:rsid w:val="00EC730C"/>
    <w:rsid w:val="00ED066F"/>
    <w:rsid w:val="00ED1606"/>
    <w:rsid w:val="00ED1927"/>
    <w:rsid w:val="00ED1E6C"/>
    <w:rsid w:val="00ED271B"/>
    <w:rsid w:val="00ED3A1C"/>
    <w:rsid w:val="00ED401A"/>
    <w:rsid w:val="00ED403B"/>
    <w:rsid w:val="00ED4335"/>
    <w:rsid w:val="00ED496A"/>
    <w:rsid w:val="00ED5903"/>
    <w:rsid w:val="00ED602F"/>
    <w:rsid w:val="00ED7021"/>
    <w:rsid w:val="00ED73CC"/>
    <w:rsid w:val="00EE21BE"/>
    <w:rsid w:val="00EE22CD"/>
    <w:rsid w:val="00EE26F5"/>
    <w:rsid w:val="00EE2701"/>
    <w:rsid w:val="00EE2719"/>
    <w:rsid w:val="00EE278E"/>
    <w:rsid w:val="00EE3927"/>
    <w:rsid w:val="00EE480A"/>
    <w:rsid w:val="00EE4A2E"/>
    <w:rsid w:val="00EE5C66"/>
    <w:rsid w:val="00EE6C3D"/>
    <w:rsid w:val="00EE757D"/>
    <w:rsid w:val="00EE7C83"/>
    <w:rsid w:val="00EF0357"/>
    <w:rsid w:val="00EF0A26"/>
    <w:rsid w:val="00EF1274"/>
    <w:rsid w:val="00EF1487"/>
    <w:rsid w:val="00EF1978"/>
    <w:rsid w:val="00EF1CED"/>
    <w:rsid w:val="00EF1F5E"/>
    <w:rsid w:val="00EF252D"/>
    <w:rsid w:val="00EF2850"/>
    <w:rsid w:val="00EF3A3C"/>
    <w:rsid w:val="00EF3B56"/>
    <w:rsid w:val="00EF3E18"/>
    <w:rsid w:val="00EF3E44"/>
    <w:rsid w:val="00EF42BC"/>
    <w:rsid w:val="00EF5654"/>
    <w:rsid w:val="00EF5C20"/>
    <w:rsid w:val="00EF6912"/>
    <w:rsid w:val="00EF7415"/>
    <w:rsid w:val="00EF7947"/>
    <w:rsid w:val="00EF7B7F"/>
    <w:rsid w:val="00F00C23"/>
    <w:rsid w:val="00F02062"/>
    <w:rsid w:val="00F02194"/>
    <w:rsid w:val="00F02530"/>
    <w:rsid w:val="00F02BF2"/>
    <w:rsid w:val="00F0315A"/>
    <w:rsid w:val="00F0551C"/>
    <w:rsid w:val="00F0579D"/>
    <w:rsid w:val="00F05C5F"/>
    <w:rsid w:val="00F06336"/>
    <w:rsid w:val="00F069ED"/>
    <w:rsid w:val="00F06F4E"/>
    <w:rsid w:val="00F071B2"/>
    <w:rsid w:val="00F07385"/>
    <w:rsid w:val="00F07FA2"/>
    <w:rsid w:val="00F119A2"/>
    <w:rsid w:val="00F12D79"/>
    <w:rsid w:val="00F1371B"/>
    <w:rsid w:val="00F146D1"/>
    <w:rsid w:val="00F15440"/>
    <w:rsid w:val="00F15554"/>
    <w:rsid w:val="00F17DB8"/>
    <w:rsid w:val="00F201B0"/>
    <w:rsid w:val="00F204F2"/>
    <w:rsid w:val="00F213FF"/>
    <w:rsid w:val="00F24063"/>
    <w:rsid w:val="00F241E0"/>
    <w:rsid w:val="00F24BE6"/>
    <w:rsid w:val="00F251D5"/>
    <w:rsid w:val="00F25445"/>
    <w:rsid w:val="00F25B05"/>
    <w:rsid w:val="00F2676C"/>
    <w:rsid w:val="00F27009"/>
    <w:rsid w:val="00F336A8"/>
    <w:rsid w:val="00F3472D"/>
    <w:rsid w:val="00F348EF"/>
    <w:rsid w:val="00F35487"/>
    <w:rsid w:val="00F35A8A"/>
    <w:rsid w:val="00F35E60"/>
    <w:rsid w:val="00F37072"/>
    <w:rsid w:val="00F37575"/>
    <w:rsid w:val="00F40020"/>
    <w:rsid w:val="00F41D73"/>
    <w:rsid w:val="00F4216A"/>
    <w:rsid w:val="00F42D68"/>
    <w:rsid w:val="00F43636"/>
    <w:rsid w:val="00F44CF2"/>
    <w:rsid w:val="00F4567B"/>
    <w:rsid w:val="00F456DA"/>
    <w:rsid w:val="00F46E49"/>
    <w:rsid w:val="00F471F3"/>
    <w:rsid w:val="00F50321"/>
    <w:rsid w:val="00F507D9"/>
    <w:rsid w:val="00F50C79"/>
    <w:rsid w:val="00F50CA3"/>
    <w:rsid w:val="00F5133B"/>
    <w:rsid w:val="00F53008"/>
    <w:rsid w:val="00F54404"/>
    <w:rsid w:val="00F544EB"/>
    <w:rsid w:val="00F55608"/>
    <w:rsid w:val="00F576E2"/>
    <w:rsid w:val="00F5797F"/>
    <w:rsid w:val="00F60043"/>
    <w:rsid w:val="00F6007E"/>
    <w:rsid w:val="00F614E5"/>
    <w:rsid w:val="00F615F5"/>
    <w:rsid w:val="00F61A9C"/>
    <w:rsid w:val="00F61D36"/>
    <w:rsid w:val="00F6358C"/>
    <w:rsid w:val="00F63AD7"/>
    <w:rsid w:val="00F657C5"/>
    <w:rsid w:val="00F660FF"/>
    <w:rsid w:val="00F666A2"/>
    <w:rsid w:val="00F66BD0"/>
    <w:rsid w:val="00F6701D"/>
    <w:rsid w:val="00F678ED"/>
    <w:rsid w:val="00F70DAF"/>
    <w:rsid w:val="00F714F7"/>
    <w:rsid w:val="00F716A1"/>
    <w:rsid w:val="00F7266B"/>
    <w:rsid w:val="00F72B32"/>
    <w:rsid w:val="00F731C0"/>
    <w:rsid w:val="00F74702"/>
    <w:rsid w:val="00F754D9"/>
    <w:rsid w:val="00F759D0"/>
    <w:rsid w:val="00F75FDF"/>
    <w:rsid w:val="00F76032"/>
    <w:rsid w:val="00F76107"/>
    <w:rsid w:val="00F767C2"/>
    <w:rsid w:val="00F77251"/>
    <w:rsid w:val="00F7794C"/>
    <w:rsid w:val="00F807FE"/>
    <w:rsid w:val="00F80EE1"/>
    <w:rsid w:val="00F824A9"/>
    <w:rsid w:val="00F8261A"/>
    <w:rsid w:val="00F83619"/>
    <w:rsid w:val="00F842F6"/>
    <w:rsid w:val="00F85732"/>
    <w:rsid w:val="00F85E9F"/>
    <w:rsid w:val="00F9176E"/>
    <w:rsid w:val="00F92245"/>
    <w:rsid w:val="00F927B7"/>
    <w:rsid w:val="00F92856"/>
    <w:rsid w:val="00F93046"/>
    <w:rsid w:val="00F93755"/>
    <w:rsid w:val="00F93BF7"/>
    <w:rsid w:val="00F94446"/>
    <w:rsid w:val="00F9474F"/>
    <w:rsid w:val="00F9525D"/>
    <w:rsid w:val="00F96A4E"/>
    <w:rsid w:val="00F96EF0"/>
    <w:rsid w:val="00F97438"/>
    <w:rsid w:val="00F976E6"/>
    <w:rsid w:val="00F97A11"/>
    <w:rsid w:val="00FA0E12"/>
    <w:rsid w:val="00FA0E1D"/>
    <w:rsid w:val="00FA1AA0"/>
    <w:rsid w:val="00FA243C"/>
    <w:rsid w:val="00FA2E89"/>
    <w:rsid w:val="00FA3ACC"/>
    <w:rsid w:val="00FA44B5"/>
    <w:rsid w:val="00FA4C43"/>
    <w:rsid w:val="00FA4C91"/>
    <w:rsid w:val="00FA5893"/>
    <w:rsid w:val="00FA5D8B"/>
    <w:rsid w:val="00FA63F1"/>
    <w:rsid w:val="00FA77ED"/>
    <w:rsid w:val="00FA7937"/>
    <w:rsid w:val="00FA7CF2"/>
    <w:rsid w:val="00FB0D35"/>
    <w:rsid w:val="00FB1967"/>
    <w:rsid w:val="00FB19C0"/>
    <w:rsid w:val="00FB279C"/>
    <w:rsid w:val="00FB3E9B"/>
    <w:rsid w:val="00FB7B0A"/>
    <w:rsid w:val="00FC09F7"/>
    <w:rsid w:val="00FC0B8A"/>
    <w:rsid w:val="00FC10B6"/>
    <w:rsid w:val="00FC19EF"/>
    <w:rsid w:val="00FC1F95"/>
    <w:rsid w:val="00FC222E"/>
    <w:rsid w:val="00FC32ED"/>
    <w:rsid w:val="00FC3437"/>
    <w:rsid w:val="00FC39AC"/>
    <w:rsid w:val="00FC3B52"/>
    <w:rsid w:val="00FC4242"/>
    <w:rsid w:val="00FC461B"/>
    <w:rsid w:val="00FC4847"/>
    <w:rsid w:val="00FC625C"/>
    <w:rsid w:val="00FD06A5"/>
    <w:rsid w:val="00FD0988"/>
    <w:rsid w:val="00FD1525"/>
    <w:rsid w:val="00FD15BA"/>
    <w:rsid w:val="00FD177B"/>
    <w:rsid w:val="00FD30FC"/>
    <w:rsid w:val="00FD41AE"/>
    <w:rsid w:val="00FD56A3"/>
    <w:rsid w:val="00FD71CF"/>
    <w:rsid w:val="00FE01FA"/>
    <w:rsid w:val="00FE0971"/>
    <w:rsid w:val="00FE0CEC"/>
    <w:rsid w:val="00FE1638"/>
    <w:rsid w:val="00FE2AA6"/>
    <w:rsid w:val="00FE2CAF"/>
    <w:rsid w:val="00FE3752"/>
    <w:rsid w:val="00FE3817"/>
    <w:rsid w:val="00FE4366"/>
    <w:rsid w:val="00FE4B43"/>
    <w:rsid w:val="00FE5082"/>
    <w:rsid w:val="00FE5800"/>
    <w:rsid w:val="00FE6E78"/>
    <w:rsid w:val="00FE6EF2"/>
    <w:rsid w:val="00FE77CC"/>
    <w:rsid w:val="00FE78AA"/>
    <w:rsid w:val="00FE7B22"/>
    <w:rsid w:val="00FF0414"/>
    <w:rsid w:val="00FF0490"/>
    <w:rsid w:val="00FF0554"/>
    <w:rsid w:val="00FF168C"/>
    <w:rsid w:val="00FF187B"/>
    <w:rsid w:val="00FF18BB"/>
    <w:rsid w:val="00FF3505"/>
    <w:rsid w:val="00FF4A32"/>
    <w:rsid w:val="00FF5834"/>
    <w:rsid w:val="00FF6B1C"/>
    <w:rsid w:val="00FF6F46"/>
    <w:rsid w:val="00FF7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199D0415-6E95-4DA6-811F-9AE90B81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Heading2"/>
    <w:next w:val="Normal"/>
    <w:link w:val="Heading1Char"/>
    <w:uiPriority w:val="9"/>
    <w:qFormat/>
    <w:rsid w:val="00C86562"/>
    <w:pPr>
      <w:outlineLvl w:val="0"/>
    </w:pPr>
    <w:rPr>
      <w:rFonts w:eastAsia="Times New Roman"/>
      <w:sz w:val="28"/>
      <w:szCs w:val="28"/>
    </w:rPr>
  </w:style>
  <w:style w:type="paragraph" w:styleId="Heading2">
    <w:name w:val="heading 2"/>
    <w:basedOn w:val="Normal"/>
    <w:next w:val="Normal"/>
    <w:link w:val="Heading2Char"/>
    <w:uiPriority w:val="9"/>
    <w:unhideWhenUsed/>
    <w:qFormat/>
    <w:rsid w:val="000C51B3"/>
    <w:pPr>
      <w:keepNext/>
      <w:keepLines/>
      <w:spacing w:before="40" w:after="0" w:line="259" w:lineRule="auto"/>
      <w:outlineLvl w:val="1"/>
    </w:pPr>
    <w:rPr>
      <w:rFonts w:ascii="Calibri" w:eastAsiaTheme="majorEastAsia" w:hAnsi="Calibri" w:cs="Calibr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562"/>
    <w:rPr>
      <w:rFonts w:ascii="Calibri" w:eastAsia="Times New Roman" w:hAnsi="Calibri" w:cs="Calibri"/>
      <w:b/>
      <w:sz w:val="28"/>
      <w:szCs w:val="28"/>
    </w:rPr>
  </w:style>
  <w:style w:type="character" w:customStyle="1" w:styleId="Heading2Char">
    <w:name w:val="Heading 2 Char"/>
    <w:basedOn w:val="DefaultParagraphFont"/>
    <w:link w:val="Heading2"/>
    <w:uiPriority w:val="9"/>
    <w:rsid w:val="000C51B3"/>
    <w:rPr>
      <w:rFonts w:ascii="Calibri" w:eastAsiaTheme="majorEastAsia" w:hAnsi="Calibri" w:cs="Calibri"/>
      <w:b/>
      <w:sz w:val="24"/>
      <w:szCs w:val="26"/>
    </w:r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
    <w:basedOn w:val="Normal"/>
    <w:link w:val="ListParagraphChar"/>
    <w:uiPriority w:val="34"/>
    <w:qFormat/>
    <w:rsid w:val="00111B84"/>
    <w:pPr>
      <w:ind w:left="720"/>
      <w:contextualSpacing/>
    </w:p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link w:val="ListParagraph"/>
    <w:uiPriority w:val="34"/>
    <w:qFormat/>
    <w:locked/>
    <w:rsid w:val="008D20BE"/>
    <w:rPr>
      <w:sz w:val="24"/>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table" w:styleId="GridTable4-Accent1">
    <w:name w:val="Grid Table 4 Accent 1"/>
    <w:basedOn w:val="TableNormal"/>
    <w:uiPriority w:val="49"/>
    <w:rsid w:val="008D20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13">
    <w:name w:val="Plain Table 13"/>
    <w:basedOn w:val="TableNormal"/>
    <w:next w:val="PlainTable1"/>
    <w:uiPriority w:val="41"/>
    <w:rsid w:val="008D20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D20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i-provider">
    <w:name w:val="ui-provider"/>
    <w:basedOn w:val="DefaultParagraphFont"/>
    <w:rsid w:val="008D20BE"/>
  </w:style>
  <w:style w:type="table" w:styleId="ListTable4-Accent1">
    <w:name w:val="List Table 4 Accent 1"/>
    <w:basedOn w:val="TableNormal"/>
    <w:uiPriority w:val="49"/>
    <w:rsid w:val="008D20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
    <w:name w:val="List Table 4"/>
    <w:basedOn w:val="TableNormal"/>
    <w:uiPriority w:val="49"/>
    <w:rsid w:val="001428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rsid w:val="004C035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aragraph">
    <w:name w:val="paragraph"/>
    <w:basedOn w:val="Normal"/>
    <w:rsid w:val="00C05B81"/>
    <w:pPr>
      <w:spacing w:before="100" w:beforeAutospacing="1" w:after="100" w:afterAutospacing="1" w:line="240" w:lineRule="auto"/>
    </w:pPr>
    <w:rPr>
      <w:rFonts w:ascii="Times New Roman" w:hAnsi="Times New Roman" w:cs="Times New Roman"/>
      <w:szCs w:val="24"/>
      <w:lang w:eastAsia="en-GB"/>
    </w:rPr>
  </w:style>
  <w:style w:type="character" w:customStyle="1" w:styleId="eop">
    <w:name w:val="eop"/>
    <w:basedOn w:val="DefaultParagraphFont"/>
    <w:rsid w:val="00C05B81"/>
  </w:style>
  <w:style w:type="character" w:customStyle="1" w:styleId="normaltextrun">
    <w:name w:val="normaltextrun"/>
    <w:basedOn w:val="DefaultParagraphFont"/>
    <w:rsid w:val="00C05B81"/>
  </w:style>
  <w:style w:type="character" w:customStyle="1" w:styleId="UnresolvedMention1">
    <w:name w:val="Unresolved Mention1"/>
    <w:basedOn w:val="DefaultParagraphFont"/>
    <w:uiPriority w:val="99"/>
    <w:semiHidden/>
    <w:unhideWhenUsed/>
    <w:rsid w:val="00CA47FF"/>
    <w:rPr>
      <w:color w:val="605E5C"/>
      <w:shd w:val="clear" w:color="auto" w:fill="E1DFDD"/>
    </w:rPr>
  </w:style>
  <w:style w:type="paragraph" w:styleId="NormalWeb">
    <w:name w:val="Normal (Web)"/>
    <w:basedOn w:val="Normal"/>
    <w:uiPriority w:val="99"/>
    <w:semiHidden/>
    <w:unhideWhenUsed/>
    <w:rsid w:val="00912C08"/>
    <w:rPr>
      <w:rFonts w:ascii="Times New Roman" w:hAnsi="Times New Roman" w:cs="Times New Roman"/>
      <w:szCs w:val="24"/>
    </w:rPr>
  </w:style>
  <w:style w:type="paragraph" w:styleId="FootnoteText">
    <w:name w:val="footnote text"/>
    <w:basedOn w:val="Normal"/>
    <w:link w:val="FootnoteTextChar"/>
    <w:uiPriority w:val="99"/>
    <w:semiHidden/>
    <w:unhideWhenUsed/>
    <w:rsid w:val="005D1E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EE3"/>
    <w:rPr>
      <w:sz w:val="20"/>
      <w:szCs w:val="20"/>
    </w:rPr>
  </w:style>
  <w:style w:type="character" w:styleId="FootnoteReference">
    <w:name w:val="footnote reference"/>
    <w:basedOn w:val="DefaultParagraphFont"/>
    <w:uiPriority w:val="99"/>
    <w:semiHidden/>
    <w:unhideWhenUsed/>
    <w:rsid w:val="005D1EE3"/>
    <w:rPr>
      <w:vertAlign w:val="superscript"/>
    </w:rPr>
  </w:style>
  <w:style w:type="character" w:customStyle="1" w:styleId="UnresolvedMention2">
    <w:name w:val="Unresolved Mention2"/>
    <w:basedOn w:val="DefaultParagraphFont"/>
    <w:uiPriority w:val="99"/>
    <w:semiHidden/>
    <w:unhideWhenUsed/>
    <w:rsid w:val="005D1EE3"/>
    <w:rPr>
      <w:color w:val="605E5C"/>
      <w:shd w:val="clear" w:color="auto" w:fill="E1DFDD"/>
    </w:rPr>
  </w:style>
  <w:style w:type="paragraph" w:customStyle="1" w:styleId="Pa5">
    <w:name w:val="Pa5"/>
    <w:basedOn w:val="Default"/>
    <w:next w:val="Default"/>
    <w:uiPriority w:val="99"/>
    <w:rsid w:val="005D7863"/>
    <w:pPr>
      <w:spacing w:line="221" w:lineRule="atLeast"/>
    </w:pPr>
    <w:rPr>
      <w:rFonts w:ascii="Gotham Book" w:hAnsi="Gotham Book" w:cstheme="minorBidi"/>
      <w:color w:val="auto"/>
    </w:rPr>
  </w:style>
  <w:style w:type="character" w:customStyle="1" w:styleId="A4">
    <w:name w:val="A4"/>
    <w:uiPriority w:val="99"/>
    <w:rsid w:val="005D7863"/>
    <w:rPr>
      <w:rFonts w:cs="Gotham Book"/>
      <w:color w:val="55554A"/>
      <w:sz w:val="22"/>
      <w:szCs w:val="22"/>
    </w:rPr>
  </w:style>
  <w:style w:type="character" w:customStyle="1" w:styleId="UnresolvedMention3">
    <w:name w:val="Unresolved Mention3"/>
    <w:basedOn w:val="DefaultParagraphFont"/>
    <w:uiPriority w:val="99"/>
    <w:semiHidden/>
    <w:unhideWhenUsed/>
    <w:rsid w:val="006E319D"/>
    <w:rPr>
      <w:color w:val="605E5C"/>
      <w:shd w:val="clear" w:color="auto" w:fill="E1DFDD"/>
    </w:rPr>
  </w:style>
  <w:style w:type="character" w:customStyle="1" w:styleId="cf01">
    <w:name w:val="cf01"/>
    <w:basedOn w:val="DefaultParagraphFont"/>
    <w:rsid w:val="006454B5"/>
    <w:rPr>
      <w:rFonts w:ascii="Segoe UI" w:hAnsi="Segoe UI" w:cs="Segoe UI" w:hint="default"/>
      <w:sz w:val="18"/>
      <w:szCs w:val="18"/>
    </w:rPr>
  </w:style>
  <w:style w:type="character" w:customStyle="1" w:styleId="UnresolvedMention4">
    <w:name w:val="Unresolved Mention4"/>
    <w:basedOn w:val="DefaultParagraphFont"/>
    <w:uiPriority w:val="99"/>
    <w:semiHidden/>
    <w:unhideWhenUsed/>
    <w:rsid w:val="007938DE"/>
    <w:rPr>
      <w:color w:val="605E5C"/>
      <w:shd w:val="clear" w:color="auto" w:fill="E1DFDD"/>
    </w:rPr>
  </w:style>
  <w:style w:type="character" w:styleId="Emphasis">
    <w:name w:val="Emphasis"/>
    <w:basedOn w:val="DefaultParagraphFont"/>
    <w:uiPriority w:val="20"/>
    <w:qFormat/>
    <w:rsid w:val="00DC1964"/>
    <w:rPr>
      <w:i/>
      <w:iCs/>
    </w:rPr>
  </w:style>
  <w:style w:type="character" w:styleId="UnresolvedMention">
    <w:name w:val="Unresolved Mention"/>
    <w:basedOn w:val="DefaultParagraphFont"/>
    <w:uiPriority w:val="99"/>
    <w:semiHidden/>
    <w:unhideWhenUsed/>
    <w:rsid w:val="000C3E41"/>
    <w:rPr>
      <w:color w:val="605E5C"/>
      <w:shd w:val="clear" w:color="auto" w:fill="E1DFDD"/>
    </w:rPr>
  </w:style>
  <w:style w:type="character" w:styleId="Strong">
    <w:name w:val="Strong"/>
    <w:uiPriority w:val="22"/>
    <w:qFormat/>
    <w:rsid w:val="008B7BD5"/>
    <w:rPr>
      <w:b/>
      <w:bCs/>
    </w:rPr>
  </w:style>
  <w:style w:type="table" w:styleId="TableGridLight">
    <w:name w:val="Grid Table Light"/>
    <w:basedOn w:val="TableNormal"/>
    <w:uiPriority w:val="40"/>
    <w:rsid w:val="005449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3B1C20"/>
    <w:pPr>
      <w:spacing w:after="0" w:line="240" w:lineRule="auto"/>
    </w:pPr>
    <w:rPr>
      <w:rFonts w:ascii="Arial" w:hAnsi="Arial" w:cs="Arial"/>
      <w:sz w:val="22"/>
      <w:lang w:eastAsia="en-GB"/>
    </w:rPr>
  </w:style>
  <w:style w:type="paragraph" w:styleId="NoSpacing">
    <w:name w:val="No Spacing"/>
    <w:uiPriority w:val="1"/>
    <w:qFormat/>
    <w:rsid w:val="00E1547F"/>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508">
      <w:bodyDiv w:val="1"/>
      <w:marLeft w:val="0"/>
      <w:marRight w:val="0"/>
      <w:marTop w:val="0"/>
      <w:marBottom w:val="0"/>
      <w:divBdr>
        <w:top w:val="none" w:sz="0" w:space="0" w:color="auto"/>
        <w:left w:val="none" w:sz="0" w:space="0" w:color="auto"/>
        <w:bottom w:val="none" w:sz="0" w:space="0" w:color="auto"/>
        <w:right w:val="none" w:sz="0" w:space="0" w:color="auto"/>
      </w:divBdr>
    </w:div>
    <w:div w:id="12728315">
      <w:bodyDiv w:val="1"/>
      <w:marLeft w:val="0"/>
      <w:marRight w:val="0"/>
      <w:marTop w:val="0"/>
      <w:marBottom w:val="0"/>
      <w:divBdr>
        <w:top w:val="none" w:sz="0" w:space="0" w:color="auto"/>
        <w:left w:val="none" w:sz="0" w:space="0" w:color="auto"/>
        <w:bottom w:val="none" w:sz="0" w:space="0" w:color="auto"/>
        <w:right w:val="none" w:sz="0" w:space="0" w:color="auto"/>
      </w:divBdr>
    </w:div>
    <w:div w:id="21175636">
      <w:bodyDiv w:val="1"/>
      <w:marLeft w:val="0"/>
      <w:marRight w:val="0"/>
      <w:marTop w:val="0"/>
      <w:marBottom w:val="0"/>
      <w:divBdr>
        <w:top w:val="none" w:sz="0" w:space="0" w:color="auto"/>
        <w:left w:val="none" w:sz="0" w:space="0" w:color="auto"/>
        <w:bottom w:val="none" w:sz="0" w:space="0" w:color="auto"/>
        <w:right w:val="none" w:sz="0" w:space="0" w:color="auto"/>
      </w:divBdr>
    </w:div>
    <w:div w:id="24409558">
      <w:bodyDiv w:val="1"/>
      <w:marLeft w:val="0"/>
      <w:marRight w:val="0"/>
      <w:marTop w:val="0"/>
      <w:marBottom w:val="0"/>
      <w:divBdr>
        <w:top w:val="none" w:sz="0" w:space="0" w:color="auto"/>
        <w:left w:val="none" w:sz="0" w:space="0" w:color="auto"/>
        <w:bottom w:val="none" w:sz="0" w:space="0" w:color="auto"/>
        <w:right w:val="none" w:sz="0" w:space="0" w:color="auto"/>
      </w:divBdr>
    </w:div>
    <w:div w:id="34425813">
      <w:bodyDiv w:val="1"/>
      <w:marLeft w:val="0"/>
      <w:marRight w:val="0"/>
      <w:marTop w:val="0"/>
      <w:marBottom w:val="0"/>
      <w:divBdr>
        <w:top w:val="none" w:sz="0" w:space="0" w:color="auto"/>
        <w:left w:val="none" w:sz="0" w:space="0" w:color="auto"/>
        <w:bottom w:val="none" w:sz="0" w:space="0" w:color="auto"/>
        <w:right w:val="none" w:sz="0" w:space="0" w:color="auto"/>
      </w:divBdr>
    </w:div>
    <w:div w:id="49767702">
      <w:bodyDiv w:val="1"/>
      <w:marLeft w:val="0"/>
      <w:marRight w:val="0"/>
      <w:marTop w:val="0"/>
      <w:marBottom w:val="0"/>
      <w:divBdr>
        <w:top w:val="none" w:sz="0" w:space="0" w:color="auto"/>
        <w:left w:val="none" w:sz="0" w:space="0" w:color="auto"/>
        <w:bottom w:val="none" w:sz="0" w:space="0" w:color="auto"/>
        <w:right w:val="none" w:sz="0" w:space="0" w:color="auto"/>
      </w:divBdr>
    </w:div>
    <w:div w:id="49960608">
      <w:bodyDiv w:val="1"/>
      <w:marLeft w:val="0"/>
      <w:marRight w:val="0"/>
      <w:marTop w:val="0"/>
      <w:marBottom w:val="0"/>
      <w:divBdr>
        <w:top w:val="none" w:sz="0" w:space="0" w:color="auto"/>
        <w:left w:val="none" w:sz="0" w:space="0" w:color="auto"/>
        <w:bottom w:val="none" w:sz="0" w:space="0" w:color="auto"/>
        <w:right w:val="none" w:sz="0" w:space="0" w:color="auto"/>
      </w:divBdr>
    </w:div>
    <w:div w:id="58066912">
      <w:bodyDiv w:val="1"/>
      <w:marLeft w:val="0"/>
      <w:marRight w:val="0"/>
      <w:marTop w:val="0"/>
      <w:marBottom w:val="0"/>
      <w:divBdr>
        <w:top w:val="none" w:sz="0" w:space="0" w:color="auto"/>
        <w:left w:val="none" w:sz="0" w:space="0" w:color="auto"/>
        <w:bottom w:val="none" w:sz="0" w:space="0" w:color="auto"/>
        <w:right w:val="none" w:sz="0" w:space="0" w:color="auto"/>
      </w:divBdr>
    </w:div>
    <w:div w:id="87964751">
      <w:bodyDiv w:val="1"/>
      <w:marLeft w:val="0"/>
      <w:marRight w:val="0"/>
      <w:marTop w:val="0"/>
      <w:marBottom w:val="0"/>
      <w:divBdr>
        <w:top w:val="none" w:sz="0" w:space="0" w:color="auto"/>
        <w:left w:val="none" w:sz="0" w:space="0" w:color="auto"/>
        <w:bottom w:val="none" w:sz="0" w:space="0" w:color="auto"/>
        <w:right w:val="none" w:sz="0" w:space="0" w:color="auto"/>
      </w:divBdr>
    </w:div>
    <w:div w:id="93289534">
      <w:bodyDiv w:val="1"/>
      <w:marLeft w:val="0"/>
      <w:marRight w:val="0"/>
      <w:marTop w:val="0"/>
      <w:marBottom w:val="0"/>
      <w:divBdr>
        <w:top w:val="none" w:sz="0" w:space="0" w:color="auto"/>
        <w:left w:val="none" w:sz="0" w:space="0" w:color="auto"/>
        <w:bottom w:val="none" w:sz="0" w:space="0" w:color="auto"/>
        <w:right w:val="none" w:sz="0" w:space="0" w:color="auto"/>
      </w:divBdr>
    </w:div>
    <w:div w:id="95715315">
      <w:bodyDiv w:val="1"/>
      <w:marLeft w:val="0"/>
      <w:marRight w:val="0"/>
      <w:marTop w:val="0"/>
      <w:marBottom w:val="0"/>
      <w:divBdr>
        <w:top w:val="none" w:sz="0" w:space="0" w:color="auto"/>
        <w:left w:val="none" w:sz="0" w:space="0" w:color="auto"/>
        <w:bottom w:val="none" w:sz="0" w:space="0" w:color="auto"/>
        <w:right w:val="none" w:sz="0" w:space="0" w:color="auto"/>
      </w:divBdr>
    </w:div>
    <w:div w:id="104230636">
      <w:bodyDiv w:val="1"/>
      <w:marLeft w:val="0"/>
      <w:marRight w:val="0"/>
      <w:marTop w:val="0"/>
      <w:marBottom w:val="0"/>
      <w:divBdr>
        <w:top w:val="none" w:sz="0" w:space="0" w:color="auto"/>
        <w:left w:val="none" w:sz="0" w:space="0" w:color="auto"/>
        <w:bottom w:val="none" w:sz="0" w:space="0" w:color="auto"/>
        <w:right w:val="none" w:sz="0" w:space="0" w:color="auto"/>
      </w:divBdr>
    </w:div>
    <w:div w:id="122969744">
      <w:bodyDiv w:val="1"/>
      <w:marLeft w:val="0"/>
      <w:marRight w:val="0"/>
      <w:marTop w:val="0"/>
      <w:marBottom w:val="0"/>
      <w:divBdr>
        <w:top w:val="none" w:sz="0" w:space="0" w:color="auto"/>
        <w:left w:val="none" w:sz="0" w:space="0" w:color="auto"/>
        <w:bottom w:val="none" w:sz="0" w:space="0" w:color="auto"/>
        <w:right w:val="none" w:sz="0" w:space="0" w:color="auto"/>
      </w:divBdr>
    </w:div>
    <w:div w:id="126895612">
      <w:bodyDiv w:val="1"/>
      <w:marLeft w:val="0"/>
      <w:marRight w:val="0"/>
      <w:marTop w:val="0"/>
      <w:marBottom w:val="0"/>
      <w:divBdr>
        <w:top w:val="none" w:sz="0" w:space="0" w:color="auto"/>
        <w:left w:val="none" w:sz="0" w:space="0" w:color="auto"/>
        <w:bottom w:val="none" w:sz="0" w:space="0" w:color="auto"/>
        <w:right w:val="none" w:sz="0" w:space="0" w:color="auto"/>
      </w:divBdr>
    </w:div>
    <w:div w:id="146825786">
      <w:bodyDiv w:val="1"/>
      <w:marLeft w:val="0"/>
      <w:marRight w:val="0"/>
      <w:marTop w:val="0"/>
      <w:marBottom w:val="0"/>
      <w:divBdr>
        <w:top w:val="none" w:sz="0" w:space="0" w:color="auto"/>
        <w:left w:val="none" w:sz="0" w:space="0" w:color="auto"/>
        <w:bottom w:val="none" w:sz="0" w:space="0" w:color="auto"/>
        <w:right w:val="none" w:sz="0" w:space="0" w:color="auto"/>
      </w:divBdr>
    </w:div>
    <w:div w:id="147941381">
      <w:bodyDiv w:val="1"/>
      <w:marLeft w:val="0"/>
      <w:marRight w:val="0"/>
      <w:marTop w:val="0"/>
      <w:marBottom w:val="0"/>
      <w:divBdr>
        <w:top w:val="none" w:sz="0" w:space="0" w:color="auto"/>
        <w:left w:val="none" w:sz="0" w:space="0" w:color="auto"/>
        <w:bottom w:val="none" w:sz="0" w:space="0" w:color="auto"/>
        <w:right w:val="none" w:sz="0" w:space="0" w:color="auto"/>
      </w:divBdr>
    </w:div>
    <w:div w:id="156575737">
      <w:bodyDiv w:val="1"/>
      <w:marLeft w:val="0"/>
      <w:marRight w:val="0"/>
      <w:marTop w:val="0"/>
      <w:marBottom w:val="0"/>
      <w:divBdr>
        <w:top w:val="none" w:sz="0" w:space="0" w:color="auto"/>
        <w:left w:val="none" w:sz="0" w:space="0" w:color="auto"/>
        <w:bottom w:val="none" w:sz="0" w:space="0" w:color="auto"/>
        <w:right w:val="none" w:sz="0" w:space="0" w:color="auto"/>
      </w:divBdr>
    </w:div>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178617692">
      <w:bodyDiv w:val="1"/>
      <w:marLeft w:val="0"/>
      <w:marRight w:val="0"/>
      <w:marTop w:val="0"/>
      <w:marBottom w:val="0"/>
      <w:divBdr>
        <w:top w:val="none" w:sz="0" w:space="0" w:color="auto"/>
        <w:left w:val="none" w:sz="0" w:space="0" w:color="auto"/>
        <w:bottom w:val="none" w:sz="0" w:space="0" w:color="auto"/>
        <w:right w:val="none" w:sz="0" w:space="0" w:color="auto"/>
      </w:divBdr>
    </w:div>
    <w:div w:id="179245871">
      <w:bodyDiv w:val="1"/>
      <w:marLeft w:val="0"/>
      <w:marRight w:val="0"/>
      <w:marTop w:val="0"/>
      <w:marBottom w:val="0"/>
      <w:divBdr>
        <w:top w:val="none" w:sz="0" w:space="0" w:color="auto"/>
        <w:left w:val="none" w:sz="0" w:space="0" w:color="auto"/>
        <w:bottom w:val="none" w:sz="0" w:space="0" w:color="auto"/>
        <w:right w:val="none" w:sz="0" w:space="0" w:color="auto"/>
      </w:divBdr>
    </w:div>
    <w:div w:id="188569715">
      <w:bodyDiv w:val="1"/>
      <w:marLeft w:val="0"/>
      <w:marRight w:val="0"/>
      <w:marTop w:val="0"/>
      <w:marBottom w:val="0"/>
      <w:divBdr>
        <w:top w:val="none" w:sz="0" w:space="0" w:color="auto"/>
        <w:left w:val="none" w:sz="0" w:space="0" w:color="auto"/>
        <w:bottom w:val="none" w:sz="0" w:space="0" w:color="auto"/>
        <w:right w:val="none" w:sz="0" w:space="0" w:color="auto"/>
      </w:divBdr>
    </w:div>
    <w:div w:id="198251424">
      <w:bodyDiv w:val="1"/>
      <w:marLeft w:val="0"/>
      <w:marRight w:val="0"/>
      <w:marTop w:val="0"/>
      <w:marBottom w:val="0"/>
      <w:divBdr>
        <w:top w:val="none" w:sz="0" w:space="0" w:color="auto"/>
        <w:left w:val="none" w:sz="0" w:space="0" w:color="auto"/>
        <w:bottom w:val="none" w:sz="0" w:space="0" w:color="auto"/>
        <w:right w:val="none" w:sz="0" w:space="0" w:color="auto"/>
      </w:divBdr>
    </w:div>
    <w:div w:id="209345304">
      <w:bodyDiv w:val="1"/>
      <w:marLeft w:val="0"/>
      <w:marRight w:val="0"/>
      <w:marTop w:val="0"/>
      <w:marBottom w:val="0"/>
      <w:divBdr>
        <w:top w:val="none" w:sz="0" w:space="0" w:color="auto"/>
        <w:left w:val="none" w:sz="0" w:space="0" w:color="auto"/>
        <w:bottom w:val="none" w:sz="0" w:space="0" w:color="auto"/>
        <w:right w:val="none" w:sz="0" w:space="0" w:color="auto"/>
      </w:divBdr>
    </w:div>
    <w:div w:id="217397283">
      <w:bodyDiv w:val="1"/>
      <w:marLeft w:val="0"/>
      <w:marRight w:val="0"/>
      <w:marTop w:val="0"/>
      <w:marBottom w:val="0"/>
      <w:divBdr>
        <w:top w:val="none" w:sz="0" w:space="0" w:color="auto"/>
        <w:left w:val="none" w:sz="0" w:space="0" w:color="auto"/>
        <w:bottom w:val="none" w:sz="0" w:space="0" w:color="auto"/>
        <w:right w:val="none" w:sz="0" w:space="0" w:color="auto"/>
      </w:divBdr>
    </w:div>
    <w:div w:id="220333803">
      <w:bodyDiv w:val="1"/>
      <w:marLeft w:val="0"/>
      <w:marRight w:val="0"/>
      <w:marTop w:val="0"/>
      <w:marBottom w:val="0"/>
      <w:divBdr>
        <w:top w:val="none" w:sz="0" w:space="0" w:color="auto"/>
        <w:left w:val="none" w:sz="0" w:space="0" w:color="auto"/>
        <w:bottom w:val="none" w:sz="0" w:space="0" w:color="auto"/>
        <w:right w:val="none" w:sz="0" w:space="0" w:color="auto"/>
      </w:divBdr>
    </w:div>
    <w:div w:id="222181423">
      <w:bodyDiv w:val="1"/>
      <w:marLeft w:val="0"/>
      <w:marRight w:val="0"/>
      <w:marTop w:val="0"/>
      <w:marBottom w:val="0"/>
      <w:divBdr>
        <w:top w:val="none" w:sz="0" w:space="0" w:color="auto"/>
        <w:left w:val="none" w:sz="0" w:space="0" w:color="auto"/>
        <w:bottom w:val="none" w:sz="0" w:space="0" w:color="auto"/>
        <w:right w:val="none" w:sz="0" w:space="0" w:color="auto"/>
      </w:divBdr>
    </w:div>
    <w:div w:id="237398695">
      <w:bodyDiv w:val="1"/>
      <w:marLeft w:val="0"/>
      <w:marRight w:val="0"/>
      <w:marTop w:val="0"/>
      <w:marBottom w:val="0"/>
      <w:divBdr>
        <w:top w:val="none" w:sz="0" w:space="0" w:color="auto"/>
        <w:left w:val="none" w:sz="0" w:space="0" w:color="auto"/>
        <w:bottom w:val="none" w:sz="0" w:space="0" w:color="auto"/>
        <w:right w:val="none" w:sz="0" w:space="0" w:color="auto"/>
      </w:divBdr>
    </w:div>
    <w:div w:id="239683309">
      <w:bodyDiv w:val="1"/>
      <w:marLeft w:val="0"/>
      <w:marRight w:val="0"/>
      <w:marTop w:val="0"/>
      <w:marBottom w:val="0"/>
      <w:divBdr>
        <w:top w:val="none" w:sz="0" w:space="0" w:color="auto"/>
        <w:left w:val="none" w:sz="0" w:space="0" w:color="auto"/>
        <w:bottom w:val="none" w:sz="0" w:space="0" w:color="auto"/>
        <w:right w:val="none" w:sz="0" w:space="0" w:color="auto"/>
      </w:divBdr>
    </w:div>
    <w:div w:id="239945094">
      <w:bodyDiv w:val="1"/>
      <w:marLeft w:val="0"/>
      <w:marRight w:val="0"/>
      <w:marTop w:val="0"/>
      <w:marBottom w:val="0"/>
      <w:divBdr>
        <w:top w:val="none" w:sz="0" w:space="0" w:color="auto"/>
        <w:left w:val="none" w:sz="0" w:space="0" w:color="auto"/>
        <w:bottom w:val="none" w:sz="0" w:space="0" w:color="auto"/>
        <w:right w:val="none" w:sz="0" w:space="0" w:color="auto"/>
      </w:divBdr>
    </w:div>
    <w:div w:id="248123276">
      <w:bodyDiv w:val="1"/>
      <w:marLeft w:val="0"/>
      <w:marRight w:val="0"/>
      <w:marTop w:val="0"/>
      <w:marBottom w:val="0"/>
      <w:divBdr>
        <w:top w:val="none" w:sz="0" w:space="0" w:color="auto"/>
        <w:left w:val="none" w:sz="0" w:space="0" w:color="auto"/>
        <w:bottom w:val="none" w:sz="0" w:space="0" w:color="auto"/>
        <w:right w:val="none" w:sz="0" w:space="0" w:color="auto"/>
      </w:divBdr>
    </w:div>
    <w:div w:id="252665811">
      <w:bodyDiv w:val="1"/>
      <w:marLeft w:val="0"/>
      <w:marRight w:val="0"/>
      <w:marTop w:val="0"/>
      <w:marBottom w:val="0"/>
      <w:divBdr>
        <w:top w:val="none" w:sz="0" w:space="0" w:color="auto"/>
        <w:left w:val="none" w:sz="0" w:space="0" w:color="auto"/>
        <w:bottom w:val="none" w:sz="0" w:space="0" w:color="auto"/>
        <w:right w:val="none" w:sz="0" w:space="0" w:color="auto"/>
      </w:divBdr>
    </w:div>
    <w:div w:id="294288722">
      <w:bodyDiv w:val="1"/>
      <w:marLeft w:val="0"/>
      <w:marRight w:val="0"/>
      <w:marTop w:val="0"/>
      <w:marBottom w:val="0"/>
      <w:divBdr>
        <w:top w:val="none" w:sz="0" w:space="0" w:color="auto"/>
        <w:left w:val="none" w:sz="0" w:space="0" w:color="auto"/>
        <w:bottom w:val="none" w:sz="0" w:space="0" w:color="auto"/>
        <w:right w:val="none" w:sz="0" w:space="0" w:color="auto"/>
      </w:divBdr>
    </w:div>
    <w:div w:id="323632130">
      <w:bodyDiv w:val="1"/>
      <w:marLeft w:val="0"/>
      <w:marRight w:val="0"/>
      <w:marTop w:val="0"/>
      <w:marBottom w:val="0"/>
      <w:divBdr>
        <w:top w:val="none" w:sz="0" w:space="0" w:color="auto"/>
        <w:left w:val="none" w:sz="0" w:space="0" w:color="auto"/>
        <w:bottom w:val="none" w:sz="0" w:space="0" w:color="auto"/>
        <w:right w:val="none" w:sz="0" w:space="0" w:color="auto"/>
      </w:divBdr>
    </w:div>
    <w:div w:id="324207332">
      <w:bodyDiv w:val="1"/>
      <w:marLeft w:val="0"/>
      <w:marRight w:val="0"/>
      <w:marTop w:val="0"/>
      <w:marBottom w:val="0"/>
      <w:divBdr>
        <w:top w:val="none" w:sz="0" w:space="0" w:color="auto"/>
        <w:left w:val="none" w:sz="0" w:space="0" w:color="auto"/>
        <w:bottom w:val="none" w:sz="0" w:space="0" w:color="auto"/>
        <w:right w:val="none" w:sz="0" w:space="0" w:color="auto"/>
      </w:divBdr>
    </w:div>
    <w:div w:id="334653241">
      <w:bodyDiv w:val="1"/>
      <w:marLeft w:val="0"/>
      <w:marRight w:val="0"/>
      <w:marTop w:val="0"/>
      <w:marBottom w:val="0"/>
      <w:divBdr>
        <w:top w:val="none" w:sz="0" w:space="0" w:color="auto"/>
        <w:left w:val="none" w:sz="0" w:space="0" w:color="auto"/>
        <w:bottom w:val="none" w:sz="0" w:space="0" w:color="auto"/>
        <w:right w:val="none" w:sz="0" w:space="0" w:color="auto"/>
      </w:divBdr>
    </w:div>
    <w:div w:id="340157971">
      <w:bodyDiv w:val="1"/>
      <w:marLeft w:val="0"/>
      <w:marRight w:val="0"/>
      <w:marTop w:val="0"/>
      <w:marBottom w:val="0"/>
      <w:divBdr>
        <w:top w:val="none" w:sz="0" w:space="0" w:color="auto"/>
        <w:left w:val="none" w:sz="0" w:space="0" w:color="auto"/>
        <w:bottom w:val="none" w:sz="0" w:space="0" w:color="auto"/>
        <w:right w:val="none" w:sz="0" w:space="0" w:color="auto"/>
      </w:divBdr>
    </w:div>
    <w:div w:id="369768834">
      <w:bodyDiv w:val="1"/>
      <w:marLeft w:val="0"/>
      <w:marRight w:val="0"/>
      <w:marTop w:val="0"/>
      <w:marBottom w:val="0"/>
      <w:divBdr>
        <w:top w:val="none" w:sz="0" w:space="0" w:color="auto"/>
        <w:left w:val="none" w:sz="0" w:space="0" w:color="auto"/>
        <w:bottom w:val="none" w:sz="0" w:space="0" w:color="auto"/>
        <w:right w:val="none" w:sz="0" w:space="0" w:color="auto"/>
      </w:divBdr>
    </w:div>
    <w:div w:id="371274484">
      <w:bodyDiv w:val="1"/>
      <w:marLeft w:val="0"/>
      <w:marRight w:val="0"/>
      <w:marTop w:val="0"/>
      <w:marBottom w:val="0"/>
      <w:divBdr>
        <w:top w:val="none" w:sz="0" w:space="0" w:color="auto"/>
        <w:left w:val="none" w:sz="0" w:space="0" w:color="auto"/>
        <w:bottom w:val="none" w:sz="0" w:space="0" w:color="auto"/>
        <w:right w:val="none" w:sz="0" w:space="0" w:color="auto"/>
      </w:divBdr>
    </w:div>
    <w:div w:id="381827479">
      <w:bodyDiv w:val="1"/>
      <w:marLeft w:val="0"/>
      <w:marRight w:val="0"/>
      <w:marTop w:val="0"/>
      <w:marBottom w:val="0"/>
      <w:divBdr>
        <w:top w:val="none" w:sz="0" w:space="0" w:color="auto"/>
        <w:left w:val="none" w:sz="0" w:space="0" w:color="auto"/>
        <w:bottom w:val="none" w:sz="0" w:space="0" w:color="auto"/>
        <w:right w:val="none" w:sz="0" w:space="0" w:color="auto"/>
      </w:divBdr>
    </w:div>
    <w:div w:id="384065748">
      <w:bodyDiv w:val="1"/>
      <w:marLeft w:val="0"/>
      <w:marRight w:val="0"/>
      <w:marTop w:val="0"/>
      <w:marBottom w:val="0"/>
      <w:divBdr>
        <w:top w:val="none" w:sz="0" w:space="0" w:color="auto"/>
        <w:left w:val="none" w:sz="0" w:space="0" w:color="auto"/>
        <w:bottom w:val="none" w:sz="0" w:space="0" w:color="auto"/>
        <w:right w:val="none" w:sz="0" w:space="0" w:color="auto"/>
      </w:divBdr>
    </w:div>
    <w:div w:id="406535667">
      <w:bodyDiv w:val="1"/>
      <w:marLeft w:val="0"/>
      <w:marRight w:val="0"/>
      <w:marTop w:val="0"/>
      <w:marBottom w:val="0"/>
      <w:divBdr>
        <w:top w:val="none" w:sz="0" w:space="0" w:color="auto"/>
        <w:left w:val="none" w:sz="0" w:space="0" w:color="auto"/>
        <w:bottom w:val="none" w:sz="0" w:space="0" w:color="auto"/>
        <w:right w:val="none" w:sz="0" w:space="0" w:color="auto"/>
      </w:divBdr>
    </w:div>
    <w:div w:id="408502172">
      <w:bodyDiv w:val="1"/>
      <w:marLeft w:val="0"/>
      <w:marRight w:val="0"/>
      <w:marTop w:val="0"/>
      <w:marBottom w:val="0"/>
      <w:divBdr>
        <w:top w:val="none" w:sz="0" w:space="0" w:color="auto"/>
        <w:left w:val="none" w:sz="0" w:space="0" w:color="auto"/>
        <w:bottom w:val="none" w:sz="0" w:space="0" w:color="auto"/>
        <w:right w:val="none" w:sz="0" w:space="0" w:color="auto"/>
      </w:divBdr>
    </w:div>
    <w:div w:id="434980643">
      <w:bodyDiv w:val="1"/>
      <w:marLeft w:val="0"/>
      <w:marRight w:val="0"/>
      <w:marTop w:val="0"/>
      <w:marBottom w:val="0"/>
      <w:divBdr>
        <w:top w:val="none" w:sz="0" w:space="0" w:color="auto"/>
        <w:left w:val="none" w:sz="0" w:space="0" w:color="auto"/>
        <w:bottom w:val="none" w:sz="0" w:space="0" w:color="auto"/>
        <w:right w:val="none" w:sz="0" w:space="0" w:color="auto"/>
      </w:divBdr>
    </w:div>
    <w:div w:id="435835346">
      <w:bodyDiv w:val="1"/>
      <w:marLeft w:val="0"/>
      <w:marRight w:val="0"/>
      <w:marTop w:val="0"/>
      <w:marBottom w:val="0"/>
      <w:divBdr>
        <w:top w:val="none" w:sz="0" w:space="0" w:color="auto"/>
        <w:left w:val="none" w:sz="0" w:space="0" w:color="auto"/>
        <w:bottom w:val="none" w:sz="0" w:space="0" w:color="auto"/>
        <w:right w:val="none" w:sz="0" w:space="0" w:color="auto"/>
      </w:divBdr>
    </w:div>
    <w:div w:id="457408131">
      <w:bodyDiv w:val="1"/>
      <w:marLeft w:val="0"/>
      <w:marRight w:val="0"/>
      <w:marTop w:val="0"/>
      <w:marBottom w:val="0"/>
      <w:divBdr>
        <w:top w:val="none" w:sz="0" w:space="0" w:color="auto"/>
        <w:left w:val="none" w:sz="0" w:space="0" w:color="auto"/>
        <w:bottom w:val="none" w:sz="0" w:space="0" w:color="auto"/>
        <w:right w:val="none" w:sz="0" w:space="0" w:color="auto"/>
      </w:divBdr>
    </w:div>
    <w:div w:id="486626999">
      <w:bodyDiv w:val="1"/>
      <w:marLeft w:val="0"/>
      <w:marRight w:val="0"/>
      <w:marTop w:val="0"/>
      <w:marBottom w:val="0"/>
      <w:divBdr>
        <w:top w:val="none" w:sz="0" w:space="0" w:color="auto"/>
        <w:left w:val="none" w:sz="0" w:space="0" w:color="auto"/>
        <w:bottom w:val="none" w:sz="0" w:space="0" w:color="auto"/>
        <w:right w:val="none" w:sz="0" w:space="0" w:color="auto"/>
      </w:divBdr>
    </w:div>
    <w:div w:id="487408136">
      <w:bodyDiv w:val="1"/>
      <w:marLeft w:val="0"/>
      <w:marRight w:val="0"/>
      <w:marTop w:val="0"/>
      <w:marBottom w:val="0"/>
      <w:divBdr>
        <w:top w:val="none" w:sz="0" w:space="0" w:color="auto"/>
        <w:left w:val="none" w:sz="0" w:space="0" w:color="auto"/>
        <w:bottom w:val="none" w:sz="0" w:space="0" w:color="auto"/>
        <w:right w:val="none" w:sz="0" w:space="0" w:color="auto"/>
      </w:divBdr>
    </w:div>
    <w:div w:id="522591278">
      <w:bodyDiv w:val="1"/>
      <w:marLeft w:val="0"/>
      <w:marRight w:val="0"/>
      <w:marTop w:val="0"/>
      <w:marBottom w:val="0"/>
      <w:divBdr>
        <w:top w:val="none" w:sz="0" w:space="0" w:color="auto"/>
        <w:left w:val="none" w:sz="0" w:space="0" w:color="auto"/>
        <w:bottom w:val="none" w:sz="0" w:space="0" w:color="auto"/>
        <w:right w:val="none" w:sz="0" w:space="0" w:color="auto"/>
      </w:divBdr>
    </w:div>
    <w:div w:id="523792898">
      <w:bodyDiv w:val="1"/>
      <w:marLeft w:val="0"/>
      <w:marRight w:val="0"/>
      <w:marTop w:val="0"/>
      <w:marBottom w:val="0"/>
      <w:divBdr>
        <w:top w:val="none" w:sz="0" w:space="0" w:color="auto"/>
        <w:left w:val="none" w:sz="0" w:space="0" w:color="auto"/>
        <w:bottom w:val="none" w:sz="0" w:space="0" w:color="auto"/>
        <w:right w:val="none" w:sz="0" w:space="0" w:color="auto"/>
      </w:divBdr>
    </w:div>
    <w:div w:id="528030594">
      <w:bodyDiv w:val="1"/>
      <w:marLeft w:val="0"/>
      <w:marRight w:val="0"/>
      <w:marTop w:val="0"/>
      <w:marBottom w:val="0"/>
      <w:divBdr>
        <w:top w:val="none" w:sz="0" w:space="0" w:color="auto"/>
        <w:left w:val="none" w:sz="0" w:space="0" w:color="auto"/>
        <w:bottom w:val="none" w:sz="0" w:space="0" w:color="auto"/>
        <w:right w:val="none" w:sz="0" w:space="0" w:color="auto"/>
      </w:divBdr>
    </w:div>
    <w:div w:id="538393471">
      <w:bodyDiv w:val="1"/>
      <w:marLeft w:val="0"/>
      <w:marRight w:val="0"/>
      <w:marTop w:val="0"/>
      <w:marBottom w:val="0"/>
      <w:divBdr>
        <w:top w:val="none" w:sz="0" w:space="0" w:color="auto"/>
        <w:left w:val="none" w:sz="0" w:space="0" w:color="auto"/>
        <w:bottom w:val="none" w:sz="0" w:space="0" w:color="auto"/>
        <w:right w:val="none" w:sz="0" w:space="0" w:color="auto"/>
      </w:divBdr>
    </w:div>
    <w:div w:id="541020893">
      <w:bodyDiv w:val="1"/>
      <w:marLeft w:val="0"/>
      <w:marRight w:val="0"/>
      <w:marTop w:val="0"/>
      <w:marBottom w:val="0"/>
      <w:divBdr>
        <w:top w:val="none" w:sz="0" w:space="0" w:color="auto"/>
        <w:left w:val="none" w:sz="0" w:space="0" w:color="auto"/>
        <w:bottom w:val="none" w:sz="0" w:space="0" w:color="auto"/>
        <w:right w:val="none" w:sz="0" w:space="0" w:color="auto"/>
      </w:divBdr>
    </w:div>
    <w:div w:id="552010838">
      <w:bodyDiv w:val="1"/>
      <w:marLeft w:val="0"/>
      <w:marRight w:val="0"/>
      <w:marTop w:val="0"/>
      <w:marBottom w:val="0"/>
      <w:divBdr>
        <w:top w:val="none" w:sz="0" w:space="0" w:color="auto"/>
        <w:left w:val="none" w:sz="0" w:space="0" w:color="auto"/>
        <w:bottom w:val="none" w:sz="0" w:space="0" w:color="auto"/>
        <w:right w:val="none" w:sz="0" w:space="0" w:color="auto"/>
      </w:divBdr>
    </w:div>
    <w:div w:id="561675862">
      <w:bodyDiv w:val="1"/>
      <w:marLeft w:val="0"/>
      <w:marRight w:val="0"/>
      <w:marTop w:val="0"/>
      <w:marBottom w:val="0"/>
      <w:divBdr>
        <w:top w:val="none" w:sz="0" w:space="0" w:color="auto"/>
        <w:left w:val="none" w:sz="0" w:space="0" w:color="auto"/>
        <w:bottom w:val="none" w:sz="0" w:space="0" w:color="auto"/>
        <w:right w:val="none" w:sz="0" w:space="0" w:color="auto"/>
      </w:divBdr>
    </w:div>
    <w:div w:id="572860010">
      <w:bodyDiv w:val="1"/>
      <w:marLeft w:val="0"/>
      <w:marRight w:val="0"/>
      <w:marTop w:val="0"/>
      <w:marBottom w:val="0"/>
      <w:divBdr>
        <w:top w:val="none" w:sz="0" w:space="0" w:color="auto"/>
        <w:left w:val="none" w:sz="0" w:space="0" w:color="auto"/>
        <w:bottom w:val="none" w:sz="0" w:space="0" w:color="auto"/>
        <w:right w:val="none" w:sz="0" w:space="0" w:color="auto"/>
      </w:divBdr>
    </w:div>
    <w:div w:id="589509344">
      <w:bodyDiv w:val="1"/>
      <w:marLeft w:val="0"/>
      <w:marRight w:val="0"/>
      <w:marTop w:val="0"/>
      <w:marBottom w:val="0"/>
      <w:divBdr>
        <w:top w:val="none" w:sz="0" w:space="0" w:color="auto"/>
        <w:left w:val="none" w:sz="0" w:space="0" w:color="auto"/>
        <w:bottom w:val="none" w:sz="0" w:space="0" w:color="auto"/>
        <w:right w:val="none" w:sz="0" w:space="0" w:color="auto"/>
      </w:divBdr>
    </w:div>
    <w:div w:id="602956089">
      <w:bodyDiv w:val="1"/>
      <w:marLeft w:val="0"/>
      <w:marRight w:val="0"/>
      <w:marTop w:val="0"/>
      <w:marBottom w:val="0"/>
      <w:divBdr>
        <w:top w:val="none" w:sz="0" w:space="0" w:color="auto"/>
        <w:left w:val="none" w:sz="0" w:space="0" w:color="auto"/>
        <w:bottom w:val="none" w:sz="0" w:space="0" w:color="auto"/>
        <w:right w:val="none" w:sz="0" w:space="0" w:color="auto"/>
      </w:divBdr>
    </w:div>
    <w:div w:id="604994692">
      <w:bodyDiv w:val="1"/>
      <w:marLeft w:val="0"/>
      <w:marRight w:val="0"/>
      <w:marTop w:val="0"/>
      <w:marBottom w:val="0"/>
      <w:divBdr>
        <w:top w:val="none" w:sz="0" w:space="0" w:color="auto"/>
        <w:left w:val="none" w:sz="0" w:space="0" w:color="auto"/>
        <w:bottom w:val="none" w:sz="0" w:space="0" w:color="auto"/>
        <w:right w:val="none" w:sz="0" w:space="0" w:color="auto"/>
      </w:divBdr>
    </w:div>
    <w:div w:id="623389132">
      <w:bodyDiv w:val="1"/>
      <w:marLeft w:val="0"/>
      <w:marRight w:val="0"/>
      <w:marTop w:val="0"/>
      <w:marBottom w:val="0"/>
      <w:divBdr>
        <w:top w:val="none" w:sz="0" w:space="0" w:color="auto"/>
        <w:left w:val="none" w:sz="0" w:space="0" w:color="auto"/>
        <w:bottom w:val="none" w:sz="0" w:space="0" w:color="auto"/>
        <w:right w:val="none" w:sz="0" w:space="0" w:color="auto"/>
      </w:divBdr>
    </w:div>
    <w:div w:id="627904036">
      <w:bodyDiv w:val="1"/>
      <w:marLeft w:val="0"/>
      <w:marRight w:val="0"/>
      <w:marTop w:val="0"/>
      <w:marBottom w:val="0"/>
      <w:divBdr>
        <w:top w:val="none" w:sz="0" w:space="0" w:color="auto"/>
        <w:left w:val="none" w:sz="0" w:space="0" w:color="auto"/>
        <w:bottom w:val="none" w:sz="0" w:space="0" w:color="auto"/>
        <w:right w:val="none" w:sz="0" w:space="0" w:color="auto"/>
      </w:divBdr>
    </w:div>
    <w:div w:id="629819923">
      <w:bodyDiv w:val="1"/>
      <w:marLeft w:val="0"/>
      <w:marRight w:val="0"/>
      <w:marTop w:val="0"/>
      <w:marBottom w:val="0"/>
      <w:divBdr>
        <w:top w:val="none" w:sz="0" w:space="0" w:color="auto"/>
        <w:left w:val="none" w:sz="0" w:space="0" w:color="auto"/>
        <w:bottom w:val="none" w:sz="0" w:space="0" w:color="auto"/>
        <w:right w:val="none" w:sz="0" w:space="0" w:color="auto"/>
      </w:divBdr>
    </w:div>
    <w:div w:id="649331539">
      <w:bodyDiv w:val="1"/>
      <w:marLeft w:val="0"/>
      <w:marRight w:val="0"/>
      <w:marTop w:val="0"/>
      <w:marBottom w:val="0"/>
      <w:divBdr>
        <w:top w:val="none" w:sz="0" w:space="0" w:color="auto"/>
        <w:left w:val="none" w:sz="0" w:space="0" w:color="auto"/>
        <w:bottom w:val="none" w:sz="0" w:space="0" w:color="auto"/>
        <w:right w:val="none" w:sz="0" w:space="0" w:color="auto"/>
      </w:divBdr>
    </w:div>
    <w:div w:id="652178685">
      <w:bodyDiv w:val="1"/>
      <w:marLeft w:val="0"/>
      <w:marRight w:val="0"/>
      <w:marTop w:val="0"/>
      <w:marBottom w:val="0"/>
      <w:divBdr>
        <w:top w:val="none" w:sz="0" w:space="0" w:color="auto"/>
        <w:left w:val="none" w:sz="0" w:space="0" w:color="auto"/>
        <w:bottom w:val="none" w:sz="0" w:space="0" w:color="auto"/>
        <w:right w:val="none" w:sz="0" w:space="0" w:color="auto"/>
      </w:divBdr>
    </w:div>
    <w:div w:id="653073214">
      <w:bodyDiv w:val="1"/>
      <w:marLeft w:val="0"/>
      <w:marRight w:val="0"/>
      <w:marTop w:val="0"/>
      <w:marBottom w:val="0"/>
      <w:divBdr>
        <w:top w:val="none" w:sz="0" w:space="0" w:color="auto"/>
        <w:left w:val="none" w:sz="0" w:space="0" w:color="auto"/>
        <w:bottom w:val="none" w:sz="0" w:space="0" w:color="auto"/>
        <w:right w:val="none" w:sz="0" w:space="0" w:color="auto"/>
      </w:divBdr>
    </w:div>
    <w:div w:id="657727597">
      <w:bodyDiv w:val="1"/>
      <w:marLeft w:val="0"/>
      <w:marRight w:val="0"/>
      <w:marTop w:val="0"/>
      <w:marBottom w:val="0"/>
      <w:divBdr>
        <w:top w:val="none" w:sz="0" w:space="0" w:color="auto"/>
        <w:left w:val="none" w:sz="0" w:space="0" w:color="auto"/>
        <w:bottom w:val="none" w:sz="0" w:space="0" w:color="auto"/>
        <w:right w:val="none" w:sz="0" w:space="0" w:color="auto"/>
      </w:divBdr>
    </w:div>
    <w:div w:id="662437999">
      <w:bodyDiv w:val="1"/>
      <w:marLeft w:val="0"/>
      <w:marRight w:val="0"/>
      <w:marTop w:val="0"/>
      <w:marBottom w:val="0"/>
      <w:divBdr>
        <w:top w:val="none" w:sz="0" w:space="0" w:color="auto"/>
        <w:left w:val="none" w:sz="0" w:space="0" w:color="auto"/>
        <w:bottom w:val="none" w:sz="0" w:space="0" w:color="auto"/>
        <w:right w:val="none" w:sz="0" w:space="0" w:color="auto"/>
      </w:divBdr>
    </w:div>
    <w:div w:id="665861225">
      <w:bodyDiv w:val="1"/>
      <w:marLeft w:val="0"/>
      <w:marRight w:val="0"/>
      <w:marTop w:val="0"/>
      <w:marBottom w:val="0"/>
      <w:divBdr>
        <w:top w:val="none" w:sz="0" w:space="0" w:color="auto"/>
        <w:left w:val="none" w:sz="0" w:space="0" w:color="auto"/>
        <w:bottom w:val="none" w:sz="0" w:space="0" w:color="auto"/>
        <w:right w:val="none" w:sz="0" w:space="0" w:color="auto"/>
      </w:divBdr>
    </w:div>
    <w:div w:id="676925575">
      <w:bodyDiv w:val="1"/>
      <w:marLeft w:val="0"/>
      <w:marRight w:val="0"/>
      <w:marTop w:val="0"/>
      <w:marBottom w:val="0"/>
      <w:divBdr>
        <w:top w:val="none" w:sz="0" w:space="0" w:color="auto"/>
        <w:left w:val="none" w:sz="0" w:space="0" w:color="auto"/>
        <w:bottom w:val="none" w:sz="0" w:space="0" w:color="auto"/>
        <w:right w:val="none" w:sz="0" w:space="0" w:color="auto"/>
      </w:divBdr>
    </w:div>
    <w:div w:id="679889618">
      <w:bodyDiv w:val="1"/>
      <w:marLeft w:val="0"/>
      <w:marRight w:val="0"/>
      <w:marTop w:val="0"/>
      <w:marBottom w:val="0"/>
      <w:divBdr>
        <w:top w:val="none" w:sz="0" w:space="0" w:color="auto"/>
        <w:left w:val="none" w:sz="0" w:space="0" w:color="auto"/>
        <w:bottom w:val="none" w:sz="0" w:space="0" w:color="auto"/>
        <w:right w:val="none" w:sz="0" w:space="0" w:color="auto"/>
      </w:divBdr>
    </w:div>
    <w:div w:id="687604989">
      <w:bodyDiv w:val="1"/>
      <w:marLeft w:val="0"/>
      <w:marRight w:val="0"/>
      <w:marTop w:val="0"/>
      <w:marBottom w:val="0"/>
      <w:divBdr>
        <w:top w:val="none" w:sz="0" w:space="0" w:color="auto"/>
        <w:left w:val="none" w:sz="0" w:space="0" w:color="auto"/>
        <w:bottom w:val="none" w:sz="0" w:space="0" w:color="auto"/>
        <w:right w:val="none" w:sz="0" w:space="0" w:color="auto"/>
      </w:divBdr>
    </w:div>
    <w:div w:id="688727298">
      <w:bodyDiv w:val="1"/>
      <w:marLeft w:val="0"/>
      <w:marRight w:val="0"/>
      <w:marTop w:val="0"/>
      <w:marBottom w:val="0"/>
      <w:divBdr>
        <w:top w:val="none" w:sz="0" w:space="0" w:color="auto"/>
        <w:left w:val="none" w:sz="0" w:space="0" w:color="auto"/>
        <w:bottom w:val="none" w:sz="0" w:space="0" w:color="auto"/>
        <w:right w:val="none" w:sz="0" w:space="0" w:color="auto"/>
      </w:divBdr>
    </w:div>
    <w:div w:id="703332937">
      <w:bodyDiv w:val="1"/>
      <w:marLeft w:val="0"/>
      <w:marRight w:val="0"/>
      <w:marTop w:val="0"/>
      <w:marBottom w:val="0"/>
      <w:divBdr>
        <w:top w:val="none" w:sz="0" w:space="0" w:color="auto"/>
        <w:left w:val="none" w:sz="0" w:space="0" w:color="auto"/>
        <w:bottom w:val="none" w:sz="0" w:space="0" w:color="auto"/>
        <w:right w:val="none" w:sz="0" w:space="0" w:color="auto"/>
      </w:divBdr>
    </w:div>
    <w:div w:id="708145374">
      <w:bodyDiv w:val="1"/>
      <w:marLeft w:val="0"/>
      <w:marRight w:val="0"/>
      <w:marTop w:val="0"/>
      <w:marBottom w:val="0"/>
      <w:divBdr>
        <w:top w:val="none" w:sz="0" w:space="0" w:color="auto"/>
        <w:left w:val="none" w:sz="0" w:space="0" w:color="auto"/>
        <w:bottom w:val="none" w:sz="0" w:space="0" w:color="auto"/>
        <w:right w:val="none" w:sz="0" w:space="0" w:color="auto"/>
      </w:divBdr>
    </w:div>
    <w:div w:id="718288165">
      <w:bodyDiv w:val="1"/>
      <w:marLeft w:val="0"/>
      <w:marRight w:val="0"/>
      <w:marTop w:val="0"/>
      <w:marBottom w:val="0"/>
      <w:divBdr>
        <w:top w:val="none" w:sz="0" w:space="0" w:color="auto"/>
        <w:left w:val="none" w:sz="0" w:space="0" w:color="auto"/>
        <w:bottom w:val="none" w:sz="0" w:space="0" w:color="auto"/>
        <w:right w:val="none" w:sz="0" w:space="0" w:color="auto"/>
      </w:divBdr>
    </w:div>
    <w:div w:id="721440150">
      <w:bodyDiv w:val="1"/>
      <w:marLeft w:val="0"/>
      <w:marRight w:val="0"/>
      <w:marTop w:val="0"/>
      <w:marBottom w:val="0"/>
      <w:divBdr>
        <w:top w:val="none" w:sz="0" w:space="0" w:color="auto"/>
        <w:left w:val="none" w:sz="0" w:space="0" w:color="auto"/>
        <w:bottom w:val="none" w:sz="0" w:space="0" w:color="auto"/>
        <w:right w:val="none" w:sz="0" w:space="0" w:color="auto"/>
      </w:divBdr>
    </w:div>
    <w:div w:id="766343383">
      <w:bodyDiv w:val="1"/>
      <w:marLeft w:val="0"/>
      <w:marRight w:val="0"/>
      <w:marTop w:val="0"/>
      <w:marBottom w:val="0"/>
      <w:divBdr>
        <w:top w:val="none" w:sz="0" w:space="0" w:color="auto"/>
        <w:left w:val="none" w:sz="0" w:space="0" w:color="auto"/>
        <w:bottom w:val="none" w:sz="0" w:space="0" w:color="auto"/>
        <w:right w:val="none" w:sz="0" w:space="0" w:color="auto"/>
      </w:divBdr>
    </w:div>
    <w:div w:id="770930518">
      <w:bodyDiv w:val="1"/>
      <w:marLeft w:val="0"/>
      <w:marRight w:val="0"/>
      <w:marTop w:val="0"/>
      <w:marBottom w:val="0"/>
      <w:divBdr>
        <w:top w:val="none" w:sz="0" w:space="0" w:color="auto"/>
        <w:left w:val="none" w:sz="0" w:space="0" w:color="auto"/>
        <w:bottom w:val="none" w:sz="0" w:space="0" w:color="auto"/>
        <w:right w:val="none" w:sz="0" w:space="0" w:color="auto"/>
      </w:divBdr>
    </w:div>
    <w:div w:id="775058723">
      <w:bodyDiv w:val="1"/>
      <w:marLeft w:val="0"/>
      <w:marRight w:val="0"/>
      <w:marTop w:val="0"/>
      <w:marBottom w:val="0"/>
      <w:divBdr>
        <w:top w:val="none" w:sz="0" w:space="0" w:color="auto"/>
        <w:left w:val="none" w:sz="0" w:space="0" w:color="auto"/>
        <w:bottom w:val="none" w:sz="0" w:space="0" w:color="auto"/>
        <w:right w:val="none" w:sz="0" w:space="0" w:color="auto"/>
      </w:divBdr>
    </w:div>
    <w:div w:id="786122578">
      <w:bodyDiv w:val="1"/>
      <w:marLeft w:val="0"/>
      <w:marRight w:val="0"/>
      <w:marTop w:val="0"/>
      <w:marBottom w:val="0"/>
      <w:divBdr>
        <w:top w:val="none" w:sz="0" w:space="0" w:color="auto"/>
        <w:left w:val="none" w:sz="0" w:space="0" w:color="auto"/>
        <w:bottom w:val="none" w:sz="0" w:space="0" w:color="auto"/>
        <w:right w:val="none" w:sz="0" w:space="0" w:color="auto"/>
      </w:divBdr>
    </w:div>
    <w:div w:id="791363985">
      <w:bodyDiv w:val="1"/>
      <w:marLeft w:val="0"/>
      <w:marRight w:val="0"/>
      <w:marTop w:val="0"/>
      <w:marBottom w:val="0"/>
      <w:divBdr>
        <w:top w:val="none" w:sz="0" w:space="0" w:color="auto"/>
        <w:left w:val="none" w:sz="0" w:space="0" w:color="auto"/>
        <w:bottom w:val="none" w:sz="0" w:space="0" w:color="auto"/>
        <w:right w:val="none" w:sz="0" w:space="0" w:color="auto"/>
      </w:divBdr>
    </w:div>
    <w:div w:id="799490917">
      <w:bodyDiv w:val="1"/>
      <w:marLeft w:val="0"/>
      <w:marRight w:val="0"/>
      <w:marTop w:val="0"/>
      <w:marBottom w:val="0"/>
      <w:divBdr>
        <w:top w:val="none" w:sz="0" w:space="0" w:color="auto"/>
        <w:left w:val="none" w:sz="0" w:space="0" w:color="auto"/>
        <w:bottom w:val="none" w:sz="0" w:space="0" w:color="auto"/>
        <w:right w:val="none" w:sz="0" w:space="0" w:color="auto"/>
      </w:divBdr>
    </w:div>
    <w:div w:id="802044845">
      <w:bodyDiv w:val="1"/>
      <w:marLeft w:val="0"/>
      <w:marRight w:val="0"/>
      <w:marTop w:val="0"/>
      <w:marBottom w:val="0"/>
      <w:divBdr>
        <w:top w:val="none" w:sz="0" w:space="0" w:color="auto"/>
        <w:left w:val="none" w:sz="0" w:space="0" w:color="auto"/>
        <w:bottom w:val="none" w:sz="0" w:space="0" w:color="auto"/>
        <w:right w:val="none" w:sz="0" w:space="0" w:color="auto"/>
      </w:divBdr>
    </w:div>
    <w:div w:id="810171959">
      <w:bodyDiv w:val="1"/>
      <w:marLeft w:val="0"/>
      <w:marRight w:val="0"/>
      <w:marTop w:val="0"/>
      <w:marBottom w:val="0"/>
      <w:divBdr>
        <w:top w:val="none" w:sz="0" w:space="0" w:color="auto"/>
        <w:left w:val="none" w:sz="0" w:space="0" w:color="auto"/>
        <w:bottom w:val="none" w:sz="0" w:space="0" w:color="auto"/>
        <w:right w:val="none" w:sz="0" w:space="0" w:color="auto"/>
      </w:divBdr>
    </w:div>
    <w:div w:id="820198298">
      <w:bodyDiv w:val="1"/>
      <w:marLeft w:val="0"/>
      <w:marRight w:val="0"/>
      <w:marTop w:val="0"/>
      <w:marBottom w:val="0"/>
      <w:divBdr>
        <w:top w:val="none" w:sz="0" w:space="0" w:color="auto"/>
        <w:left w:val="none" w:sz="0" w:space="0" w:color="auto"/>
        <w:bottom w:val="none" w:sz="0" w:space="0" w:color="auto"/>
        <w:right w:val="none" w:sz="0" w:space="0" w:color="auto"/>
      </w:divBdr>
    </w:div>
    <w:div w:id="827405661">
      <w:bodyDiv w:val="1"/>
      <w:marLeft w:val="0"/>
      <w:marRight w:val="0"/>
      <w:marTop w:val="0"/>
      <w:marBottom w:val="0"/>
      <w:divBdr>
        <w:top w:val="none" w:sz="0" w:space="0" w:color="auto"/>
        <w:left w:val="none" w:sz="0" w:space="0" w:color="auto"/>
        <w:bottom w:val="none" w:sz="0" w:space="0" w:color="auto"/>
        <w:right w:val="none" w:sz="0" w:space="0" w:color="auto"/>
      </w:divBdr>
    </w:div>
    <w:div w:id="830369702">
      <w:bodyDiv w:val="1"/>
      <w:marLeft w:val="0"/>
      <w:marRight w:val="0"/>
      <w:marTop w:val="0"/>
      <w:marBottom w:val="0"/>
      <w:divBdr>
        <w:top w:val="none" w:sz="0" w:space="0" w:color="auto"/>
        <w:left w:val="none" w:sz="0" w:space="0" w:color="auto"/>
        <w:bottom w:val="none" w:sz="0" w:space="0" w:color="auto"/>
        <w:right w:val="none" w:sz="0" w:space="0" w:color="auto"/>
      </w:divBdr>
    </w:div>
    <w:div w:id="836043445">
      <w:bodyDiv w:val="1"/>
      <w:marLeft w:val="0"/>
      <w:marRight w:val="0"/>
      <w:marTop w:val="0"/>
      <w:marBottom w:val="0"/>
      <w:divBdr>
        <w:top w:val="none" w:sz="0" w:space="0" w:color="auto"/>
        <w:left w:val="none" w:sz="0" w:space="0" w:color="auto"/>
        <w:bottom w:val="none" w:sz="0" w:space="0" w:color="auto"/>
        <w:right w:val="none" w:sz="0" w:space="0" w:color="auto"/>
      </w:divBdr>
    </w:div>
    <w:div w:id="847646451">
      <w:bodyDiv w:val="1"/>
      <w:marLeft w:val="0"/>
      <w:marRight w:val="0"/>
      <w:marTop w:val="0"/>
      <w:marBottom w:val="0"/>
      <w:divBdr>
        <w:top w:val="none" w:sz="0" w:space="0" w:color="auto"/>
        <w:left w:val="none" w:sz="0" w:space="0" w:color="auto"/>
        <w:bottom w:val="none" w:sz="0" w:space="0" w:color="auto"/>
        <w:right w:val="none" w:sz="0" w:space="0" w:color="auto"/>
      </w:divBdr>
    </w:div>
    <w:div w:id="848981687">
      <w:bodyDiv w:val="1"/>
      <w:marLeft w:val="0"/>
      <w:marRight w:val="0"/>
      <w:marTop w:val="0"/>
      <w:marBottom w:val="0"/>
      <w:divBdr>
        <w:top w:val="none" w:sz="0" w:space="0" w:color="auto"/>
        <w:left w:val="none" w:sz="0" w:space="0" w:color="auto"/>
        <w:bottom w:val="none" w:sz="0" w:space="0" w:color="auto"/>
        <w:right w:val="none" w:sz="0" w:space="0" w:color="auto"/>
      </w:divBdr>
    </w:div>
    <w:div w:id="854079389">
      <w:bodyDiv w:val="1"/>
      <w:marLeft w:val="0"/>
      <w:marRight w:val="0"/>
      <w:marTop w:val="0"/>
      <w:marBottom w:val="0"/>
      <w:divBdr>
        <w:top w:val="none" w:sz="0" w:space="0" w:color="auto"/>
        <w:left w:val="none" w:sz="0" w:space="0" w:color="auto"/>
        <w:bottom w:val="none" w:sz="0" w:space="0" w:color="auto"/>
        <w:right w:val="none" w:sz="0" w:space="0" w:color="auto"/>
      </w:divBdr>
    </w:div>
    <w:div w:id="854537694">
      <w:bodyDiv w:val="1"/>
      <w:marLeft w:val="0"/>
      <w:marRight w:val="0"/>
      <w:marTop w:val="0"/>
      <w:marBottom w:val="0"/>
      <w:divBdr>
        <w:top w:val="none" w:sz="0" w:space="0" w:color="auto"/>
        <w:left w:val="none" w:sz="0" w:space="0" w:color="auto"/>
        <w:bottom w:val="none" w:sz="0" w:space="0" w:color="auto"/>
        <w:right w:val="none" w:sz="0" w:space="0" w:color="auto"/>
      </w:divBdr>
    </w:div>
    <w:div w:id="855537030">
      <w:bodyDiv w:val="1"/>
      <w:marLeft w:val="0"/>
      <w:marRight w:val="0"/>
      <w:marTop w:val="0"/>
      <w:marBottom w:val="0"/>
      <w:divBdr>
        <w:top w:val="none" w:sz="0" w:space="0" w:color="auto"/>
        <w:left w:val="none" w:sz="0" w:space="0" w:color="auto"/>
        <w:bottom w:val="none" w:sz="0" w:space="0" w:color="auto"/>
        <w:right w:val="none" w:sz="0" w:space="0" w:color="auto"/>
      </w:divBdr>
    </w:div>
    <w:div w:id="859972793">
      <w:bodyDiv w:val="1"/>
      <w:marLeft w:val="0"/>
      <w:marRight w:val="0"/>
      <w:marTop w:val="0"/>
      <w:marBottom w:val="0"/>
      <w:divBdr>
        <w:top w:val="none" w:sz="0" w:space="0" w:color="auto"/>
        <w:left w:val="none" w:sz="0" w:space="0" w:color="auto"/>
        <w:bottom w:val="none" w:sz="0" w:space="0" w:color="auto"/>
        <w:right w:val="none" w:sz="0" w:space="0" w:color="auto"/>
      </w:divBdr>
    </w:div>
    <w:div w:id="862284357">
      <w:bodyDiv w:val="1"/>
      <w:marLeft w:val="0"/>
      <w:marRight w:val="0"/>
      <w:marTop w:val="0"/>
      <w:marBottom w:val="0"/>
      <w:divBdr>
        <w:top w:val="none" w:sz="0" w:space="0" w:color="auto"/>
        <w:left w:val="none" w:sz="0" w:space="0" w:color="auto"/>
        <w:bottom w:val="none" w:sz="0" w:space="0" w:color="auto"/>
        <w:right w:val="none" w:sz="0" w:space="0" w:color="auto"/>
      </w:divBdr>
    </w:div>
    <w:div w:id="868570070">
      <w:bodyDiv w:val="1"/>
      <w:marLeft w:val="0"/>
      <w:marRight w:val="0"/>
      <w:marTop w:val="0"/>
      <w:marBottom w:val="0"/>
      <w:divBdr>
        <w:top w:val="none" w:sz="0" w:space="0" w:color="auto"/>
        <w:left w:val="none" w:sz="0" w:space="0" w:color="auto"/>
        <w:bottom w:val="none" w:sz="0" w:space="0" w:color="auto"/>
        <w:right w:val="none" w:sz="0" w:space="0" w:color="auto"/>
      </w:divBdr>
    </w:div>
    <w:div w:id="883908524">
      <w:bodyDiv w:val="1"/>
      <w:marLeft w:val="0"/>
      <w:marRight w:val="0"/>
      <w:marTop w:val="0"/>
      <w:marBottom w:val="0"/>
      <w:divBdr>
        <w:top w:val="none" w:sz="0" w:space="0" w:color="auto"/>
        <w:left w:val="none" w:sz="0" w:space="0" w:color="auto"/>
        <w:bottom w:val="none" w:sz="0" w:space="0" w:color="auto"/>
        <w:right w:val="none" w:sz="0" w:space="0" w:color="auto"/>
      </w:divBdr>
    </w:div>
    <w:div w:id="887035429">
      <w:bodyDiv w:val="1"/>
      <w:marLeft w:val="0"/>
      <w:marRight w:val="0"/>
      <w:marTop w:val="0"/>
      <w:marBottom w:val="0"/>
      <w:divBdr>
        <w:top w:val="none" w:sz="0" w:space="0" w:color="auto"/>
        <w:left w:val="none" w:sz="0" w:space="0" w:color="auto"/>
        <w:bottom w:val="none" w:sz="0" w:space="0" w:color="auto"/>
        <w:right w:val="none" w:sz="0" w:space="0" w:color="auto"/>
      </w:divBdr>
    </w:div>
    <w:div w:id="894464709">
      <w:bodyDiv w:val="1"/>
      <w:marLeft w:val="0"/>
      <w:marRight w:val="0"/>
      <w:marTop w:val="0"/>
      <w:marBottom w:val="0"/>
      <w:divBdr>
        <w:top w:val="none" w:sz="0" w:space="0" w:color="auto"/>
        <w:left w:val="none" w:sz="0" w:space="0" w:color="auto"/>
        <w:bottom w:val="none" w:sz="0" w:space="0" w:color="auto"/>
        <w:right w:val="none" w:sz="0" w:space="0" w:color="auto"/>
      </w:divBdr>
    </w:div>
    <w:div w:id="914556356">
      <w:bodyDiv w:val="1"/>
      <w:marLeft w:val="0"/>
      <w:marRight w:val="0"/>
      <w:marTop w:val="0"/>
      <w:marBottom w:val="0"/>
      <w:divBdr>
        <w:top w:val="none" w:sz="0" w:space="0" w:color="auto"/>
        <w:left w:val="none" w:sz="0" w:space="0" w:color="auto"/>
        <w:bottom w:val="none" w:sz="0" w:space="0" w:color="auto"/>
        <w:right w:val="none" w:sz="0" w:space="0" w:color="auto"/>
      </w:divBdr>
    </w:div>
    <w:div w:id="919144838">
      <w:bodyDiv w:val="1"/>
      <w:marLeft w:val="0"/>
      <w:marRight w:val="0"/>
      <w:marTop w:val="0"/>
      <w:marBottom w:val="0"/>
      <w:divBdr>
        <w:top w:val="none" w:sz="0" w:space="0" w:color="auto"/>
        <w:left w:val="none" w:sz="0" w:space="0" w:color="auto"/>
        <w:bottom w:val="none" w:sz="0" w:space="0" w:color="auto"/>
        <w:right w:val="none" w:sz="0" w:space="0" w:color="auto"/>
      </w:divBdr>
    </w:div>
    <w:div w:id="922300714">
      <w:bodyDiv w:val="1"/>
      <w:marLeft w:val="0"/>
      <w:marRight w:val="0"/>
      <w:marTop w:val="0"/>
      <w:marBottom w:val="0"/>
      <w:divBdr>
        <w:top w:val="none" w:sz="0" w:space="0" w:color="auto"/>
        <w:left w:val="none" w:sz="0" w:space="0" w:color="auto"/>
        <w:bottom w:val="none" w:sz="0" w:space="0" w:color="auto"/>
        <w:right w:val="none" w:sz="0" w:space="0" w:color="auto"/>
      </w:divBdr>
    </w:div>
    <w:div w:id="935945761">
      <w:bodyDiv w:val="1"/>
      <w:marLeft w:val="0"/>
      <w:marRight w:val="0"/>
      <w:marTop w:val="0"/>
      <w:marBottom w:val="0"/>
      <w:divBdr>
        <w:top w:val="none" w:sz="0" w:space="0" w:color="auto"/>
        <w:left w:val="none" w:sz="0" w:space="0" w:color="auto"/>
        <w:bottom w:val="none" w:sz="0" w:space="0" w:color="auto"/>
        <w:right w:val="none" w:sz="0" w:space="0" w:color="auto"/>
      </w:divBdr>
    </w:div>
    <w:div w:id="966665595">
      <w:bodyDiv w:val="1"/>
      <w:marLeft w:val="0"/>
      <w:marRight w:val="0"/>
      <w:marTop w:val="0"/>
      <w:marBottom w:val="0"/>
      <w:divBdr>
        <w:top w:val="none" w:sz="0" w:space="0" w:color="auto"/>
        <w:left w:val="none" w:sz="0" w:space="0" w:color="auto"/>
        <w:bottom w:val="none" w:sz="0" w:space="0" w:color="auto"/>
        <w:right w:val="none" w:sz="0" w:space="0" w:color="auto"/>
      </w:divBdr>
    </w:div>
    <w:div w:id="969091863">
      <w:bodyDiv w:val="1"/>
      <w:marLeft w:val="0"/>
      <w:marRight w:val="0"/>
      <w:marTop w:val="0"/>
      <w:marBottom w:val="0"/>
      <w:divBdr>
        <w:top w:val="none" w:sz="0" w:space="0" w:color="auto"/>
        <w:left w:val="none" w:sz="0" w:space="0" w:color="auto"/>
        <w:bottom w:val="none" w:sz="0" w:space="0" w:color="auto"/>
        <w:right w:val="none" w:sz="0" w:space="0" w:color="auto"/>
      </w:divBdr>
    </w:div>
    <w:div w:id="985935513">
      <w:bodyDiv w:val="1"/>
      <w:marLeft w:val="0"/>
      <w:marRight w:val="0"/>
      <w:marTop w:val="0"/>
      <w:marBottom w:val="0"/>
      <w:divBdr>
        <w:top w:val="none" w:sz="0" w:space="0" w:color="auto"/>
        <w:left w:val="none" w:sz="0" w:space="0" w:color="auto"/>
        <w:bottom w:val="none" w:sz="0" w:space="0" w:color="auto"/>
        <w:right w:val="none" w:sz="0" w:space="0" w:color="auto"/>
      </w:divBdr>
    </w:div>
    <w:div w:id="986713678">
      <w:bodyDiv w:val="1"/>
      <w:marLeft w:val="0"/>
      <w:marRight w:val="0"/>
      <w:marTop w:val="0"/>
      <w:marBottom w:val="0"/>
      <w:divBdr>
        <w:top w:val="none" w:sz="0" w:space="0" w:color="auto"/>
        <w:left w:val="none" w:sz="0" w:space="0" w:color="auto"/>
        <w:bottom w:val="none" w:sz="0" w:space="0" w:color="auto"/>
        <w:right w:val="none" w:sz="0" w:space="0" w:color="auto"/>
      </w:divBdr>
    </w:div>
    <w:div w:id="999238963">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 w:id="1022899832">
      <w:bodyDiv w:val="1"/>
      <w:marLeft w:val="0"/>
      <w:marRight w:val="0"/>
      <w:marTop w:val="0"/>
      <w:marBottom w:val="0"/>
      <w:divBdr>
        <w:top w:val="none" w:sz="0" w:space="0" w:color="auto"/>
        <w:left w:val="none" w:sz="0" w:space="0" w:color="auto"/>
        <w:bottom w:val="none" w:sz="0" w:space="0" w:color="auto"/>
        <w:right w:val="none" w:sz="0" w:space="0" w:color="auto"/>
      </w:divBdr>
    </w:div>
    <w:div w:id="1023214537">
      <w:bodyDiv w:val="1"/>
      <w:marLeft w:val="0"/>
      <w:marRight w:val="0"/>
      <w:marTop w:val="0"/>
      <w:marBottom w:val="0"/>
      <w:divBdr>
        <w:top w:val="none" w:sz="0" w:space="0" w:color="auto"/>
        <w:left w:val="none" w:sz="0" w:space="0" w:color="auto"/>
        <w:bottom w:val="none" w:sz="0" w:space="0" w:color="auto"/>
        <w:right w:val="none" w:sz="0" w:space="0" w:color="auto"/>
      </w:divBdr>
    </w:div>
    <w:div w:id="1023828619">
      <w:bodyDiv w:val="1"/>
      <w:marLeft w:val="0"/>
      <w:marRight w:val="0"/>
      <w:marTop w:val="0"/>
      <w:marBottom w:val="0"/>
      <w:divBdr>
        <w:top w:val="none" w:sz="0" w:space="0" w:color="auto"/>
        <w:left w:val="none" w:sz="0" w:space="0" w:color="auto"/>
        <w:bottom w:val="none" w:sz="0" w:space="0" w:color="auto"/>
        <w:right w:val="none" w:sz="0" w:space="0" w:color="auto"/>
      </w:divBdr>
    </w:div>
    <w:div w:id="1032614082">
      <w:bodyDiv w:val="1"/>
      <w:marLeft w:val="0"/>
      <w:marRight w:val="0"/>
      <w:marTop w:val="0"/>
      <w:marBottom w:val="0"/>
      <w:divBdr>
        <w:top w:val="none" w:sz="0" w:space="0" w:color="auto"/>
        <w:left w:val="none" w:sz="0" w:space="0" w:color="auto"/>
        <w:bottom w:val="none" w:sz="0" w:space="0" w:color="auto"/>
        <w:right w:val="none" w:sz="0" w:space="0" w:color="auto"/>
      </w:divBdr>
    </w:div>
    <w:div w:id="1041973583">
      <w:bodyDiv w:val="1"/>
      <w:marLeft w:val="0"/>
      <w:marRight w:val="0"/>
      <w:marTop w:val="0"/>
      <w:marBottom w:val="0"/>
      <w:divBdr>
        <w:top w:val="none" w:sz="0" w:space="0" w:color="auto"/>
        <w:left w:val="none" w:sz="0" w:space="0" w:color="auto"/>
        <w:bottom w:val="none" w:sz="0" w:space="0" w:color="auto"/>
        <w:right w:val="none" w:sz="0" w:space="0" w:color="auto"/>
      </w:divBdr>
    </w:div>
    <w:div w:id="1056393652">
      <w:bodyDiv w:val="1"/>
      <w:marLeft w:val="0"/>
      <w:marRight w:val="0"/>
      <w:marTop w:val="0"/>
      <w:marBottom w:val="0"/>
      <w:divBdr>
        <w:top w:val="none" w:sz="0" w:space="0" w:color="auto"/>
        <w:left w:val="none" w:sz="0" w:space="0" w:color="auto"/>
        <w:bottom w:val="none" w:sz="0" w:space="0" w:color="auto"/>
        <w:right w:val="none" w:sz="0" w:space="0" w:color="auto"/>
      </w:divBdr>
    </w:div>
    <w:div w:id="1082524670">
      <w:bodyDiv w:val="1"/>
      <w:marLeft w:val="0"/>
      <w:marRight w:val="0"/>
      <w:marTop w:val="0"/>
      <w:marBottom w:val="0"/>
      <w:divBdr>
        <w:top w:val="none" w:sz="0" w:space="0" w:color="auto"/>
        <w:left w:val="none" w:sz="0" w:space="0" w:color="auto"/>
        <w:bottom w:val="none" w:sz="0" w:space="0" w:color="auto"/>
        <w:right w:val="none" w:sz="0" w:space="0" w:color="auto"/>
      </w:divBdr>
    </w:div>
    <w:div w:id="1093285222">
      <w:bodyDiv w:val="1"/>
      <w:marLeft w:val="0"/>
      <w:marRight w:val="0"/>
      <w:marTop w:val="0"/>
      <w:marBottom w:val="0"/>
      <w:divBdr>
        <w:top w:val="none" w:sz="0" w:space="0" w:color="auto"/>
        <w:left w:val="none" w:sz="0" w:space="0" w:color="auto"/>
        <w:bottom w:val="none" w:sz="0" w:space="0" w:color="auto"/>
        <w:right w:val="none" w:sz="0" w:space="0" w:color="auto"/>
      </w:divBdr>
    </w:div>
    <w:div w:id="1097095013">
      <w:bodyDiv w:val="1"/>
      <w:marLeft w:val="0"/>
      <w:marRight w:val="0"/>
      <w:marTop w:val="0"/>
      <w:marBottom w:val="0"/>
      <w:divBdr>
        <w:top w:val="none" w:sz="0" w:space="0" w:color="auto"/>
        <w:left w:val="none" w:sz="0" w:space="0" w:color="auto"/>
        <w:bottom w:val="none" w:sz="0" w:space="0" w:color="auto"/>
        <w:right w:val="none" w:sz="0" w:space="0" w:color="auto"/>
      </w:divBdr>
    </w:div>
    <w:div w:id="1119570119">
      <w:bodyDiv w:val="1"/>
      <w:marLeft w:val="0"/>
      <w:marRight w:val="0"/>
      <w:marTop w:val="0"/>
      <w:marBottom w:val="0"/>
      <w:divBdr>
        <w:top w:val="none" w:sz="0" w:space="0" w:color="auto"/>
        <w:left w:val="none" w:sz="0" w:space="0" w:color="auto"/>
        <w:bottom w:val="none" w:sz="0" w:space="0" w:color="auto"/>
        <w:right w:val="none" w:sz="0" w:space="0" w:color="auto"/>
      </w:divBdr>
    </w:div>
    <w:div w:id="1126241554">
      <w:bodyDiv w:val="1"/>
      <w:marLeft w:val="0"/>
      <w:marRight w:val="0"/>
      <w:marTop w:val="0"/>
      <w:marBottom w:val="0"/>
      <w:divBdr>
        <w:top w:val="none" w:sz="0" w:space="0" w:color="auto"/>
        <w:left w:val="none" w:sz="0" w:space="0" w:color="auto"/>
        <w:bottom w:val="none" w:sz="0" w:space="0" w:color="auto"/>
        <w:right w:val="none" w:sz="0" w:space="0" w:color="auto"/>
      </w:divBdr>
    </w:div>
    <w:div w:id="1131090326">
      <w:bodyDiv w:val="1"/>
      <w:marLeft w:val="0"/>
      <w:marRight w:val="0"/>
      <w:marTop w:val="0"/>
      <w:marBottom w:val="0"/>
      <w:divBdr>
        <w:top w:val="none" w:sz="0" w:space="0" w:color="auto"/>
        <w:left w:val="none" w:sz="0" w:space="0" w:color="auto"/>
        <w:bottom w:val="none" w:sz="0" w:space="0" w:color="auto"/>
        <w:right w:val="none" w:sz="0" w:space="0" w:color="auto"/>
      </w:divBdr>
    </w:div>
    <w:div w:id="1140616604">
      <w:bodyDiv w:val="1"/>
      <w:marLeft w:val="0"/>
      <w:marRight w:val="0"/>
      <w:marTop w:val="0"/>
      <w:marBottom w:val="0"/>
      <w:divBdr>
        <w:top w:val="none" w:sz="0" w:space="0" w:color="auto"/>
        <w:left w:val="none" w:sz="0" w:space="0" w:color="auto"/>
        <w:bottom w:val="none" w:sz="0" w:space="0" w:color="auto"/>
        <w:right w:val="none" w:sz="0" w:space="0" w:color="auto"/>
      </w:divBdr>
    </w:div>
    <w:div w:id="1142161505">
      <w:bodyDiv w:val="1"/>
      <w:marLeft w:val="0"/>
      <w:marRight w:val="0"/>
      <w:marTop w:val="0"/>
      <w:marBottom w:val="0"/>
      <w:divBdr>
        <w:top w:val="none" w:sz="0" w:space="0" w:color="auto"/>
        <w:left w:val="none" w:sz="0" w:space="0" w:color="auto"/>
        <w:bottom w:val="none" w:sz="0" w:space="0" w:color="auto"/>
        <w:right w:val="none" w:sz="0" w:space="0" w:color="auto"/>
      </w:divBdr>
    </w:div>
    <w:div w:id="1160536816">
      <w:bodyDiv w:val="1"/>
      <w:marLeft w:val="0"/>
      <w:marRight w:val="0"/>
      <w:marTop w:val="0"/>
      <w:marBottom w:val="0"/>
      <w:divBdr>
        <w:top w:val="none" w:sz="0" w:space="0" w:color="auto"/>
        <w:left w:val="none" w:sz="0" w:space="0" w:color="auto"/>
        <w:bottom w:val="none" w:sz="0" w:space="0" w:color="auto"/>
        <w:right w:val="none" w:sz="0" w:space="0" w:color="auto"/>
      </w:divBdr>
    </w:div>
    <w:div w:id="1163083591">
      <w:bodyDiv w:val="1"/>
      <w:marLeft w:val="0"/>
      <w:marRight w:val="0"/>
      <w:marTop w:val="0"/>
      <w:marBottom w:val="0"/>
      <w:divBdr>
        <w:top w:val="none" w:sz="0" w:space="0" w:color="auto"/>
        <w:left w:val="none" w:sz="0" w:space="0" w:color="auto"/>
        <w:bottom w:val="none" w:sz="0" w:space="0" w:color="auto"/>
        <w:right w:val="none" w:sz="0" w:space="0" w:color="auto"/>
      </w:divBdr>
    </w:div>
    <w:div w:id="1213924786">
      <w:bodyDiv w:val="1"/>
      <w:marLeft w:val="0"/>
      <w:marRight w:val="0"/>
      <w:marTop w:val="0"/>
      <w:marBottom w:val="0"/>
      <w:divBdr>
        <w:top w:val="none" w:sz="0" w:space="0" w:color="auto"/>
        <w:left w:val="none" w:sz="0" w:space="0" w:color="auto"/>
        <w:bottom w:val="none" w:sz="0" w:space="0" w:color="auto"/>
        <w:right w:val="none" w:sz="0" w:space="0" w:color="auto"/>
      </w:divBdr>
    </w:div>
    <w:div w:id="1215628577">
      <w:bodyDiv w:val="1"/>
      <w:marLeft w:val="0"/>
      <w:marRight w:val="0"/>
      <w:marTop w:val="0"/>
      <w:marBottom w:val="0"/>
      <w:divBdr>
        <w:top w:val="none" w:sz="0" w:space="0" w:color="auto"/>
        <w:left w:val="none" w:sz="0" w:space="0" w:color="auto"/>
        <w:bottom w:val="none" w:sz="0" w:space="0" w:color="auto"/>
        <w:right w:val="none" w:sz="0" w:space="0" w:color="auto"/>
      </w:divBdr>
    </w:div>
    <w:div w:id="1218778961">
      <w:bodyDiv w:val="1"/>
      <w:marLeft w:val="0"/>
      <w:marRight w:val="0"/>
      <w:marTop w:val="0"/>
      <w:marBottom w:val="0"/>
      <w:divBdr>
        <w:top w:val="none" w:sz="0" w:space="0" w:color="auto"/>
        <w:left w:val="none" w:sz="0" w:space="0" w:color="auto"/>
        <w:bottom w:val="none" w:sz="0" w:space="0" w:color="auto"/>
        <w:right w:val="none" w:sz="0" w:space="0" w:color="auto"/>
      </w:divBdr>
    </w:div>
    <w:div w:id="1234269343">
      <w:bodyDiv w:val="1"/>
      <w:marLeft w:val="0"/>
      <w:marRight w:val="0"/>
      <w:marTop w:val="0"/>
      <w:marBottom w:val="0"/>
      <w:divBdr>
        <w:top w:val="none" w:sz="0" w:space="0" w:color="auto"/>
        <w:left w:val="none" w:sz="0" w:space="0" w:color="auto"/>
        <w:bottom w:val="none" w:sz="0" w:space="0" w:color="auto"/>
        <w:right w:val="none" w:sz="0" w:space="0" w:color="auto"/>
      </w:divBdr>
    </w:div>
    <w:div w:id="1238243611">
      <w:bodyDiv w:val="1"/>
      <w:marLeft w:val="0"/>
      <w:marRight w:val="0"/>
      <w:marTop w:val="0"/>
      <w:marBottom w:val="0"/>
      <w:divBdr>
        <w:top w:val="none" w:sz="0" w:space="0" w:color="auto"/>
        <w:left w:val="none" w:sz="0" w:space="0" w:color="auto"/>
        <w:bottom w:val="none" w:sz="0" w:space="0" w:color="auto"/>
        <w:right w:val="none" w:sz="0" w:space="0" w:color="auto"/>
      </w:divBdr>
    </w:div>
    <w:div w:id="1245801401">
      <w:bodyDiv w:val="1"/>
      <w:marLeft w:val="0"/>
      <w:marRight w:val="0"/>
      <w:marTop w:val="0"/>
      <w:marBottom w:val="0"/>
      <w:divBdr>
        <w:top w:val="none" w:sz="0" w:space="0" w:color="auto"/>
        <w:left w:val="none" w:sz="0" w:space="0" w:color="auto"/>
        <w:bottom w:val="none" w:sz="0" w:space="0" w:color="auto"/>
        <w:right w:val="none" w:sz="0" w:space="0" w:color="auto"/>
      </w:divBdr>
    </w:div>
    <w:div w:id="1247300391">
      <w:bodyDiv w:val="1"/>
      <w:marLeft w:val="0"/>
      <w:marRight w:val="0"/>
      <w:marTop w:val="0"/>
      <w:marBottom w:val="0"/>
      <w:divBdr>
        <w:top w:val="none" w:sz="0" w:space="0" w:color="auto"/>
        <w:left w:val="none" w:sz="0" w:space="0" w:color="auto"/>
        <w:bottom w:val="none" w:sz="0" w:space="0" w:color="auto"/>
        <w:right w:val="none" w:sz="0" w:space="0" w:color="auto"/>
      </w:divBdr>
    </w:div>
    <w:div w:id="1252734533">
      <w:bodyDiv w:val="1"/>
      <w:marLeft w:val="0"/>
      <w:marRight w:val="0"/>
      <w:marTop w:val="0"/>
      <w:marBottom w:val="0"/>
      <w:divBdr>
        <w:top w:val="none" w:sz="0" w:space="0" w:color="auto"/>
        <w:left w:val="none" w:sz="0" w:space="0" w:color="auto"/>
        <w:bottom w:val="none" w:sz="0" w:space="0" w:color="auto"/>
        <w:right w:val="none" w:sz="0" w:space="0" w:color="auto"/>
      </w:divBdr>
    </w:div>
    <w:div w:id="1300458300">
      <w:bodyDiv w:val="1"/>
      <w:marLeft w:val="0"/>
      <w:marRight w:val="0"/>
      <w:marTop w:val="0"/>
      <w:marBottom w:val="0"/>
      <w:divBdr>
        <w:top w:val="none" w:sz="0" w:space="0" w:color="auto"/>
        <w:left w:val="none" w:sz="0" w:space="0" w:color="auto"/>
        <w:bottom w:val="none" w:sz="0" w:space="0" w:color="auto"/>
        <w:right w:val="none" w:sz="0" w:space="0" w:color="auto"/>
      </w:divBdr>
    </w:div>
    <w:div w:id="1301763137">
      <w:bodyDiv w:val="1"/>
      <w:marLeft w:val="0"/>
      <w:marRight w:val="0"/>
      <w:marTop w:val="0"/>
      <w:marBottom w:val="0"/>
      <w:divBdr>
        <w:top w:val="none" w:sz="0" w:space="0" w:color="auto"/>
        <w:left w:val="none" w:sz="0" w:space="0" w:color="auto"/>
        <w:bottom w:val="none" w:sz="0" w:space="0" w:color="auto"/>
        <w:right w:val="none" w:sz="0" w:space="0" w:color="auto"/>
      </w:divBdr>
    </w:div>
    <w:div w:id="1312097579">
      <w:bodyDiv w:val="1"/>
      <w:marLeft w:val="0"/>
      <w:marRight w:val="0"/>
      <w:marTop w:val="0"/>
      <w:marBottom w:val="0"/>
      <w:divBdr>
        <w:top w:val="none" w:sz="0" w:space="0" w:color="auto"/>
        <w:left w:val="none" w:sz="0" w:space="0" w:color="auto"/>
        <w:bottom w:val="none" w:sz="0" w:space="0" w:color="auto"/>
        <w:right w:val="none" w:sz="0" w:space="0" w:color="auto"/>
      </w:divBdr>
    </w:div>
    <w:div w:id="1314984638">
      <w:bodyDiv w:val="1"/>
      <w:marLeft w:val="0"/>
      <w:marRight w:val="0"/>
      <w:marTop w:val="0"/>
      <w:marBottom w:val="0"/>
      <w:divBdr>
        <w:top w:val="none" w:sz="0" w:space="0" w:color="auto"/>
        <w:left w:val="none" w:sz="0" w:space="0" w:color="auto"/>
        <w:bottom w:val="none" w:sz="0" w:space="0" w:color="auto"/>
        <w:right w:val="none" w:sz="0" w:space="0" w:color="auto"/>
      </w:divBdr>
    </w:div>
    <w:div w:id="1345933287">
      <w:bodyDiv w:val="1"/>
      <w:marLeft w:val="0"/>
      <w:marRight w:val="0"/>
      <w:marTop w:val="0"/>
      <w:marBottom w:val="0"/>
      <w:divBdr>
        <w:top w:val="none" w:sz="0" w:space="0" w:color="auto"/>
        <w:left w:val="none" w:sz="0" w:space="0" w:color="auto"/>
        <w:bottom w:val="none" w:sz="0" w:space="0" w:color="auto"/>
        <w:right w:val="none" w:sz="0" w:space="0" w:color="auto"/>
      </w:divBdr>
    </w:div>
    <w:div w:id="1353872181">
      <w:bodyDiv w:val="1"/>
      <w:marLeft w:val="0"/>
      <w:marRight w:val="0"/>
      <w:marTop w:val="0"/>
      <w:marBottom w:val="0"/>
      <w:divBdr>
        <w:top w:val="none" w:sz="0" w:space="0" w:color="auto"/>
        <w:left w:val="none" w:sz="0" w:space="0" w:color="auto"/>
        <w:bottom w:val="none" w:sz="0" w:space="0" w:color="auto"/>
        <w:right w:val="none" w:sz="0" w:space="0" w:color="auto"/>
      </w:divBdr>
    </w:div>
    <w:div w:id="1365473945">
      <w:bodyDiv w:val="1"/>
      <w:marLeft w:val="0"/>
      <w:marRight w:val="0"/>
      <w:marTop w:val="0"/>
      <w:marBottom w:val="0"/>
      <w:divBdr>
        <w:top w:val="none" w:sz="0" w:space="0" w:color="auto"/>
        <w:left w:val="none" w:sz="0" w:space="0" w:color="auto"/>
        <w:bottom w:val="none" w:sz="0" w:space="0" w:color="auto"/>
        <w:right w:val="none" w:sz="0" w:space="0" w:color="auto"/>
      </w:divBdr>
    </w:div>
    <w:div w:id="1379624587">
      <w:bodyDiv w:val="1"/>
      <w:marLeft w:val="0"/>
      <w:marRight w:val="0"/>
      <w:marTop w:val="0"/>
      <w:marBottom w:val="0"/>
      <w:divBdr>
        <w:top w:val="none" w:sz="0" w:space="0" w:color="auto"/>
        <w:left w:val="none" w:sz="0" w:space="0" w:color="auto"/>
        <w:bottom w:val="none" w:sz="0" w:space="0" w:color="auto"/>
        <w:right w:val="none" w:sz="0" w:space="0" w:color="auto"/>
      </w:divBdr>
    </w:div>
    <w:div w:id="1392772685">
      <w:bodyDiv w:val="1"/>
      <w:marLeft w:val="0"/>
      <w:marRight w:val="0"/>
      <w:marTop w:val="0"/>
      <w:marBottom w:val="0"/>
      <w:divBdr>
        <w:top w:val="none" w:sz="0" w:space="0" w:color="auto"/>
        <w:left w:val="none" w:sz="0" w:space="0" w:color="auto"/>
        <w:bottom w:val="none" w:sz="0" w:space="0" w:color="auto"/>
        <w:right w:val="none" w:sz="0" w:space="0" w:color="auto"/>
      </w:divBdr>
    </w:div>
    <w:div w:id="1401562913">
      <w:bodyDiv w:val="1"/>
      <w:marLeft w:val="0"/>
      <w:marRight w:val="0"/>
      <w:marTop w:val="0"/>
      <w:marBottom w:val="0"/>
      <w:divBdr>
        <w:top w:val="none" w:sz="0" w:space="0" w:color="auto"/>
        <w:left w:val="none" w:sz="0" w:space="0" w:color="auto"/>
        <w:bottom w:val="none" w:sz="0" w:space="0" w:color="auto"/>
        <w:right w:val="none" w:sz="0" w:space="0" w:color="auto"/>
      </w:divBdr>
    </w:div>
    <w:div w:id="1402750684">
      <w:bodyDiv w:val="1"/>
      <w:marLeft w:val="0"/>
      <w:marRight w:val="0"/>
      <w:marTop w:val="0"/>
      <w:marBottom w:val="0"/>
      <w:divBdr>
        <w:top w:val="none" w:sz="0" w:space="0" w:color="auto"/>
        <w:left w:val="none" w:sz="0" w:space="0" w:color="auto"/>
        <w:bottom w:val="none" w:sz="0" w:space="0" w:color="auto"/>
        <w:right w:val="none" w:sz="0" w:space="0" w:color="auto"/>
      </w:divBdr>
    </w:div>
    <w:div w:id="1412046456">
      <w:bodyDiv w:val="1"/>
      <w:marLeft w:val="0"/>
      <w:marRight w:val="0"/>
      <w:marTop w:val="0"/>
      <w:marBottom w:val="0"/>
      <w:divBdr>
        <w:top w:val="none" w:sz="0" w:space="0" w:color="auto"/>
        <w:left w:val="none" w:sz="0" w:space="0" w:color="auto"/>
        <w:bottom w:val="none" w:sz="0" w:space="0" w:color="auto"/>
        <w:right w:val="none" w:sz="0" w:space="0" w:color="auto"/>
      </w:divBdr>
    </w:div>
    <w:div w:id="1426342231">
      <w:bodyDiv w:val="1"/>
      <w:marLeft w:val="0"/>
      <w:marRight w:val="0"/>
      <w:marTop w:val="0"/>
      <w:marBottom w:val="0"/>
      <w:divBdr>
        <w:top w:val="none" w:sz="0" w:space="0" w:color="auto"/>
        <w:left w:val="none" w:sz="0" w:space="0" w:color="auto"/>
        <w:bottom w:val="none" w:sz="0" w:space="0" w:color="auto"/>
        <w:right w:val="none" w:sz="0" w:space="0" w:color="auto"/>
      </w:divBdr>
    </w:div>
    <w:div w:id="1433237878">
      <w:bodyDiv w:val="1"/>
      <w:marLeft w:val="0"/>
      <w:marRight w:val="0"/>
      <w:marTop w:val="0"/>
      <w:marBottom w:val="0"/>
      <w:divBdr>
        <w:top w:val="none" w:sz="0" w:space="0" w:color="auto"/>
        <w:left w:val="none" w:sz="0" w:space="0" w:color="auto"/>
        <w:bottom w:val="none" w:sz="0" w:space="0" w:color="auto"/>
        <w:right w:val="none" w:sz="0" w:space="0" w:color="auto"/>
      </w:divBdr>
    </w:div>
    <w:div w:id="1434208971">
      <w:bodyDiv w:val="1"/>
      <w:marLeft w:val="0"/>
      <w:marRight w:val="0"/>
      <w:marTop w:val="0"/>
      <w:marBottom w:val="0"/>
      <w:divBdr>
        <w:top w:val="none" w:sz="0" w:space="0" w:color="auto"/>
        <w:left w:val="none" w:sz="0" w:space="0" w:color="auto"/>
        <w:bottom w:val="none" w:sz="0" w:space="0" w:color="auto"/>
        <w:right w:val="none" w:sz="0" w:space="0" w:color="auto"/>
      </w:divBdr>
    </w:div>
    <w:div w:id="1439328375">
      <w:bodyDiv w:val="1"/>
      <w:marLeft w:val="0"/>
      <w:marRight w:val="0"/>
      <w:marTop w:val="0"/>
      <w:marBottom w:val="0"/>
      <w:divBdr>
        <w:top w:val="none" w:sz="0" w:space="0" w:color="auto"/>
        <w:left w:val="none" w:sz="0" w:space="0" w:color="auto"/>
        <w:bottom w:val="none" w:sz="0" w:space="0" w:color="auto"/>
        <w:right w:val="none" w:sz="0" w:space="0" w:color="auto"/>
      </w:divBdr>
    </w:div>
    <w:div w:id="1451439665">
      <w:bodyDiv w:val="1"/>
      <w:marLeft w:val="0"/>
      <w:marRight w:val="0"/>
      <w:marTop w:val="0"/>
      <w:marBottom w:val="0"/>
      <w:divBdr>
        <w:top w:val="none" w:sz="0" w:space="0" w:color="auto"/>
        <w:left w:val="none" w:sz="0" w:space="0" w:color="auto"/>
        <w:bottom w:val="none" w:sz="0" w:space="0" w:color="auto"/>
        <w:right w:val="none" w:sz="0" w:space="0" w:color="auto"/>
      </w:divBdr>
    </w:div>
    <w:div w:id="1474786172">
      <w:bodyDiv w:val="1"/>
      <w:marLeft w:val="0"/>
      <w:marRight w:val="0"/>
      <w:marTop w:val="0"/>
      <w:marBottom w:val="0"/>
      <w:divBdr>
        <w:top w:val="none" w:sz="0" w:space="0" w:color="auto"/>
        <w:left w:val="none" w:sz="0" w:space="0" w:color="auto"/>
        <w:bottom w:val="none" w:sz="0" w:space="0" w:color="auto"/>
        <w:right w:val="none" w:sz="0" w:space="0" w:color="auto"/>
      </w:divBdr>
    </w:div>
    <w:div w:id="1479422030">
      <w:bodyDiv w:val="1"/>
      <w:marLeft w:val="0"/>
      <w:marRight w:val="0"/>
      <w:marTop w:val="0"/>
      <w:marBottom w:val="0"/>
      <w:divBdr>
        <w:top w:val="none" w:sz="0" w:space="0" w:color="auto"/>
        <w:left w:val="none" w:sz="0" w:space="0" w:color="auto"/>
        <w:bottom w:val="none" w:sz="0" w:space="0" w:color="auto"/>
        <w:right w:val="none" w:sz="0" w:space="0" w:color="auto"/>
      </w:divBdr>
    </w:div>
    <w:div w:id="1480731986">
      <w:bodyDiv w:val="1"/>
      <w:marLeft w:val="0"/>
      <w:marRight w:val="0"/>
      <w:marTop w:val="0"/>
      <w:marBottom w:val="0"/>
      <w:divBdr>
        <w:top w:val="none" w:sz="0" w:space="0" w:color="auto"/>
        <w:left w:val="none" w:sz="0" w:space="0" w:color="auto"/>
        <w:bottom w:val="none" w:sz="0" w:space="0" w:color="auto"/>
        <w:right w:val="none" w:sz="0" w:space="0" w:color="auto"/>
      </w:divBdr>
    </w:div>
    <w:div w:id="1481534331">
      <w:bodyDiv w:val="1"/>
      <w:marLeft w:val="0"/>
      <w:marRight w:val="0"/>
      <w:marTop w:val="0"/>
      <w:marBottom w:val="0"/>
      <w:divBdr>
        <w:top w:val="none" w:sz="0" w:space="0" w:color="auto"/>
        <w:left w:val="none" w:sz="0" w:space="0" w:color="auto"/>
        <w:bottom w:val="none" w:sz="0" w:space="0" w:color="auto"/>
        <w:right w:val="none" w:sz="0" w:space="0" w:color="auto"/>
      </w:divBdr>
    </w:div>
    <w:div w:id="1489593274">
      <w:bodyDiv w:val="1"/>
      <w:marLeft w:val="0"/>
      <w:marRight w:val="0"/>
      <w:marTop w:val="0"/>
      <w:marBottom w:val="0"/>
      <w:divBdr>
        <w:top w:val="none" w:sz="0" w:space="0" w:color="auto"/>
        <w:left w:val="none" w:sz="0" w:space="0" w:color="auto"/>
        <w:bottom w:val="none" w:sz="0" w:space="0" w:color="auto"/>
        <w:right w:val="none" w:sz="0" w:space="0" w:color="auto"/>
      </w:divBdr>
    </w:div>
    <w:div w:id="1496535319">
      <w:bodyDiv w:val="1"/>
      <w:marLeft w:val="0"/>
      <w:marRight w:val="0"/>
      <w:marTop w:val="0"/>
      <w:marBottom w:val="0"/>
      <w:divBdr>
        <w:top w:val="none" w:sz="0" w:space="0" w:color="auto"/>
        <w:left w:val="none" w:sz="0" w:space="0" w:color="auto"/>
        <w:bottom w:val="none" w:sz="0" w:space="0" w:color="auto"/>
        <w:right w:val="none" w:sz="0" w:space="0" w:color="auto"/>
      </w:divBdr>
    </w:div>
    <w:div w:id="1506674729">
      <w:bodyDiv w:val="1"/>
      <w:marLeft w:val="0"/>
      <w:marRight w:val="0"/>
      <w:marTop w:val="0"/>
      <w:marBottom w:val="0"/>
      <w:divBdr>
        <w:top w:val="none" w:sz="0" w:space="0" w:color="auto"/>
        <w:left w:val="none" w:sz="0" w:space="0" w:color="auto"/>
        <w:bottom w:val="none" w:sz="0" w:space="0" w:color="auto"/>
        <w:right w:val="none" w:sz="0" w:space="0" w:color="auto"/>
      </w:divBdr>
    </w:div>
    <w:div w:id="1510874732">
      <w:bodyDiv w:val="1"/>
      <w:marLeft w:val="0"/>
      <w:marRight w:val="0"/>
      <w:marTop w:val="0"/>
      <w:marBottom w:val="0"/>
      <w:divBdr>
        <w:top w:val="none" w:sz="0" w:space="0" w:color="auto"/>
        <w:left w:val="none" w:sz="0" w:space="0" w:color="auto"/>
        <w:bottom w:val="none" w:sz="0" w:space="0" w:color="auto"/>
        <w:right w:val="none" w:sz="0" w:space="0" w:color="auto"/>
      </w:divBdr>
    </w:div>
    <w:div w:id="1514876697">
      <w:bodyDiv w:val="1"/>
      <w:marLeft w:val="0"/>
      <w:marRight w:val="0"/>
      <w:marTop w:val="0"/>
      <w:marBottom w:val="0"/>
      <w:divBdr>
        <w:top w:val="none" w:sz="0" w:space="0" w:color="auto"/>
        <w:left w:val="none" w:sz="0" w:space="0" w:color="auto"/>
        <w:bottom w:val="none" w:sz="0" w:space="0" w:color="auto"/>
        <w:right w:val="none" w:sz="0" w:space="0" w:color="auto"/>
      </w:divBdr>
    </w:div>
    <w:div w:id="1519735274">
      <w:bodyDiv w:val="1"/>
      <w:marLeft w:val="0"/>
      <w:marRight w:val="0"/>
      <w:marTop w:val="0"/>
      <w:marBottom w:val="0"/>
      <w:divBdr>
        <w:top w:val="none" w:sz="0" w:space="0" w:color="auto"/>
        <w:left w:val="none" w:sz="0" w:space="0" w:color="auto"/>
        <w:bottom w:val="none" w:sz="0" w:space="0" w:color="auto"/>
        <w:right w:val="none" w:sz="0" w:space="0" w:color="auto"/>
      </w:divBdr>
    </w:div>
    <w:div w:id="1542395547">
      <w:bodyDiv w:val="1"/>
      <w:marLeft w:val="0"/>
      <w:marRight w:val="0"/>
      <w:marTop w:val="0"/>
      <w:marBottom w:val="0"/>
      <w:divBdr>
        <w:top w:val="none" w:sz="0" w:space="0" w:color="auto"/>
        <w:left w:val="none" w:sz="0" w:space="0" w:color="auto"/>
        <w:bottom w:val="none" w:sz="0" w:space="0" w:color="auto"/>
        <w:right w:val="none" w:sz="0" w:space="0" w:color="auto"/>
      </w:divBdr>
    </w:div>
    <w:div w:id="1545366639">
      <w:bodyDiv w:val="1"/>
      <w:marLeft w:val="0"/>
      <w:marRight w:val="0"/>
      <w:marTop w:val="0"/>
      <w:marBottom w:val="0"/>
      <w:divBdr>
        <w:top w:val="none" w:sz="0" w:space="0" w:color="auto"/>
        <w:left w:val="none" w:sz="0" w:space="0" w:color="auto"/>
        <w:bottom w:val="none" w:sz="0" w:space="0" w:color="auto"/>
        <w:right w:val="none" w:sz="0" w:space="0" w:color="auto"/>
      </w:divBdr>
    </w:div>
    <w:div w:id="1556355239">
      <w:bodyDiv w:val="1"/>
      <w:marLeft w:val="0"/>
      <w:marRight w:val="0"/>
      <w:marTop w:val="0"/>
      <w:marBottom w:val="0"/>
      <w:divBdr>
        <w:top w:val="none" w:sz="0" w:space="0" w:color="auto"/>
        <w:left w:val="none" w:sz="0" w:space="0" w:color="auto"/>
        <w:bottom w:val="none" w:sz="0" w:space="0" w:color="auto"/>
        <w:right w:val="none" w:sz="0" w:space="0" w:color="auto"/>
      </w:divBdr>
    </w:div>
    <w:div w:id="1564632746">
      <w:bodyDiv w:val="1"/>
      <w:marLeft w:val="0"/>
      <w:marRight w:val="0"/>
      <w:marTop w:val="0"/>
      <w:marBottom w:val="0"/>
      <w:divBdr>
        <w:top w:val="none" w:sz="0" w:space="0" w:color="auto"/>
        <w:left w:val="none" w:sz="0" w:space="0" w:color="auto"/>
        <w:bottom w:val="none" w:sz="0" w:space="0" w:color="auto"/>
        <w:right w:val="none" w:sz="0" w:space="0" w:color="auto"/>
      </w:divBdr>
    </w:div>
    <w:div w:id="1598637882">
      <w:bodyDiv w:val="1"/>
      <w:marLeft w:val="0"/>
      <w:marRight w:val="0"/>
      <w:marTop w:val="0"/>
      <w:marBottom w:val="0"/>
      <w:divBdr>
        <w:top w:val="none" w:sz="0" w:space="0" w:color="auto"/>
        <w:left w:val="none" w:sz="0" w:space="0" w:color="auto"/>
        <w:bottom w:val="none" w:sz="0" w:space="0" w:color="auto"/>
        <w:right w:val="none" w:sz="0" w:space="0" w:color="auto"/>
      </w:divBdr>
    </w:div>
    <w:div w:id="1605263492">
      <w:bodyDiv w:val="1"/>
      <w:marLeft w:val="0"/>
      <w:marRight w:val="0"/>
      <w:marTop w:val="0"/>
      <w:marBottom w:val="0"/>
      <w:divBdr>
        <w:top w:val="none" w:sz="0" w:space="0" w:color="auto"/>
        <w:left w:val="none" w:sz="0" w:space="0" w:color="auto"/>
        <w:bottom w:val="none" w:sz="0" w:space="0" w:color="auto"/>
        <w:right w:val="none" w:sz="0" w:space="0" w:color="auto"/>
      </w:divBdr>
    </w:div>
    <w:div w:id="1607730404">
      <w:bodyDiv w:val="1"/>
      <w:marLeft w:val="0"/>
      <w:marRight w:val="0"/>
      <w:marTop w:val="0"/>
      <w:marBottom w:val="0"/>
      <w:divBdr>
        <w:top w:val="none" w:sz="0" w:space="0" w:color="auto"/>
        <w:left w:val="none" w:sz="0" w:space="0" w:color="auto"/>
        <w:bottom w:val="none" w:sz="0" w:space="0" w:color="auto"/>
        <w:right w:val="none" w:sz="0" w:space="0" w:color="auto"/>
      </w:divBdr>
    </w:div>
    <w:div w:id="1609462313">
      <w:bodyDiv w:val="1"/>
      <w:marLeft w:val="0"/>
      <w:marRight w:val="0"/>
      <w:marTop w:val="0"/>
      <w:marBottom w:val="0"/>
      <w:divBdr>
        <w:top w:val="none" w:sz="0" w:space="0" w:color="auto"/>
        <w:left w:val="none" w:sz="0" w:space="0" w:color="auto"/>
        <w:bottom w:val="none" w:sz="0" w:space="0" w:color="auto"/>
        <w:right w:val="none" w:sz="0" w:space="0" w:color="auto"/>
      </w:divBdr>
    </w:div>
    <w:div w:id="1656303485">
      <w:bodyDiv w:val="1"/>
      <w:marLeft w:val="0"/>
      <w:marRight w:val="0"/>
      <w:marTop w:val="0"/>
      <w:marBottom w:val="0"/>
      <w:divBdr>
        <w:top w:val="none" w:sz="0" w:space="0" w:color="auto"/>
        <w:left w:val="none" w:sz="0" w:space="0" w:color="auto"/>
        <w:bottom w:val="none" w:sz="0" w:space="0" w:color="auto"/>
        <w:right w:val="none" w:sz="0" w:space="0" w:color="auto"/>
      </w:divBdr>
    </w:div>
    <w:div w:id="1658146977">
      <w:bodyDiv w:val="1"/>
      <w:marLeft w:val="0"/>
      <w:marRight w:val="0"/>
      <w:marTop w:val="0"/>
      <w:marBottom w:val="0"/>
      <w:divBdr>
        <w:top w:val="none" w:sz="0" w:space="0" w:color="auto"/>
        <w:left w:val="none" w:sz="0" w:space="0" w:color="auto"/>
        <w:bottom w:val="none" w:sz="0" w:space="0" w:color="auto"/>
        <w:right w:val="none" w:sz="0" w:space="0" w:color="auto"/>
      </w:divBdr>
    </w:div>
    <w:div w:id="1661040690">
      <w:bodyDiv w:val="1"/>
      <w:marLeft w:val="0"/>
      <w:marRight w:val="0"/>
      <w:marTop w:val="0"/>
      <w:marBottom w:val="0"/>
      <w:divBdr>
        <w:top w:val="none" w:sz="0" w:space="0" w:color="auto"/>
        <w:left w:val="none" w:sz="0" w:space="0" w:color="auto"/>
        <w:bottom w:val="none" w:sz="0" w:space="0" w:color="auto"/>
        <w:right w:val="none" w:sz="0" w:space="0" w:color="auto"/>
      </w:divBdr>
    </w:div>
    <w:div w:id="1676347463">
      <w:bodyDiv w:val="1"/>
      <w:marLeft w:val="0"/>
      <w:marRight w:val="0"/>
      <w:marTop w:val="0"/>
      <w:marBottom w:val="0"/>
      <w:divBdr>
        <w:top w:val="none" w:sz="0" w:space="0" w:color="auto"/>
        <w:left w:val="none" w:sz="0" w:space="0" w:color="auto"/>
        <w:bottom w:val="none" w:sz="0" w:space="0" w:color="auto"/>
        <w:right w:val="none" w:sz="0" w:space="0" w:color="auto"/>
      </w:divBdr>
    </w:div>
    <w:div w:id="1678338916">
      <w:bodyDiv w:val="1"/>
      <w:marLeft w:val="0"/>
      <w:marRight w:val="0"/>
      <w:marTop w:val="0"/>
      <w:marBottom w:val="0"/>
      <w:divBdr>
        <w:top w:val="none" w:sz="0" w:space="0" w:color="auto"/>
        <w:left w:val="none" w:sz="0" w:space="0" w:color="auto"/>
        <w:bottom w:val="none" w:sz="0" w:space="0" w:color="auto"/>
        <w:right w:val="none" w:sz="0" w:space="0" w:color="auto"/>
      </w:divBdr>
    </w:div>
    <w:div w:id="1694499858">
      <w:bodyDiv w:val="1"/>
      <w:marLeft w:val="0"/>
      <w:marRight w:val="0"/>
      <w:marTop w:val="0"/>
      <w:marBottom w:val="0"/>
      <w:divBdr>
        <w:top w:val="none" w:sz="0" w:space="0" w:color="auto"/>
        <w:left w:val="none" w:sz="0" w:space="0" w:color="auto"/>
        <w:bottom w:val="none" w:sz="0" w:space="0" w:color="auto"/>
        <w:right w:val="none" w:sz="0" w:space="0" w:color="auto"/>
      </w:divBdr>
    </w:div>
    <w:div w:id="1702709162">
      <w:bodyDiv w:val="1"/>
      <w:marLeft w:val="0"/>
      <w:marRight w:val="0"/>
      <w:marTop w:val="0"/>
      <w:marBottom w:val="0"/>
      <w:divBdr>
        <w:top w:val="none" w:sz="0" w:space="0" w:color="auto"/>
        <w:left w:val="none" w:sz="0" w:space="0" w:color="auto"/>
        <w:bottom w:val="none" w:sz="0" w:space="0" w:color="auto"/>
        <w:right w:val="none" w:sz="0" w:space="0" w:color="auto"/>
      </w:divBdr>
    </w:div>
    <w:div w:id="1714844850">
      <w:bodyDiv w:val="1"/>
      <w:marLeft w:val="0"/>
      <w:marRight w:val="0"/>
      <w:marTop w:val="0"/>
      <w:marBottom w:val="0"/>
      <w:divBdr>
        <w:top w:val="none" w:sz="0" w:space="0" w:color="auto"/>
        <w:left w:val="none" w:sz="0" w:space="0" w:color="auto"/>
        <w:bottom w:val="none" w:sz="0" w:space="0" w:color="auto"/>
        <w:right w:val="none" w:sz="0" w:space="0" w:color="auto"/>
      </w:divBdr>
    </w:div>
    <w:div w:id="1719011022">
      <w:bodyDiv w:val="1"/>
      <w:marLeft w:val="0"/>
      <w:marRight w:val="0"/>
      <w:marTop w:val="0"/>
      <w:marBottom w:val="0"/>
      <w:divBdr>
        <w:top w:val="none" w:sz="0" w:space="0" w:color="auto"/>
        <w:left w:val="none" w:sz="0" w:space="0" w:color="auto"/>
        <w:bottom w:val="none" w:sz="0" w:space="0" w:color="auto"/>
        <w:right w:val="none" w:sz="0" w:space="0" w:color="auto"/>
      </w:divBdr>
    </w:div>
    <w:div w:id="1721977484">
      <w:bodyDiv w:val="1"/>
      <w:marLeft w:val="0"/>
      <w:marRight w:val="0"/>
      <w:marTop w:val="0"/>
      <w:marBottom w:val="0"/>
      <w:divBdr>
        <w:top w:val="none" w:sz="0" w:space="0" w:color="auto"/>
        <w:left w:val="none" w:sz="0" w:space="0" w:color="auto"/>
        <w:bottom w:val="none" w:sz="0" w:space="0" w:color="auto"/>
        <w:right w:val="none" w:sz="0" w:space="0" w:color="auto"/>
      </w:divBdr>
    </w:div>
    <w:div w:id="1725181715">
      <w:bodyDiv w:val="1"/>
      <w:marLeft w:val="0"/>
      <w:marRight w:val="0"/>
      <w:marTop w:val="0"/>
      <w:marBottom w:val="0"/>
      <w:divBdr>
        <w:top w:val="none" w:sz="0" w:space="0" w:color="auto"/>
        <w:left w:val="none" w:sz="0" w:space="0" w:color="auto"/>
        <w:bottom w:val="none" w:sz="0" w:space="0" w:color="auto"/>
        <w:right w:val="none" w:sz="0" w:space="0" w:color="auto"/>
      </w:divBdr>
    </w:div>
    <w:div w:id="1752893809">
      <w:bodyDiv w:val="1"/>
      <w:marLeft w:val="0"/>
      <w:marRight w:val="0"/>
      <w:marTop w:val="0"/>
      <w:marBottom w:val="0"/>
      <w:divBdr>
        <w:top w:val="none" w:sz="0" w:space="0" w:color="auto"/>
        <w:left w:val="none" w:sz="0" w:space="0" w:color="auto"/>
        <w:bottom w:val="none" w:sz="0" w:space="0" w:color="auto"/>
        <w:right w:val="none" w:sz="0" w:space="0" w:color="auto"/>
      </w:divBdr>
    </w:div>
    <w:div w:id="1762212222">
      <w:bodyDiv w:val="1"/>
      <w:marLeft w:val="0"/>
      <w:marRight w:val="0"/>
      <w:marTop w:val="0"/>
      <w:marBottom w:val="0"/>
      <w:divBdr>
        <w:top w:val="none" w:sz="0" w:space="0" w:color="auto"/>
        <w:left w:val="none" w:sz="0" w:space="0" w:color="auto"/>
        <w:bottom w:val="none" w:sz="0" w:space="0" w:color="auto"/>
        <w:right w:val="none" w:sz="0" w:space="0" w:color="auto"/>
      </w:divBdr>
    </w:div>
    <w:div w:id="1784153259">
      <w:bodyDiv w:val="1"/>
      <w:marLeft w:val="0"/>
      <w:marRight w:val="0"/>
      <w:marTop w:val="0"/>
      <w:marBottom w:val="0"/>
      <w:divBdr>
        <w:top w:val="none" w:sz="0" w:space="0" w:color="auto"/>
        <w:left w:val="none" w:sz="0" w:space="0" w:color="auto"/>
        <w:bottom w:val="none" w:sz="0" w:space="0" w:color="auto"/>
        <w:right w:val="none" w:sz="0" w:space="0" w:color="auto"/>
      </w:divBdr>
    </w:div>
    <w:div w:id="1785150178">
      <w:bodyDiv w:val="1"/>
      <w:marLeft w:val="0"/>
      <w:marRight w:val="0"/>
      <w:marTop w:val="0"/>
      <w:marBottom w:val="0"/>
      <w:divBdr>
        <w:top w:val="none" w:sz="0" w:space="0" w:color="auto"/>
        <w:left w:val="none" w:sz="0" w:space="0" w:color="auto"/>
        <w:bottom w:val="none" w:sz="0" w:space="0" w:color="auto"/>
        <w:right w:val="none" w:sz="0" w:space="0" w:color="auto"/>
      </w:divBdr>
    </w:div>
    <w:div w:id="1786801983">
      <w:bodyDiv w:val="1"/>
      <w:marLeft w:val="0"/>
      <w:marRight w:val="0"/>
      <w:marTop w:val="0"/>
      <w:marBottom w:val="0"/>
      <w:divBdr>
        <w:top w:val="none" w:sz="0" w:space="0" w:color="auto"/>
        <w:left w:val="none" w:sz="0" w:space="0" w:color="auto"/>
        <w:bottom w:val="none" w:sz="0" w:space="0" w:color="auto"/>
        <w:right w:val="none" w:sz="0" w:space="0" w:color="auto"/>
      </w:divBdr>
    </w:div>
    <w:div w:id="1808670321">
      <w:bodyDiv w:val="1"/>
      <w:marLeft w:val="0"/>
      <w:marRight w:val="0"/>
      <w:marTop w:val="0"/>
      <w:marBottom w:val="0"/>
      <w:divBdr>
        <w:top w:val="none" w:sz="0" w:space="0" w:color="auto"/>
        <w:left w:val="none" w:sz="0" w:space="0" w:color="auto"/>
        <w:bottom w:val="none" w:sz="0" w:space="0" w:color="auto"/>
        <w:right w:val="none" w:sz="0" w:space="0" w:color="auto"/>
      </w:divBdr>
    </w:div>
    <w:div w:id="1838880036">
      <w:bodyDiv w:val="1"/>
      <w:marLeft w:val="0"/>
      <w:marRight w:val="0"/>
      <w:marTop w:val="0"/>
      <w:marBottom w:val="0"/>
      <w:divBdr>
        <w:top w:val="none" w:sz="0" w:space="0" w:color="auto"/>
        <w:left w:val="none" w:sz="0" w:space="0" w:color="auto"/>
        <w:bottom w:val="none" w:sz="0" w:space="0" w:color="auto"/>
        <w:right w:val="none" w:sz="0" w:space="0" w:color="auto"/>
      </w:divBdr>
    </w:div>
    <w:div w:id="1841851731">
      <w:bodyDiv w:val="1"/>
      <w:marLeft w:val="0"/>
      <w:marRight w:val="0"/>
      <w:marTop w:val="0"/>
      <w:marBottom w:val="0"/>
      <w:divBdr>
        <w:top w:val="none" w:sz="0" w:space="0" w:color="auto"/>
        <w:left w:val="none" w:sz="0" w:space="0" w:color="auto"/>
        <w:bottom w:val="none" w:sz="0" w:space="0" w:color="auto"/>
        <w:right w:val="none" w:sz="0" w:space="0" w:color="auto"/>
      </w:divBdr>
    </w:div>
    <w:div w:id="1852915008">
      <w:bodyDiv w:val="1"/>
      <w:marLeft w:val="0"/>
      <w:marRight w:val="0"/>
      <w:marTop w:val="0"/>
      <w:marBottom w:val="0"/>
      <w:divBdr>
        <w:top w:val="none" w:sz="0" w:space="0" w:color="auto"/>
        <w:left w:val="none" w:sz="0" w:space="0" w:color="auto"/>
        <w:bottom w:val="none" w:sz="0" w:space="0" w:color="auto"/>
        <w:right w:val="none" w:sz="0" w:space="0" w:color="auto"/>
      </w:divBdr>
    </w:div>
    <w:div w:id="1867937421">
      <w:bodyDiv w:val="1"/>
      <w:marLeft w:val="0"/>
      <w:marRight w:val="0"/>
      <w:marTop w:val="0"/>
      <w:marBottom w:val="0"/>
      <w:divBdr>
        <w:top w:val="none" w:sz="0" w:space="0" w:color="auto"/>
        <w:left w:val="none" w:sz="0" w:space="0" w:color="auto"/>
        <w:bottom w:val="none" w:sz="0" w:space="0" w:color="auto"/>
        <w:right w:val="none" w:sz="0" w:space="0" w:color="auto"/>
      </w:divBdr>
    </w:div>
    <w:div w:id="1875146262">
      <w:bodyDiv w:val="1"/>
      <w:marLeft w:val="0"/>
      <w:marRight w:val="0"/>
      <w:marTop w:val="0"/>
      <w:marBottom w:val="0"/>
      <w:divBdr>
        <w:top w:val="none" w:sz="0" w:space="0" w:color="auto"/>
        <w:left w:val="none" w:sz="0" w:space="0" w:color="auto"/>
        <w:bottom w:val="none" w:sz="0" w:space="0" w:color="auto"/>
        <w:right w:val="none" w:sz="0" w:space="0" w:color="auto"/>
      </w:divBdr>
    </w:div>
    <w:div w:id="1882327536">
      <w:bodyDiv w:val="1"/>
      <w:marLeft w:val="0"/>
      <w:marRight w:val="0"/>
      <w:marTop w:val="0"/>
      <w:marBottom w:val="0"/>
      <w:divBdr>
        <w:top w:val="none" w:sz="0" w:space="0" w:color="auto"/>
        <w:left w:val="none" w:sz="0" w:space="0" w:color="auto"/>
        <w:bottom w:val="none" w:sz="0" w:space="0" w:color="auto"/>
        <w:right w:val="none" w:sz="0" w:space="0" w:color="auto"/>
      </w:divBdr>
      <w:divsChild>
        <w:div w:id="2073459970">
          <w:marLeft w:val="0"/>
          <w:marRight w:val="0"/>
          <w:marTop w:val="0"/>
          <w:marBottom w:val="75"/>
          <w:divBdr>
            <w:top w:val="none" w:sz="0" w:space="0" w:color="auto"/>
            <w:left w:val="none" w:sz="0" w:space="0" w:color="auto"/>
            <w:bottom w:val="none" w:sz="0" w:space="0" w:color="auto"/>
            <w:right w:val="none" w:sz="0" w:space="0" w:color="auto"/>
          </w:divBdr>
        </w:div>
      </w:divsChild>
    </w:div>
    <w:div w:id="1885605550">
      <w:bodyDiv w:val="1"/>
      <w:marLeft w:val="0"/>
      <w:marRight w:val="0"/>
      <w:marTop w:val="0"/>
      <w:marBottom w:val="0"/>
      <w:divBdr>
        <w:top w:val="none" w:sz="0" w:space="0" w:color="auto"/>
        <w:left w:val="none" w:sz="0" w:space="0" w:color="auto"/>
        <w:bottom w:val="none" w:sz="0" w:space="0" w:color="auto"/>
        <w:right w:val="none" w:sz="0" w:space="0" w:color="auto"/>
      </w:divBdr>
    </w:div>
    <w:div w:id="1893341897">
      <w:bodyDiv w:val="1"/>
      <w:marLeft w:val="0"/>
      <w:marRight w:val="0"/>
      <w:marTop w:val="0"/>
      <w:marBottom w:val="0"/>
      <w:divBdr>
        <w:top w:val="none" w:sz="0" w:space="0" w:color="auto"/>
        <w:left w:val="none" w:sz="0" w:space="0" w:color="auto"/>
        <w:bottom w:val="none" w:sz="0" w:space="0" w:color="auto"/>
        <w:right w:val="none" w:sz="0" w:space="0" w:color="auto"/>
      </w:divBdr>
    </w:div>
    <w:div w:id="1899242749">
      <w:bodyDiv w:val="1"/>
      <w:marLeft w:val="0"/>
      <w:marRight w:val="0"/>
      <w:marTop w:val="0"/>
      <w:marBottom w:val="0"/>
      <w:divBdr>
        <w:top w:val="none" w:sz="0" w:space="0" w:color="auto"/>
        <w:left w:val="none" w:sz="0" w:space="0" w:color="auto"/>
        <w:bottom w:val="none" w:sz="0" w:space="0" w:color="auto"/>
        <w:right w:val="none" w:sz="0" w:space="0" w:color="auto"/>
      </w:divBdr>
    </w:div>
    <w:div w:id="1913419762">
      <w:bodyDiv w:val="1"/>
      <w:marLeft w:val="0"/>
      <w:marRight w:val="0"/>
      <w:marTop w:val="0"/>
      <w:marBottom w:val="0"/>
      <w:divBdr>
        <w:top w:val="none" w:sz="0" w:space="0" w:color="auto"/>
        <w:left w:val="none" w:sz="0" w:space="0" w:color="auto"/>
        <w:bottom w:val="none" w:sz="0" w:space="0" w:color="auto"/>
        <w:right w:val="none" w:sz="0" w:space="0" w:color="auto"/>
      </w:divBdr>
    </w:div>
    <w:div w:id="1919778480">
      <w:bodyDiv w:val="1"/>
      <w:marLeft w:val="0"/>
      <w:marRight w:val="0"/>
      <w:marTop w:val="0"/>
      <w:marBottom w:val="0"/>
      <w:divBdr>
        <w:top w:val="none" w:sz="0" w:space="0" w:color="auto"/>
        <w:left w:val="none" w:sz="0" w:space="0" w:color="auto"/>
        <w:bottom w:val="none" w:sz="0" w:space="0" w:color="auto"/>
        <w:right w:val="none" w:sz="0" w:space="0" w:color="auto"/>
      </w:divBdr>
    </w:div>
    <w:div w:id="1925382390">
      <w:bodyDiv w:val="1"/>
      <w:marLeft w:val="0"/>
      <w:marRight w:val="0"/>
      <w:marTop w:val="0"/>
      <w:marBottom w:val="0"/>
      <w:divBdr>
        <w:top w:val="none" w:sz="0" w:space="0" w:color="auto"/>
        <w:left w:val="none" w:sz="0" w:space="0" w:color="auto"/>
        <w:bottom w:val="none" w:sz="0" w:space="0" w:color="auto"/>
        <w:right w:val="none" w:sz="0" w:space="0" w:color="auto"/>
      </w:divBdr>
    </w:div>
    <w:div w:id="1934775077">
      <w:bodyDiv w:val="1"/>
      <w:marLeft w:val="0"/>
      <w:marRight w:val="0"/>
      <w:marTop w:val="0"/>
      <w:marBottom w:val="0"/>
      <w:divBdr>
        <w:top w:val="none" w:sz="0" w:space="0" w:color="auto"/>
        <w:left w:val="none" w:sz="0" w:space="0" w:color="auto"/>
        <w:bottom w:val="none" w:sz="0" w:space="0" w:color="auto"/>
        <w:right w:val="none" w:sz="0" w:space="0" w:color="auto"/>
      </w:divBdr>
    </w:div>
    <w:div w:id="1951155865">
      <w:bodyDiv w:val="1"/>
      <w:marLeft w:val="0"/>
      <w:marRight w:val="0"/>
      <w:marTop w:val="0"/>
      <w:marBottom w:val="0"/>
      <w:divBdr>
        <w:top w:val="none" w:sz="0" w:space="0" w:color="auto"/>
        <w:left w:val="none" w:sz="0" w:space="0" w:color="auto"/>
        <w:bottom w:val="none" w:sz="0" w:space="0" w:color="auto"/>
        <w:right w:val="none" w:sz="0" w:space="0" w:color="auto"/>
      </w:divBdr>
      <w:divsChild>
        <w:div w:id="399405080">
          <w:marLeft w:val="0"/>
          <w:marRight w:val="0"/>
          <w:marTop w:val="0"/>
          <w:marBottom w:val="75"/>
          <w:divBdr>
            <w:top w:val="none" w:sz="0" w:space="0" w:color="auto"/>
            <w:left w:val="none" w:sz="0" w:space="0" w:color="auto"/>
            <w:bottom w:val="none" w:sz="0" w:space="0" w:color="auto"/>
            <w:right w:val="none" w:sz="0" w:space="0" w:color="auto"/>
          </w:divBdr>
        </w:div>
      </w:divsChild>
    </w:div>
    <w:div w:id="1951233393">
      <w:bodyDiv w:val="1"/>
      <w:marLeft w:val="0"/>
      <w:marRight w:val="0"/>
      <w:marTop w:val="0"/>
      <w:marBottom w:val="0"/>
      <w:divBdr>
        <w:top w:val="none" w:sz="0" w:space="0" w:color="auto"/>
        <w:left w:val="none" w:sz="0" w:space="0" w:color="auto"/>
        <w:bottom w:val="none" w:sz="0" w:space="0" w:color="auto"/>
        <w:right w:val="none" w:sz="0" w:space="0" w:color="auto"/>
      </w:divBdr>
    </w:div>
    <w:div w:id="1979912986">
      <w:bodyDiv w:val="1"/>
      <w:marLeft w:val="0"/>
      <w:marRight w:val="0"/>
      <w:marTop w:val="0"/>
      <w:marBottom w:val="0"/>
      <w:divBdr>
        <w:top w:val="none" w:sz="0" w:space="0" w:color="auto"/>
        <w:left w:val="none" w:sz="0" w:space="0" w:color="auto"/>
        <w:bottom w:val="none" w:sz="0" w:space="0" w:color="auto"/>
        <w:right w:val="none" w:sz="0" w:space="0" w:color="auto"/>
      </w:divBdr>
    </w:div>
    <w:div w:id="1984004081">
      <w:bodyDiv w:val="1"/>
      <w:marLeft w:val="0"/>
      <w:marRight w:val="0"/>
      <w:marTop w:val="0"/>
      <w:marBottom w:val="0"/>
      <w:divBdr>
        <w:top w:val="none" w:sz="0" w:space="0" w:color="auto"/>
        <w:left w:val="none" w:sz="0" w:space="0" w:color="auto"/>
        <w:bottom w:val="none" w:sz="0" w:space="0" w:color="auto"/>
        <w:right w:val="none" w:sz="0" w:space="0" w:color="auto"/>
      </w:divBdr>
    </w:div>
    <w:div w:id="1986885092">
      <w:bodyDiv w:val="1"/>
      <w:marLeft w:val="0"/>
      <w:marRight w:val="0"/>
      <w:marTop w:val="0"/>
      <w:marBottom w:val="0"/>
      <w:divBdr>
        <w:top w:val="none" w:sz="0" w:space="0" w:color="auto"/>
        <w:left w:val="none" w:sz="0" w:space="0" w:color="auto"/>
        <w:bottom w:val="none" w:sz="0" w:space="0" w:color="auto"/>
        <w:right w:val="none" w:sz="0" w:space="0" w:color="auto"/>
      </w:divBdr>
    </w:div>
    <w:div w:id="2002348096">
      <w:bodyDiv w:val="1"/>
      <w:marLeft w:val="0"/>
      <w:marRight w:val="0"/>
      <w:marTop w:val="0"/>
      <w:marBottom w:val="0"/>
      <w:divBdr>
        <w:top w:val="none" w:sz="0" w:space="0" w:color="auto"/>
        <w:left w:val="none" w:sz="0" w:space="0" w:color="auto"/>
        <w:bottom w:val="none" w:sz="0" w:space="0" w:color="auto"/>
        <w:right w:val="none" w:sz="0" w:space="0" w:color="auto"/>
      </w:divBdr>
    </w:div>
    <w:div w:id="2010059475">
      <w:bodyDiv w:val="1"/>
      <w:marLeft w:val="0"/>
      <w:marRight w:val="0"/>
      <w:marTop w:val="0"/>
      <w:marBottom w:val="0"/>
      <w:divBdr>
        <w:top w:val="none" w:sz="0" w:space="0" w:color="auto"/>
        <w:left w:val="none" w:sz="0" w:space="0" w:color="auto"/>
        <w:bottom w:val="none" w:sz="0" w:space="0" w:color="auto"/>
        <w:right w:val="none" w:sz="0" w:space="0" w:color="auto"/>
      </w:divBdr>
    </w:div>
    <w:div w:id="2012558104">
      <w:bodyDiv w:val="1"/>
      <w:marLeft w:val="0"/>
      <w:marRight w:val="0"/>
      <w:marTop w:val="0"/>
      <w:marBottom w:val="0"/>
      <w:divBdr>
        <w:top w:val="none" w:sz="0" w:space="0" w:color="auto"/>
        <w:left w:val="none" w:sz="0" w:space="0" w:color="auto"/>
        <w:bottom w:val="none" w:sz="0" w:space="0" w:color="auto"/>
        <w:right w:val="none" w:sz="0" w:space="0" w:color="auto"/>
      </w:divBdr>
    </w:div>
    <w:div w:id="2025090269">
      <w:bodyDiv w:val="1"/>
      <w:marLeft w:val="0"/>
      <w:marRight w:val="0"/>
      <w:marTop w:val="0"/>
      <w:marBottom w:val="0"/>
      <w:divBdr>
        <w:top w:val="none" w:sz="0" w:space="0" w:color="auto"/>
        <w:left w:val="none" w:sz="0" w:space="0" w:color="auto"/>
        <w:bottom w:val="none" w:sz="0" w:space="0" w:color="auto"/>
        <w:right w:val="none" w:sz="0" w:space="0" w:color="auto"/>
      </w:divBdr>
    </w:div>
    <w:div w:id="2029863922">
      <w:bodyDiv w:val="1"/>
      <w:marLeft w:val="0"/>
      <w:marRight w:val="0"/>
      <w:marTop w:val="0"/>
      <w:marBottom w:val="0"/>
      <w:divBdr>
        <w:top w:val="none" w:sz="0" w:space="0" w:color="auto"/>
        <w:left w:val="none" w:sz="0" w:space="0" w:color="auto"/>
        <w:bottom w:val="none" w:sz="0" w:space="0" w:color="auto"/>
        <w:right w:val="none" w:sz="0" w:space="0" w:color="auto"/>
      </w:divBdr>
    </w:div>
    <w:div w:id="2035841433">
      <w:bodyDiv w:val="1"/>
      <w:marLeft w:val="0"/>
      <w:marRight w:val="0"/>
      <w:marTop w:val="0"/>
      <w:marBottom w:val="0"/>
      <w:divBdr>
        <w:top w:val="none" w:sz="0" w:space="0" w:color="auto"/>
        <w:left w:val="none" w:sz="0" w:space="0" w:color="auto"/>
        <w:bottom w:val="none" w:sz="0" w:space="0" w:color="auto"/>
        <w:right w:val="none" w:sz="0" w:space="0" w:color="auto"/>
      </w:divBdr>
    </w:div>
    <w:div w:id="2044207377">
      <w:bodyDiv w:val="1"/>
      <w:marLeft w:val="0"/>
      <w:marRight w:val="0"/>
      <w:marTop w:val="0"/>
      <w:marBottom w:val="0"/>
      <w:divBdr>
        <w:top w:val="none" w:sz="0" w:space="0" w:color="auto"/>
        <w:left w:val="none" w:sz="0" w:space="0" w:color="auto"/>
        <w:bottom w:val="none" w:sz="0" w:space="0" w:color="auto"/>
        <w:right w:val="none" w:sz="0" w:space="0" w:color="auto"/>
      </w:divBdr>
    </w:div>
    <w:div w:id="2045790435">
      <w:bodyDiv w:val="1"/>
      <w:marLeft w:val="0"/>
      <w:marRight w:val="0"/>
      <w:marTop w:val="0"/>
      <w:marBottom w:val="0"/>
      <w:divBdr>
        <w:top w:val="none" w:sz="0" w:space="0" w:color="auto"/>
        <w:left w:val="none" w:sz="0" w:space="0" w:color="auto"/>
        <w:bottom w:val="none" w:sz="0" w:space="0" w:color="auto"/>
        <w:right w:val="none" w:sz="0" w:space="0" w:color="auto"/>
      </w:divBdr>
    </w:div>
    <w:div w:id="2060129173">
      <w:bodyDiv w:val="1"/>
      <w:marLeft w:val="0"/>
      <w:marRight w:val="0"/>
      <w:marTop w:val="0"/>
      <w:marBottom w:val="0"/>
      <w:divBdr>
        <w:top w:val="none" w:sz="0" w:space="0" w:color="auto"/>
        <w:left w:val="none" w:sz="0" w:space="0" w:color="auto"/>
        <w:bottom w:val="none" w:sz="0" w:space="0" w:color="auto"/>
        <w:right w:val="none" w:sz="0" w:space="0" w:color="auto"/>
      </w:divBdr>
    </w:div>
    <w:div w:id="2087922381">
      <w:bodyDiv w:val="1"/>
      <w:marLeft w:val="0"/>
      <w:marRight w:val="0"/>
      <w:marTop w:val="0"/>
      <w:marBottom w:val="0"/>
      <w:divBdr>
        <w:top w:val="none" w:sz="0" w:space="0" w:color="auto"/>
        <w:left w:val="none" w:sz="0" w:space="0" w:color="auto"/>
        <w:bottom w:val="none" w:sz="0" w:space="0" w:color="auto"/>
        <w:right w:val="none" w:sz="0" w:space="0" w:color="auto"/>
      </w:divBdr>
    </w:div>
    <w:div w:id="2092044559">
      <w:bodyDiv w:val="1"/>
      <w:marLeft w:val="0"/>
      <w:marRight w:val="0"/>
      <w:marTop w:val="0"/>
      <w:marBottom w:val="0"/>
      <w:divBdr>
        <w:top w:val="none" w:sz="0" w:space="0" w:color="auto"/>
        <w:left w:val="none" w:sz="0" w:space="0" w:color="auto"/>
        <w:bottom w:val="none" w:sz="0" w:space="0" w:color="auto"/>
        <w:right w:val="none" w:sz="0" w:space="0" w:color="auto"/>
      </w:divBdr>
    </w:div>
    <w:div w:id="2101296231">
      <w:bodyDiv w:val="1"/>
      <w:marLeft w:val="0"/>
      <w:marRight w:val="0"/>
      <w:marTop w:val="0"/>
      <w:marBottom w:val="0"/>
      <w:divBdr>
        <w:top w:val="none" w:sz="0" w:space="0" w:color="auto"/>
        <w:left w:val="none" w:sz="0" w:space="0" w:color="auto"/>
        <w:bottom w:val="none" w:sz="0" w:space="0" w:color="auto"/>
        <w:right w:val="none" w:sz="0" w:space="0" w:color="auto"/>
      </w:divBdr>
    </w:div>
    <w:div w:id="2101875059">
      <w:bodyDiv w:val="1"/>
      <w:marLeft w:val="0"/>
      <w:marRight w:val="0"/>
      <w:marTop w:val="0"/>
      <w:marBottom w:val="0"/>
      <w:divBdr>
        <w:top w:val="none" w:sz="0" w:space="0" w:color="auto"/>
        <w:left w:val="none" w:sz="0" w:space="0" w:color="auto"/>
        <w:bottom w:val="none" w:sz="0" w:space="0" w:color="auto"/>
        <w:right w:val="none" w:sz="0" w:space="0" w:color="auto"/>
      </w:divBdr>
    </w:div>
    <w:div w:id="2108379907">
      <w:bodyDiv w:val="1"/>
      <w:marLeft w:val="0"/>
      <w:marRight w:val="0"/>
      <w:marTop w:val="0"/>
      <w:marBottom w:val="0"/>
      <w:divBdr>
        <w:top w:val="none" w:sz="0" w:space="0" w:color="auto"/>
        <w:left w:val="none" w:sz="0" w:space="0" w:color="auto"/>
        <w:bottom w:val="none" w:sz="0" w:space="0" w:color="auto"/>
        <w:right w:val="none" w:sz="0" w:space="0" w:color="auto"/>
      </w:divBdr>
    </w:div>
    <w:div w:id="2109160349">
      <w:bodyDiv w:val="1"/>
      <w:marLeft w:val="0"/>
      <w:marRight w:val="0"/>
      <w:marTop w:val="0"/>
      <w:marBottom w:val="0"/>
      <w:divBdr>
        <w:top w:val="none" w:sz="0" w:space="0" w:color="auto"/>
        <w:left w:val="none" w:sz="0" w:space="0" w:color="auto"/>
        <w:bottom w:val="none" w:sz="0" w:space="0" w:color="auto"/>
        <w:right w:val="none" w:sz="0" w:space="0" w:color="auto"/>
      </w:divBdr>
    </w:div>
    <w:div w:id="2115052083">
      <w:bodyDiv w:val="1"/>
      <w:marLeft w:val="0"/>
      <w:marRight w:val="0"/>
      <w:marTop w:val="0"/>
      <w:marBottom w:val="0"/>
      <w:divBdr>
        <w:top w:val="none" w:sz="0" w:space="0" w:color="auto"/>
        <w:left w:val="none" w:sz="0" w:space="0" w:color="auto"/>
        <w:bottom w:val="none" w:sz="0" w:space="0" w:color="auto"/>
        <w:right w:val="none" w:sz="0" w:space="0" w:color="auto"/>
      </w:divBdr>
    </w:div>
    <w:div w:id="2135173322">
      <w:bodyDiv w:val="1"/>
      <w:marLeft w:val="0"/>
      <w:marRight w:val="0"/>
      <w:marTop w:val="0"/>
      <w:marBottom w:val="0"/>
      <w:divBdr>
        <w:top w:val="none" w:sz="0" w:space="0" w:color="auto"/>
        <w:left w:val="none" w:sz="0" w:space="0" w:color="auto"/>
        <w:bottom w:val="none" w:sz="0" w:space="0" w:color="auto"/>
        <w:right w:val="none" w:sz="0" w:space="0" w:color="auto"/>
      </w:divBdr>
    </w:div>
    <w:div w:id="2143494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sv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naturescot.nexus.objective.co.uk/documents/A5108507/details"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71FFD1B571BE2883E0537D20C80A46C7" version="1.0.0">
  <systemFields>
    <field name="Objective-Id">
      <value order="0">A5832857</value>
    </field>
    <field name="Objective-Title">
      <value order="0">G.10 Board of NatureScot Meeting - 14 May 2026 - Q4 Performance Report 2025-26</value>
    </field>
    <field name="Objective-Description">
      <value order="0"/>
    </field>
    <field name="Objective-CreationStamp">
      <value order="0">2026-05-06T14:10:54Z</value>
    </field>
    <field name="Objective-IsApproved">
      <value order="0">false</value>
    </field>
    <field name="Objective-IsPublished">
      <value order="0">true</value>
    </field>
    <field name="Objective-DatePublished">
      <value order="0">2026-05-06T14:10:57Z</value>
    </field>
    <field name="Objective-ModificationStamp">
      <value order="0">2026-05-06T14:10:57Z</value>
    </field>
    <field name="Objective-Owner">
      <value order="0">Mary-Anne Thomson</value>
    </field>
    <field name="Objective-Path">
      <value order="0">Objective Global Folder:NatureScot Fileplan:MAN - Management:EO - Executive Office:BD - Board:SNH Board - Meetings:Board of NatureScot Meetings - 2026:226 - Board of NatureScot - 14 May 2026</value>
    </field>
    <field name="Objective-Parent">
      <value order="0">226 - Board of NatureScot - 14 May 2026</value>
    </field>
    <field name="Objective-State">
      <value order="0">Published</value>
    </field>
    <field name="Objective-VersionId">
      <value order="0">vA10196489</value>
    </field>
    <field name="Objective-Version">
      <value order="0">1.0</value>
    </field>
    <field name="Objective-VersionNumber">
      <value order="0">1</value>
    </field>
    <field name="Objective-VersionComment">
      <value order="0"/>
    </field>
    <field name="Objective-FileNumber">
      <value order="0">qA190064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28F6BD34-FFEE-472D-8F95-809335ABE5FD}">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6644</Words>
  <Characters>37872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Rachael Burrow</cp:lastModifiedBy>
  <cp:revision>2</cp:revision>
  <cp:lastPrinted>2024-06-25T07:38:00Z</cp:lastPrinted>
  <dcterms:created xsi:type="dcterms:W3CDTF">2026-05-10T21:43:00Z</dcterms:created>
  <dcterms:modified xsi:type="dcterms:W3CDTF">2026-05-10T21:43:00Z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MSIP_Label_ad6aba11-eede-4e5b-a79a-2f2784cd251f_Enabled">
    <vt:lpwstr>true</vt:lpwstr>
  </property>
  <property fmtid="{D5CDD505-2E9C-101B-9397-08002B2CF9AE}" pid="17" name="MSIP_Label_ad6aba11-eede-4e5b-a79a-2f2784cd251f_SetDate">
    <vt:lpwstr>2024-09-02T13:20:20Z</vt:lpwstr>
  </property>
  <property fmtid="{D5CDD505-2E9C-101B-9397-08002B2CF9AE}" pid="18" name="MSIP_Label_ad6aba11-eede-4e5b-a79a-2f2784cd251f_Method">
    <vt:lpwstr>Standard</vt:lpwstr>
  </property>
  <property fmtid="{D5CDD505-2E9C-101B-9397-08002B2CF9AE}" pid="19" name="MSIP_Label_ad6aba11-eede-4e5b-a79a-2f2784cd251f_Name">
    <vt:lpwstr>defa4170-0d19-0005-0004-bc88714345d2</vt:lpwstr>
  </property>
  <property fmtid="{D5CDD505-2E9C-101B-9397-08002B2CF9AE}" pid="20" name="MSIP_Label_ad6aba11-eede-4e5b-a79a-2f2784cd251f_SiteId">
    <vt:lpwstr>074028c0-e165-4999-99ad-31603ad73bac</vt:lpwstr>
  </property>
  <property fmtid="{D5CDD505-2E9C-101B-9397-08002B2CF9AE}" pid="21" name="MSIP_Label_ad6aba11-eede-4e5b-a79a-2f2784cd251f_ActionId">
    <vt:lpwstr>00989989-b2af-480d-8b3f-174b96a22620</vt:lpwstr>
  </property>
  <property fmtid="{D5CDD505-2E9C-101B-9397-08002B2CF9AE}" pid="22" name="MSIP_Label_ad6aba11-eede-4e5b-a79a-2f2784cd251f_ContentBits">
    <vt:lpwstr>0</vt:lpwstr>
  </property>
  <property fmtid="{D5CDD505-2E9C-101B-9397-08002B2CF9AE}" pid="23" name="Customer-Id">
    <vt:lpwstr>71FFD1B571BE2883E0537D20C80A46C7</vt:lpwstr>
  </property>
  <property fmtid="{D5CDD505-2E9C-101B-9397-08002B2CF9AE}" pid="24" name="Objective-Id">
    <vt:lpwstr>A5832857</vt:lpwstr>
  </property>
  <property fmtid="{D5CDD505-2E9C-101B-9397-08002B2CF9AE}" pid="25" name="Objective-Title">
    <vt:lpwstr>G.10 Board of NatureScot Meeting - 14 May 2026 - Q4 Performance Report 2025-26</vt:lpwstr>
  </property>
  <property fmtid="{D5CDD505-2E9C-101B-9397-08002B2CF9AE}" pid="26" name="Objective-Description">
    <vt:lpwstr/>
  </property>
  <property fmtid="{D5CDD505-2E9C-101B-9397-08002B2CF9AE}" pid="27" name="Objective-CreationStamp">
    <vt:filetime>2026-05-06T14:10:54Z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2026-05-06T14:10:57Z</vt:filetime>
  </property>
  <property fmtid="{D5CDD505-2E9C-101B-9397-08002B2CF9AE}" pid="31" name="Objective-ModificationStamp">
    <vt:filetime>2026-05-06T14:10:57Z</vt:filetime>
  </property>
  <property fmtid="{D5CDD505-2E9C-101B-9397-08002B2CF9AE}" pid="32" name="Objective-Owner">
    <vt:lpwstr>Mary-Anne Thomson</vt:lpwstr>
  </property>
  <property fmtid="{D5CDD505-2E9C-101B-9397-08002B2CF9AE}" pid="33" name="Objective-Path">
    <vt:lpwstr>Objective Global Folder:NatureScot Fileplan:MAN - Management:EO - Executive Office:BD - Board:SNH Board - Meetings:Board of NatureScot Meetings - 2026:226 - Board of NatureScot - 14 May 2026</vt:lpwstr>
  </property>
  <property fmtid="{D5CDD505-2E9C-101B-9397-08002B2CF9AE}" pid="34" name="Objective-Parent">
    <vt:lpwstr>226 - Board of NatureScot - 14 May 2026</vt:lpwstr>
  </property>
  <property fmtid="{D5CDD505-2E9C-101B-9397-08002B2CF9AE}" pid="35" name="Objective-State">
    <vt:lpwstr>Published</vt:lpwstr>
  </property>
  <property fmtid="{D5CDD505-2E9C-101B-9397-08002B2CF9AE}" pid="36" name="Objective-VersionId">
    <vt:lpwstr>vA10196489</vt:lpwstr>
  </property>
  <property fmtid="{D5CDD505-2E9C-101B-9397-08002B2CF9AE}" pid="37" name="Objective-Version">
    <vt:lpwstr>1.0</vt:lpwstr>
  </property>
  <property fmtid="{D5CDD505-2E9C-101B-9397-08002B2CF9AE}" pid="38" name="Objective-VersionNumber">
    <vt:r8>1</vt:r8>
  </property>
  <property fmtid="{D5CDD505-2E9C-101B-9397-08002B2CF9AE}" pid="39" name="Objective-VersionComment">
    <vt:lpwstr/>
  </property>
  <property fmtid="{D5CDD505-2E9C-101B-9397-08002B2CF9AE}" pid="40" name="Objective-FileNumber">
    <vt:lpwstr>qA190064</vt:lpwstr>
  </property>
  <property fmtid="{D5CDD505-2E9C-101B-9397-08002B2CF9AE}" pid="41" name="Objective-Classification">
    <vt:lpwstr/>
  </property>
  <property fmtid="{D5CDD505-2E9C-101B-9397-08002B2CF9AE}" pid="42" name="Objective-Caveats">
    <vt:lpwstr/>
  </property>
  <property fmtid="{D5CDD505-2E9C-101B-9397-08002B2CF9AE}" pid="43" name="Objective-Date of Original">
    <vt:lpwstr/>
  </property>
  <property fmtid="{D5CDD505-2E9C-101B-9397-08002B2CF9AE}" pid="44" name="Objective-Sensitivity Review Date">
    <vt:lpwstr/>
  </property>
  <property fmtid="{D5CDD505-2E9C-101B-9397-08002B2CF9AE}" pid="45" name="Objective-FOI Exemption">
    <vt:lpwstr>Release</vt:lpwstr>
  </property>
  <property fmtid="{D5CDD505-2E9C-101B-9397-08002B2CF9AE}" pid="46" name="Objective-DPA Exemption">
    <vt:lpwstr>Release</vt:lpwstr>
  </property>
  <property fmtid="{D5CDD505-2E9C-101B-9397-08002B2CF9AE}" pid="47" name="Objective-EIR Exception">
    <vt:lpwstr>Release</vt:lpwstr>
  </property>
  <property fmtid="{D5CDD505-2E9C-101B-9397-08002B2CF9AE}" pid="48" name="Objective-Justification">
    <vt:lpwstr/>
  </property>
  <property fmtid="{D5CDD505-2E9C-101B-9397-08002B2CF9AE}" pid="49" name="Objective-Date of Request">
    <vt:lpwstr/>
  </property>
  <property fmtid="{D5CDD505-2E9C-101B-9397-08002B2CF9AE}" pid="50" name="Objective-Date of Release">
    <vt:lpwstr/>
  </property>
  <property fmtid="{D5CDD505-2E9C-101B-9397-08002B2CF9AE}" pid="51" name="Objective-FOI/EIR Disclosure Date">
    <vt:lpwstr/>
  </property>
  <property fmtid="{D5CDD505-2E9C-101B-9397-08002B2CF9AE}" pid="52" name="Objective-FOI/EIR Dissemination Date">
    <vt:lpwstr/>
  </property>
  <property fmtid="{D5CDD505-2E9C-101B-9397-08002B2CF9AE}" pid="53" name="Objective-FOI Release Details">
    <vt:lpwstr/>
  </property>
  <property fmtid="{D5CDD505-2E9C-101B-9397-08002B2CF9AE}" pid="54" name="Objective-Connect Creator">
    <vt:lpwstr/>
  </property>
</Properties>
</file>