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FC18" w14:textId="176A955E" w:rsidR="00506E5C" w:rsidRPr="008D20BE" w:rsidRDefault="00BF00DC" w:rsidP="008D20BE">
      <w:pPr>
        <w:rPr>
          <w:rFonts w:cstheme="minorHAnsi"/>
          <w:color w:val="FF0000"/>
          <w:sz w:val="22"/>
        </w:rPr>
      </w:pPr>
      <w:r>
        <w:rPr>
          <w:rFonts w:ascii="Calibri" w:hAnsi="Calibri" w:cs="Calibri"/>
          <w:color w:val="FF0000"/>
          <w:szCs w:val="24"/>
        </w:rPr>
        <w:t xml:space="preserve"> </w:t>
      </w:r>
      <w:r w:rsidR="003A0BAA">
        <w:rPr>
          <w:rFonts w:cstheme="minorHAnsi"/>
          <w:noProof/>
          <w:color w:val="FF0000"/>
          <w:sz w:val="22"/>
          <w:lang w:eastAsia="en-GB"/>
        </w:rPr>
        <w:drawing>
          <wp:inline distT="0" distB="0" distL="0" distR="0" wp14:anchorId="48C815CC" wp14:editId="49193C9C">
            <wp:extent cx="1024748" cy="860612"/>
            <wp:effectExtent l="0" t="0" r="4445" b="0"/>
            <wp:docPr id="1" name="Picture 1"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9">
                      <a:extLst>
                        <a:ext uri="{28A0092B-C50C-407E-A947-70E740481C1C}">
                          <a14:useLocalDpi xmlns:a14="http://schemas.microsoft.com/office/drawing/2010/main" val="0"/>
                        </a:ext>
                      </a:extLst>
                    </a:blip>
                    <a:stretch>
                      <a:fillRect/>
                    </a:stretch>
                  </pic:blipFill>
                  <pic:spPr>
                    <a:xfrm>
                      <a:off x="0" y="0"/>
                      <a:ext cx="1028282" cy="863580"/>
                    </a:xfrm>
                    <a:prstGeom prst="rect">
                      <a:avLst/>
                    </a:prstGeom>
                  </pic:spPr>
                </pic:pic>
              </a:graphicData>
            </a:graphic>
          </wp:inline>
        </w:drawing>
      </w:r>
      <w:r w:rsidR="005D0E4E" w:rsidRPr="00C04412">
        <w:rPr>
          <w:rFonts w:ascii="Calibri" w:hAnsi="Calibri" w:cs="Calibri"/>
          <w:color w:val="FF0000"/>
          <w:szCs w:val="24"/>
        </w:rPr>
        <w:t xml:space="preserve"> </w:t>
      </w:r>
    </w:p>
    <w:p w14:paraId="169DCCEC" w14:textId="4A1B4BB3" w:rsidR="003E22BB" w:rsidRPr="009C29B2" w:rsidRDefault="00C86562" w:rsidP="00C86562">
      <w:pPr>
        <w:pStyle w:val="Heading1"/>
        <w:rPr>
          <w:sz w:val="24"/>
          <w:szCs w:val="24"/>
        </w:rPr>
      </w:pPr>
      <w:r w:rsidRPr="009C29B2">
        <w:rPr>
          <w:sz w:val="24"/>
          <w:szCs w:val="24"/>
        </w:rPr>
        <w:t xml:space="preserve">Title: </w:t>
      </w:r>
      <w:r w:rsidR="00297EF0" w:rsidRPr="009C29B2">
        <w:rPr>
          <w:sz w:val="24"/>
          <w:szCs w:val="24"/>
        </w:rPr>
        <w:t>Q</w:t>
      </w:r>
      <w:r w:rsidR="00A0504C" w:rsidRPr="009C29B2">
        <w:rPr>
          <w:sz w:val="24"/>
          <w:szCs w:val="24"/>
        </w:rPr>
        <w:t>3</w:t>
      </w:r>
      <w:r w:rsidR="00297EF0" w:rsidRPr="009C29B2">
        <w:rPr>
          <w:sz w:val="24"/>
          <w:szCs w:val="24"/>
        </w:rPr>
        <w:t xml:space="preserve"> </w:t>
      </w:r>
      <w:r w:rsidR="008D20BE" w:rsidRPr="009C29B2">
        <w:rPr>
          <w:sz w:val="24"/>
          <w:szCs w:val="24"/>
        </w:rPr>
        <w:t xml:space="preserve">Performance Report </w:t>
      </w:r>
    </w:p>
    <w:p w14:paraId="4974125B" w14:textId="58346850" w:rsidR="003A0BAA" w:rsidRPr="00C77277" w:rsidRDefault="00C86562" w:rsidP="009C29B2">
      <w:pPr>
        <w:pStyle w:val="Heading1"/>
        <w:rPr>
          <w:rFonts w:cstheme="minorHAnsi"/>
          <w:color w:val="000000" w:themeColor="text1"/>
          <w:sz w:val="24"/>
          <w:szCs w:val="24"/>
        </w:rPr>
      </w:pPr>
      <w:r w:rsidRPr="009C29B2">
        <w:rPr>
          <w:sz w:val="24"/>
          <w:szCs w:val="24"/>
        </w:rPr>
        <w:t>Date</w:t>
      </w:r>
      <w:r>
        <w:rPr>
          <w:rFonts w:cstheme="minorHAnsi"/>
          <w:color w:val="000000" w:themeColor="text1"/>
        </w:rPr>
        <w:t xml:space="preserve">: </w:t>
      </w:r>
      <w:r w:rsidR="00C77277">
        <w:rPr>
          <w:rFonts w:cstheme="minorHAnsi"/>
          <w:color w:val="000000" w:themeColor="text1"/>
          <w:sz w:val="24"/>
          <w:szCs w:val="24"/>
        </w:rPr>
        <w:t>11 February</w:t>
      </w:r>
      <w:r w:rsidR="00352305" w:rsidRPr="009C29B2">
        <w:rPr>
          <w:rFonts w:cstheme="minorHAnsi"/>
          <w:color w:val="000000" w:themeColor="text1"/>
          <w:sz w:val="24"/>
          <w:szCs w:val="24"/>
        </w:rPr>
        <w:t xml:space="preserve"> 202</w:t>
      </w:r>
      <w:r w:rsidR="00A0504C" w:rsidRPr="009C29B2">
        <w:rPr>
          <w:rFonts w:cstheme="minorHAnsi"/>
          <w:color w:val="000000" w:themeColor="text1"/>
          <w:sz w:val="24"/>
          <w:szCs w:val="24"/>
        </w:rPr>
        <w:t>6</w:t>
      </w:r>
    </w:p>
    <w:p w14:paraId="698AF0E3" w14:textId="77777777" w:rsidR="00C05796" w:rsidRPr="003A0BAA" w:rsidRDefault="00C05796" w:rsidP="003A0BAA">
      <w:pPr>
        <w:spacing w:after="0" w:line="240" w:lineRule="auto"/>
        <w:rPr>
          <w:rFonts w:cstheme="minorHAnsi"/>
          <w:b/>
          <w:color w:val="000000" w:themeColor="text1"/>
        </w:rPr>
      </w:pPr>
    </w:p>
    <w:tbl>
      <w:tblPr>
        <w:tblpPr w:leftFromText="180" w:rightFromText="180" w:vertAnchor="text" w:tblpX="-14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5D0E4E" w:rsidRPr="005D0E4E" w14:paraId="20BAAF19" w14:textId="77777777" w:rsidTr="00F53008">
        <w:tc>
          <w:tcPr>
            <w:tcW w:w="2830" w:type="dxa"/>
          </w:tcPr>
          <w:p w14:paraId="36567900" w14:textId="00970370" w:rsidR="005D0E4E" w:rsidRPr="00895AC6" w:rsidRDefault="00706C4E" w:rsidP="00706C4E">
            <w:pPr>
              <w:spacing w:after="0" w:line="240" w:lineRule="auto"/>
              <w:rPr>
                <w:b/>
                <w:bCs/>
                <w:sz w:val="22"/>
              </w:rPr>
            </w:pPr>
            <w:r w:rsidRPr="00895AC6">
              <w:rPr>
                <w:b/>
                <w:bCs/>
                <w:sz w:val="22"/>
              </w:rPr>
              <w:t>Purpose</w:t>
            </w:r>
          </w:p>
        </w:tc>
        <w:tc>
          <w:tcPr>
            <w:tcW w:w="6186" w:type="dxa"/>
          </w:tcPr>
          <w:p w14:paraId="2E6CD882" w14:textId="352CF8FF" w:rsidR="005D0E4E" w:rsidRPr="00895AC6" w:rsidRDefault="0032429D" w:rsidP="00706C4E">
            <w:pPr>
              <w:spacing w:after="0" w:line="240" w:lineRule="auto"/>
              <w:contextualSpacing/>
              <w:rPr>
                <w:rFonts w:ascii="Calibri" w:eastAsia="Arial" w:hAnsi="Calibri" w:cs="Times New Roman"/>
                <w:sz w:val="22"/>
              </w:rPr>
            </w:pPr>
            <w:r w:rsidRPr="00895AC6">
              <w:rPr>
                <w:rFonts w:ascii="Calibri" w:eastAsia="Arial" w:hAnsi="Calibri" w:cs="Times New Roman"/>
                <w:sz w:val="22"/>
              </w:rPr>
              <w:t>Decision</w:t>
            </w:r>
          </w:p>
        </w:tc>
      </w:tr>
      <w:tr w:rsidR="005D0E4E" w:rsidRPr="005D0E4E" w14:paraId="13CE33D4" w14:textId="77777777" w:rsidTr="00F53008">
        <w:tc>
          <w:tcPr>
            <w:tcW w:w="2830" w:type="dxa"/>
          </w:tcPr>
          <w:p w14:paraId="34DC0A94" w14:textId="2B66FB3B" w:rsidR="005D0E4E" w:rsidRPr="0072424C" w:rsidRDefault="00D44934" w:rsidP="00706C4E">
            <w:pPr>
              <w:spacing w:after="0" w:line="240" w:lineRule="auto"/>
              <w:rPr>
                <w:rFonts w:ascii="Calibri" w:eastAsia="Arial" w:hAnsi="Calibri" w:cs="Times New Roman"/>
                <w:sz w:val="22"/>
              </w:rPr>
            </w:pPr>
            <w:r w:rsidRPr="0072424C">
              <w:rPr>
                <w:rFonts w:ascii="Calibri" w:eastAsia="Arial" w:hAnsi="Calibri" w:cs="Times New Roman"/>
                <w:sz w:val="22"/>
              </w:rPr>
              <w:t>How does this link with our corporate priorities of improving biodiversity or delivering nature-based solutions to climate change:</w:t>
            </w:r>
          </w:p>
        </w:tc>
        <w:tc>
          <w:tcPr>
            <w:tcW w:w="6186" w:type="dxa"/>
          </w:tcPr>
          <w:p w14:paraId="6E68FE0E" w14:textId="0B4943B9" w:rsidR="008042BC" w:rsidRPr="0072424C" w:rsidRDefault="008D20BE" w:rsidP="008042BC">
            <w:pPr>
              <w:rPr>
                <w:rFonts w:ascii="Calibri" w:eastAsia="Arial" w:hAnsi="Calibri" w:cs="Times New Roman"/>
                <w:sz w:val="22"/>
              </w:rPr>
            </w:pPr>
            <w:r w:rsidRPr="0072424C">
              <w:rPr>
                <w:rFonts w:ascii="Calibri" w:eastAsia="Arial" w:hAnsi="Calibri" w:cs="Times New Roman"/>
                <w:sz w:val="22"/>
              </w:rPr>
              <w:t>This paper presents Q</w:t>
            </w:r>
            <w:r w:rsidR="00A0504C" w:rsidRPr="0072424C">
              <w:rPr>
                <w:rFonts w:ascii="Calibri" w:eastAsia="Arial" w:hAnsi="Calibri" w:cs="Times New Roman"/>
                <w:sz w:val="22"/>
              </w:rPr>
              <w:t>3</w:t>
            </w:r>
            <w:r w:rsidRPr="0072424C">
              <w:rPr>
                <w:rFonts w:ascii="Calibri" w:eastAsia="Arial" w:hAnsi="Calibri" w:cs="Times New Roman"/>
                <w:sz w:val="22"/>
              </w:rPr>
              <w:t xml:space="preserve"> progress towards delivery of our corporate priorities as laid out in our Business Plan, A Nature-</w:t>
            </w:r>
            <w:r w:rsidR="00297EF0" w:rsidRPr="0072424C">
              <w:rPr>
                <w:rFonts w:ascii="Calibri" w:eastAsia="Arial" w:hAnsi="Calibri" w:cs="Times New Roman"/>
                <w:sz w:val="22"/>
              </w:rPr>
              <w:t xml:space="preserve">Rich Future </w:t>
            </w:r>
            <w:r w:rsidRPr="0072424C">
              <w:rPr>
                <w:rFonts w:ascii="Calibri" w:eastAsia="Arial" w:hAnsi="Calibri" w:cs="Times New Roman"/>
                <w:sz w:val="22"/>
              </w:rPr>
              <w:t xml:space="preserve">for </w:t>
            </w:r>
            <w:r w:rsidR="00297EF0" w:rsidRPr="0072424C">
              <w:rPr>
                <w:rFonts w:ascii="Calibri" w:eastAsia="Arial" w:hAnsi="Calibri" w:cs="Times New Roman"/>
                <w:sz w:val="22"/>
              </w:rPr>
              <w:t>A</w:t>
            </w:r>
            <w:r w:rsidRPr="0072424C">
              <w:rPr>
                <w:rFonts w:ascii="Calibri" w:eastAsia="Arial" w:hAnsi="Calibri" w:cs="Times New Roman"/>
                <w:sz w:val="22"/>
              </w:rPr>
              <w:t xml:space="preserve">ll: Year </w:t>
            </w:r>
            <w:r w:rsidR="009863AB" w:rsidRPr="0072424C">
              <w:rPr>
                <w:rFonts w:ascii="Calibri" w:eastAsia="Arial" w:hAnsi="Calibri" w:cs="Times New Roman"/>
                <w:sz w:val="22"/>
              </w:rPr>
              <w:t>4</w:t>
            </w:r>
            <w:r w:rsidR="001C0D45" w:rsidRPr="0072424C">
              <w:rPr>
                <w:rFonts w:ascii="Calibri" w:eastAsia="Arial" w:hAnsi="Calibri" w:cs="Times New Roman"/>
                <w:sz w:val="22"/>
              </w:rPr>
              <w:t>.</w:t>
            </w:r>
          </w:p>
          <w:p w14:paraId="788EA7F4" w14:textId="7F208E34" w:rsidR="005D0E4E" w:rsidRPr="0072424C" w:rsidRDefault="005D0E4E" w:rsidP="008042BC">
            <w:pPr>
              <w:spacing w:after="0" w:line="240" w:lineRule="auto"/>
              <w:contextualSpacing/>
              <w:rPr>
                <w:rFonts w:ascii="Calibri" w:eastAsia="Arial" w:hAnsi="Calibri" w:cs="Times New Roman"/>
                <w:sz w:val="22"/>
              </w:rPr>
            </w:pPr>
          </w:p>
        </w:tc>
      </w:tr>
      <w:tr w:rsidR="008042BC" w:rsidRPr="005D0E4E" w14:paraId="5F6879B4" w14:textId="77777777" w:rsidTr="00F7526F">
        <w:trPr>
          <w:trHeight w:val="999"/>
        </w:trPr>
        <w:tc>
          <w:tcPr>
            <w:tcW w:w="2830" w:type="dxa"/>
          </w:tcPr>
          <w:p w14:paraId="278D0DA3" w14:textId="6400EDC4" w:rsidR="008042BC" w:rsidRPr="0072424C" w:rsidRDefault="008042BC" w:rsidP="008042BC">
            <w:pPr>
              <w:spacing w:after="0" w:line="240" w:lineRule="auto"/>
              <w:rPr>
                <w:rFonts w:ascii="Calibri" w:eastAsia="Arial" w:hAnsi="Calibri" w:cs="Times New Roman"/>
                <w:b/>
                <w:bCs/>
                <w:sz w:val="22"/>
              </w:rPr>
            </w:pPr>
            <w:r w:rsidRPr="0072424C">
              <w:rPr>
                <w:rFonts w:ascii="Calibri" w:eastAsia="Arial" w:hAnsi="Calibri" w:cs="Times New Roman"/>
                <w:b/>
                <w:bCs/>
                <w:sz w:val="22"/>
              </w:rPr>
              <w:t>Summary:</w:t>
            </w:r>
          </w:p>
        </w:tc>
        <w:tc>
          <w:tcPr>
            <w:tcW w:w="6186" w:type="dxa"/>
          </w:tcPr>
          <w:p w14:paraId="249FE7A4" w14:textId="2F41C389" w:rsidR="008962FE" w:rsidRPr="0072424C" w:rsidRDefault="008962FE" w:rsidP="008962FE">
            <w:pPr>
              <w:rPr>
                <w:rFonts w:ascii="Calibri" w:eastAsia="Arial" w:hAnsi="Calibri" w:cs="Times New Roman"/>
                <w:sz w:val="22"/>
              </w:rPr>
            </w:pPr>
            <w:r w:rsidRPr="0072424C">
              <w:rPr>
                <w:rFonts w:ascii="Calibri" w:eastAsia="Arial" w:hAnsi="Calibri" w:cs="Times New Roman"/>
                <w:sz w:val="22"/>
              </w:rPr>
              <w:t xml:space="preserve">Overall, the Report highlights </w:t>
            </w:r>
            <w:r w:rsidR="00C25232" w:rsidRPr="0072424C">
              <w:rPr>
                <w:rFonts w:ascii="Calibri" w:eastAsia="Arial" w:hAnsi="Calibri" w:cs="Times New Roman"/>
                <w:sz w:val="22"/>
              </w:rPr>
              <w:t>strong progress</w:t>
            </w:r>
            <w:r w:rsidRPr="0072424C">
              <w:rPr>
                <w:rFonts w:ascii="Calibri" w:eastAsia="Arial" w:hAnsi="Calibri" w:cs="Times New Roman"/>
                <w:sz w:val="22"/>
              </w:rPr>
              <w:t xml:space="preserve"> against our objectives. </w:t>
            </w:r>
            <w:r w:rsidR="007523B5" w:rsidRPr="0072424C">
              <w:rPr>
                <w:rFonts w:ascii="Calibri" w:eastAsia="Arial" w:hAnsi="Calibri" w:cs="Times New Roman"/>
                <w:sz w:val="22"/>
              </w:rPr>
              <w:t xml:space="preserve">The report for Q3 has been streamlined following feedback from SLT. Further detail is provided in the appendices. </w:t>
            </w:r>
          </w:p>
          <w:p w14:paraId="6950E4DA" w14:textId="119AA127" w:rsidR="008042BC" w:rsidRPr="0072424C" w:rsidRDefault="008042BC" w:rsidP="008962FE">
            <w:pPr>
              <w:rPr>
                <w:rFonts w:ascii="Calibri" w:eastAsia="Arial" w:hAnsi="Calibri" w:cs="Times New Roman"/>
                <w:sz w:val="22"/>
              </w:rPr>
            </w:pPr>
          </w:p>
        </w:tc>
      </w:tr>
      <w:tr w:rsidR="008042BC" w:rsidRPr="005D0E4E" w14:paraId="54B0CF3D" w14:textId="77777777" w:rsidTr="00F53008">
        <w:tc>
          <w:tcPr>
            <w:tcW w:w="2830" w:type="dxa"/>
          </w:tcPr>
          <w:p w14:paraId="2D2BC4B2" w14:textId="40C06FE9" w:rsidR="008042BC" w:rsidRPr="0072424C" w:rsidRDefault="008042BC" w:rsidP="008042BC">
            <w:pPr>
              <w:spacing w:after="0" w:line="240" w:lineRule="auto"/>
              <w:contextualSpacing/>
              <w:rPr>
                <w:rFonts w:ascii="Calibri" w:eastAsia="Arial" w:hAnsi="Calibri" w:cs="Times New Roman"/>
                <w:sz w:val="22"/>
              </w:rPr>
            </w:pPr>
            <w:bookmarkStart w:id="0" w:name="_Hlk214357932"/>
            <w:r w:rsidRPr="0072424C">
              <w:rPr>
                <w:rFonts w:ascii="Calibri" w:eastAsia="Arial" w:hAnsi="Calibri" w:cs="Times New Roman"/>
                <w:b/>
                <w:sz w:val="22"/>
              </w:rPr>
              <w:t>Actions:</w:t>
            </w:r>
            <w:r w:rsidRPr="0072424C">
              <w:rPr>
                <w:rFonts w:ascii="Calibri" w:eastAsia="Arial" w:hAnsi="Calibri" w:cs="Times New Roman"/>
                <w:sz w:val="22"/>
              </w:rPr>
              <w:t xml:space="preserve"> </w:t>
            </w:r>
          </w:p>
        </w:tc>
        <w:tc>
          <w:tcPr>
            <w:tcW w:w="6186" w:type="dxa"/>
          </w:tcPr>
          <w:p w14:paraId="03259AD0" w14:textId="5D8C9810" w:rsidR="008042BC" w:rsidRPr="0072424C" w:rsidRDefault="009519F5" w:rsidP="00F7526F">
            <w:pPr>
              <w:spacing w:after="0"/>
              <w:rPr>
                <w:rFonts w:ascii="Calibri" w:eastAsia="Arial" w:hAnsi="Calibri" w:cs="Times New Roman"/>
                <w:sz w:val="22"/>
              </w:rPr>
            </w:pPr>
            <w:r w:rsidRPr="0072424C">
              <w:rPr>
                <w:rFonts w:ascii="Calibri" w:eastAsia="Arial" w:hAnsi="Calibri" w:cs="Times New Roman"/>
                <w:sz w:val="22"/>
              </w:rPr>
              <w:t>Board</w:t>
            </w:r>
            <w:r w:rsidR="00D41C29" w:rsidRPr="0072424C">
              <w:rPr>
                <w:rFonts w:ascii="Calibri" w:eastAsia="Arial" w:hAnsi="Calibri" w:cs="Times New Roman"/>
                <w:sz w:val="22"/>
              </w:rPr>
              <w:t xml:space="preserve"> </w:t>
            </w:r>
            <w:r w:rsidR="00F53008" w:rsidRPr="0072424C">
              <w:rPr>
                <w:rFonts w:ascii="Calibri" w:eastAsia="Arial" w:hAnsi="Calibri" w:cs="Times New Roman"/>
                <w:sz w:val="22"/>
              </w:rPr>
              <w:t xml:space="preserve">members </w:t>
            </w:r>
            <w:r w:rsidR="00D41C29" w:rsidRPr="0072424C">
              <w:rPr>
                <w:rFonts w:ascii="Calibri" w:eastAsia="Arial" w:hAnsi="Calibri" w:cs="Times New Roman"/>
                <w:sz w:val="22"/>
              </w:rPr>
              <w:t xml:space="preserve">to review the achievements, challenges and forward look </w:t>
            </w:r>
            <w:r w:rsidRPr="0072424C">
              <w:rPr>
                <w:rFonts w:ascii="Calibri" w:eastAsia="Arial" w:hAnsi="Calibri" w:cs="Times New Roman"/>
                <w:sz w:val="22"/>
              </w:rPr>
              <w:t>and</w:t>
            </w:r>
            <w:r w:rsidR="00F53008" w:rsidRPr="0072424C">
              <w:rPr>
                <w:rFonts w:ascii="Calibri" w:eastAsia="Arial" w:hAnsi="Calibri" w:cs="Times New Roman"/>
                <w:sz w:val="22"/>
              </w:rPr>
              <w:t xml:space="preserve"> agree whether we are on track to meet ou</w:t>
            </w:r>
            <w:r w:rsidR="00A714CE" w:rsidRPr="0072424C">
              <w:rPr>
                <w:rFonts w:ascii="Calibri" w:eastAsia="Arial" w:hAnsi="Calibri" w:cs="Times New Roman"/>
                <w:sz w:val="22"/>
              </w:rPr>
              <w:t>r</w:t>
            </w:r>
            <w:r w:rsidR="00F53008" w:rsidRPr="0072424C">
              <w:rPr>
                <w:rFonts w:ascii="Calibri" w:eastAsia="Arial" w:hAnsi="Calibri" w:cs="Times New Roman"/>
                <w:sz w:val="22"/>
              </w:rPr>
              <w:t xml:space="preserve"> BP objectives.</w:t>
            </w:r>
          </w:p>
        </w:tc>
      </w:tr>
      <w:tr w:rsidR="008042BC" w:rsidRPr="005D0E4E" w14:paraId="187A143B" w14:textId="77777777" w:rsidTr="00F53008">
        <w:tc>
          <w:tcPr>
            <w:tcW w:w="2830" w:type="dxa"/>
          </w:tcPr>
          <w:p w14:paraId="1E0B416A" w14:textId="36C70334" w:rsidR="008042BC" w:rsidRPr="0072424C" w:rsidRDefault="008042BC" w:rsidP="008042BC">
            <w:pPr>
              <w:spacing w:after="0" w:line="240" w:lineRule="auto"/>
              <w:contextualSpacing/>
              <w:rPr>
                <w:rFonts w:ascii="Calibri" w:eastAsia="Arial" w:hAnsi="Calibri" w:cs="Times New Roman"/>
                <w:sz w:val="22"/>
              </w:rPr>
            </w:pPr>
            <w:r w:rsidRPr="0072424C">
              <w:rPr>
                <w:rFonts w:ascii="Calibri" w:eastAsia="Arial" w:hAnsi="Calibri" w:cs="Times New Roman"/>
                <w:b/>
                <w:sz w:val="22"/>
              </w:rPr>
              <w:t>Recommendations:</w:t>
            </w:r>
            <w:r w:rsidRPr="0072424C">
              <w:rPr>
                <w:rFonts w:ascii="Calibri" w:eastAsia="Arial" w:hAnsi="Calibri" w:cs="Times New Roman"/>
                <w:sz w:val="22"/>
              </w:rPr>
              <w:t xml:space="preserve"> </w:t>
            </w:r>
          </w:p>
        </w:tc>
        <w:tc>
          <w:tcPr>
            <w:tcW w:w="6186" w:type="dxa"/>
          </w:tcPr>
          <w:p w14:paraId="587E0EEC" w14:textId="7C8A5DDB" w:rsidR="008042BC" w:rsidRPr="0072424C" w:rsidRDefault="005D25A2" w:rsidP="008042BC">
            <w:pPr>
              <w:spacing w:after="0" w:line="240" w:lineRule="auto"/>
              <w:rPr>
                <w:rFonts w:eastAsia="Arial" w:cstheme="minorHAnsi"/>
                <w:sz w:val="22"/>
              </w:rPr>
            </w:pPr>
            <w:r w:rsidRPr="0072424C">
              <w:rPr>
                <w:rFonts w:eastAsia="Arial" w:cstheme="minorHAnsi"/>
                <w:sz w:val="22"/>
              </w:rPr>
              <w:t>Board</w:t>
            </w:r>
            <w:r w:rsidR="008042BC" w:rsidRPr="0072424C">
              <w:rPr>
                <w:rFonts w:eastAsia="Arial" w:cstheme="minorHAnsi"/>
                <w:sz w:val="22"/>
              </w:rPr>
              <w:t xml:space="preserve"> is asked to:</w:t>
            </w:r>
          </w:p>
          <w:p w14:paraId="00B06FA9" w14:textId="77777777" w:rsidR="0072424C" w:rsidRPr="0072424C" w:rsidRDefault="0072424C" w:rsidP="0072424C">
            <w:pPr>
              <w:numPr>
                <w:ilvl w:val="0"/>
                <w:numId w:val="6"/>
              </w:numPr>
              <w:spacing w:after="0" w:line="240" w:lineRule="auto"/>
              <w:rPr>
                <w:rFonts w:eastAsia="Times New Roman" w:cstheme="minorHAnsi"/>
                <w:sz w:val="22"/>
              </w:rPr>
            </w:pPr>
            <w:r w:rsidRPr="0072424C">
              <w:rPr>
                <w:rFonts w:eastAsia="Times New Roman" w:cstheme="minorHAnsi"/>
                <w:sz w:val="22"/>
              </w:rPr>
              <w:t>Note the significant progress in the report and advise on any corrective action for the remainder of Q4</w:t>
            </w:r>
          </w:p>
          <w:p w14:paraId="30D9395B" w14:textId="0DBD7A4F" w:rsidR="008042BC" w:rsidRPr="0072424C" w:rsidRDefault="0072424C" w:rsidP="0072424C">
            <w:pPr>
              <w:numPr>
                <w:ilvl w:val="0"/>
                <w:numId w:val="6"/>
              </w:numPr>
              <w:spacing w:after="0" w:line="240" w:lineRule="auto"/>
              <w:rPr>
                <w:rFonts w:ascii="Aptos" w:eastAsia="Times New Roman" w:hAnsi="Aptos"/>
                <w:sz w:val="22"/>
              </w:rPr>
            </w:pPr>
            <w:r w:rsidRPr="0072424C">
              <w:rPr>
                <w:rFonts w:eastAsia="Times New Roman" w:cstheme="minorHAnsi"/>
                <w:sz w:val="22"/>
              </w:rPr>
              <w:t xml:space="preserve">Discuss mitigation for the risks identified in the </w:t>
            </w:r>
            <w:proofErr w:type="gramStart"/>
            <w:r w:rsidRPr="0072424C">
              <w:rPr>
                <w:rFonts w:eastAsia="Times New Roman" w:cstheme="minorHAnsi"/>
                <w:sz w:val="22"/>
              </w:rPr>
              <w:t>longer term</w:t>
            </w:r>
            <w:proofErr w:type="gramEnd"/>
            <w:r w:rsidRPr="0072424C">
              <w:rPr>
                <w:rFonts w:eastAsia="Times New Roman" w:cstheme="minorHAnsi"/>
                <w:sz w:val="22"/>
              </w:rPr>
              <w:t xml:space="preserve"> delivery assessment to inform prioritisation in the Business Plan for 26/27</w:t>
            </w:r>
          </w:p>
        </w:tc>
      </w:tr>
      <w:bookmarkEnd w:id="0"/>
      <w:tr w:rsidR="008042BC" w:rsidRPr="005D0E4E" w14:paraId="1611D4CD" w14:textId="77777777" w:rsidTr="00F53008">
        <w:tc>
          <w:tcPr>
            <w:tcW w:w="2830" w:type="dxa"/>
          </w:tcPr>
          <w:p w14:paraId="1E66C971" w14:textId="1931E875" w:rsidR="008042BC" w:rsidRPr="0072424C" w:rsidRDefault="008042BC" w:rsidP="008042BC">
            <w:pPr>
              <w:spacing w:after="0" w:line="240" w:lineRule="auto"/>
              <w:contextualSpacing/>
              <w:rPr>
                <w:rFonts w:ascii="Calibri" w:eastAsia="Arial" w:hAnsi="Calibri" w:cs="Times New Roman"/>
                <w:b/>
                <w:sz w:val="22"/>
              </w:rPr>
            </w:pPr>
            <w:r w:rsidRPr="0072424C">
              <w:rPr>
                <w:rFonts w:ascii="Calibri" w:eastAsia="Arial" w:hAnsi="Calibri" w:cs="Times New Roman"/>
                <w:b/>
                <w:sz w:val="22"/>
              </w:rPr>
              <w:t>Report Author(s):</w:t>
            </w:r>
          </w:p>
        </w:tc>
        <w:tc>
          <w:tcPr>
            <w:tcW w:w="6186" w:type="dxa"/>
          </w:tcPr>
          <w:p w14:paraId="684ABBC1" w14:textId="50215B51" w:rsidR="008042BC" w:rsidRPr="0072424C" w:rsidRDefault="008042BC" w:rsidP="008042BC">
            <w:pPr>
              <w:spacing w:after="0" w:line="240" w:lineRule="auto"/>
              <w:rPr>
                <w:rFonts w:ascii="Calibri" w:eastAsia="Arial" w:hAnsi="Calibri" w:cs="Times New Roman"/>
                <w:sz w:val="22"/>
              </w:rPr>
            </w:pPr>
            <w:r w:rsidRPr="0072424C">
              <w:rPr>
                <w:rFonts w:ascii="Calibri" w:eastAsia="Arial" w:hAnsi="Calibri" w:cs="Times New Roman"/>
                <w:sz w:val="22"/>
              </w:rPr>
              <w:t xml:space="preserve">Directors, Deputy Directors, Strategic Resource Managers, </w:t>
            </w:r>
            <w:r w:rsidR="0091231C" w:rsidRPr="0072424C">
              <w:rPr>
                <w:rFonts w:ascii="Calibri" w:eastAsia="Arial" w:hAnsi="Calibri" w:cs="Times New Roman"/>
                <w:sz w:val="22"/>
              </w:rPr>
              <w:t>FP&amp;P</w:t>
            </w:r>
            <w:r w:rsidRPr="0072424C">
              <w:rPr>
                <w:rFonts w:ascii="Calibri" w:eastAsia="Arial" w:hAnsi="Calibri" w:cs="Times New Roman"/>
                <w:sz w:val="22"/>
              </w:rPr>
              <w:t xml:space="preserve"> Team, P</w:t>
            </w:r>
            <w:r w:rsidR="0091231C" w:rsidRPr="0072424C">
              <w:rPr>
                <w:rFonts w:ascii="Calibri" w:eastAsia="Arial" w:hAnsi="Calibri" w:cs="Times New Roman"/>
                <w:sz w:val="22"/>
              </w:rPr>
              <w:t>&amp;</w:t>
            </w:r>
            <w:r w:rsidRPr="0072424C">
              <w:rPr>
                <w:rFonts w:ascii="Calibri" w:eastAsia="Arial" w:hAnsi="Calibri" w:cs="Times New Roman"/>
                <w:sz w:val="22"/>
              </w:rPr>
              <w:t>OD Team</w:t>
            </w:r>
          </w:p>
        </w:tc>
      </w:tr>
      <w:tr w:rsidR="008042BC" w:rsidRPr="005D0E4E" w14:paraId="28B18A8B" w14:textId="77777777" w:rsidTr="00F53008">
        <w:tc>
          <w:tcPr>
            <w:tcW w:w="2830" w:type="dxa"/>
          </w:tcPr>
          <w:p w14:paraId="451D6F59" w14:textId="2B7259D4" w:rsidR="008042BC" w:rsidRPr="0072424C" w:rsidRDefault="008042BC" w:rsidP="008042BC">
            <w:pPr>
              <w:spacing w:after="0" w:line="240" w:lineRule="auto"/>
              <w:contextualSpacing/>
              <w:rPr>
                <w:rFonts w:ascii="Calibri" w:eastAsia="Arial" w:hAnsi="Calibri" w:cs="Times New Roman"/>
                <w:b/>
                <w:sz w:val="22"/>
              </w:rPr>
            </w:pPr>
            <w:r w:rsidRPr="0072424C">
              <w:rPr>
                <w:rFonts w:ascii="Calibri" w:eastAsia="Arial" w:hAnsi="Calibri" w:cs="Times New Roman"/>
                <w:b/>
                <w:sz w:val="22"/>
              </w:rPr>
              <w:t>Sponsor:</w:t>
            </w:r>
            <w:r w:rsidRPr="0072424C">
              <w:rPr>
                <w:rFonts w:ascii="Calibri" w:eastAsia="Arial" w:hAnsi="Calibri" w:cs="Times New Roman"/>
                <w:b/>
                <w:sz w:val="22"/>
              </w:rPr>
              <w:tab/>
            </w:r>
          </w:p>
        </w:tc>
        <w:tc>
          <w:tcPr>
            <w:tcW w:w="6186" w:type="dxa"/>
          </w:tcPr>
          <w:p w14:paraId="15458FFD" w14:textId="21D96907" w:rsidR="008042BC" w:rsidRPr="0072424C" w:rsidRDefault="00105CBE" w:rsidP="008042BC">
            <w:pPr>
              <w:spacing w:after="0" w:line="240" w:lineRule="auto"/>
              <w:rPr>
                <w:rFonts w:ascii="Calibri" w:eastAsia="Arial" w:hAnsi="Calibri" w:cs="Times New Roman"/>
                <w:sz w:val="22"/>
              </w:rPr>
            </w:pPr>
            <w:r>
              <w:rPr>
                <w:rFonts w:ascii="Calibri" w:eastAsia="Arial" w:hAnsi="Calibri" w:cs="Times New Roman"/>
                <w:sz w:val="22"/>
              </w:rPr>
              <w:t>Nick Halfhide</w:t>
            </w:r>
          </w:p>
        </w:tc>
      </w:tr>
      <w:tr w:rsidR="008042BC" w:rsidRPr="005D0E4E" w14:paraId="438CD26E" w14:textId="77777777" w:rsidTr="00F53008">
        <w:tc>
          <w:tcPr>
            <w:tcW w:w="2830" w:type="dxa"/>
          </w:tcPr>
          <w:p w14:paraId="3BBFE1B1" w14:textId="24D65BFD" w:rsidR="008042BC" w:rsidRPr="0072424C" w:rsidRDefault="008042BC" w:rsidP="008042BC">
            <w:pPr>
              <w:spacing w:after="0" w:line="240" w:lineRule="auto"/>
              <w:contextualSpacing/>
              <w:rPr>
                <w:rFonts w:ascii="Calibri" w:eastAsia="Arial" w:hAnsi="Calibri" w:cs="Times New Roman"/>
                <w:b/>
                <w:sz w:val="22"/>
              </w:rPr>
            </w:pPr>
            <w:r w:rsidRPr="0072424C">
              <w:rPr>
                <w:rFonts w:ascii="Calibri" w:eastAsia="Arial" w:hAnsi="Calibri" w:cs="Times New Roman"/>
                <w:b/>
                <w:sz w:val="22"/>
              </w:rPr>
              <w:t>List of Appendices</w:t>
            </w:r>
          </w:p>
        </w:tc>
        <w:tc>
          <w:tcPr>
            <w:tcW w:w="6186" w:type="dxa"/>
          </w:tcPr>
          <w:p w14:paraId="1DCB0CA8" w14:textId="19A3D88D" w:rsidR="008042BC" w:rsidRPr="0072424C" w:rsidRDefault="008042BC" w:rsidP="008042BC">
            <w:pPr>
              <w:spacing w:after="0" w:line="240" w:lineRule="auto"/>
              <w:rPr>
                <w:rFonts w:ascii="Calibri" w:eastAsia="Arial" w:hAnsi="Calibri" w:cs="Times New Roman"/>
                <w:sz w:val="22"/>
              </w:rPr>
            </w:pPr>
            <w:r w:rsidRPr="0072424C">
              <w:rPr>
                <w:rFonts w:ascii="Calibri" w:eastAsia="Arial" w:hAnsi="Calibri" w:cs="Times New Roman"/>
                <w:sz w:val="22"/>
              </w:rPr>
              <w:t>A</w:t>
            </w:r>
            <w:r w:rsidR="005A0EA2" w:rsidRPr="0072424C">
              <w:rPr>
                <w:rFonts w:ascii="Calibri" w:eastAsia="Arial" w:hAnsi="Calibri" w:cs="Times New Roman"/>
                <w:sz w:val="22"/>
              </w:rPr>
              <w:t>ppendi</w:t>
            </w:r>
            <w:r w:rsidRPr="0072424C">
              <w:rPr>
                <w:rFonts w:ascii="Calibri" w:eastAsia="Arial" w:hAnsi="Calibri" w:cs="Times New Roman"/>
                <w:sz w:val="22"/>
              </w:rPr>
              <w:t>x 1: People Report</w:t>
            </w:r>
          </w:p>
          <w:p w14:paraId="0736C824" w14:textId="27E752AC" w:rsidR="008042BC" w:rsidRPr="0072424C" w:rsidRDefault="005A0EA2" w:rsidP="008042BC">
            <w:pPr>
              <w:spacing w:after="0" w:line="240" w:lineRule="auto"/>
              <w:rPr>
                <w:rFonts w:ascii="Calibri" w:eastAsia="Arial" w:hAnsi="Calibri" w:cs="Times New Roman"/>
                <w:sz w:val="22"/>
              </w:rPr>
            </w:pPr>
            <w:r w:rsidRPr="0072424C">
              <w:rPr>
                <w:rFonts w:ascii="Calibri" w:eastAsia="Arial" w:hAnsi="Calibri" w:cs="Times New Roman"/>
                <w:sz w:val="22"/>
              </w:rPr>
              <w:t>Appendix 2</w:t>
            </w:r>
            <w:r w:rsidR="008042BC" w:rsidRPr="0072424C">
              <w:rPr>
                <w:rFonts w:ascii="Calibri" w:eastAsia="Arial" w:hAnsi="Calibri" w:cs="Times New Roman"/>
                <w:sz w:val="22"/>
              </w:rPr>
              <w:t>: Financial Report</w:t>
            </w:r>
            <w:r w:rsidR="00E81E84" w:rsidRPr="0072424C">
              <w:rPr>
                <w:rFonts w:ascii="Calibri" w:eastAsia="Arial" w:hAnsi="Calibri" w:cs="Times New Roman"/>
                <w:sz w:val="22"/>
              </w:rPr>
              <w:t xml:space="preserve"> – Performance Detail</w:t>
            </w:r>
          </w:p>
          <w:p w14:paraId="2415D1EF" w14:textId="75B22DEE" w:rsidR="008042BC" w:rsidRPr="0072424C" w:rsidRDefault="005A0EA2" w:rsidP="008042BC">
            <w:pPr>
              <w:spacing w:after="0" w:line="240" w:lineRule="auto"/>
              <w:rPr>
                <w:rFonts w:ascii="Calibri" w:eastAsia="Arial" w:hAnsi="Calibri" w:cs="Times New Roman"/>
                <w:sz w:val="22"/>
              </w:rPr>
            </w:pPr>
            <w:r w:rsidRPr="0072424C">
              <w:rPr>
                <w:rFonts w:ascii="Calibri" w:eastAsia="Arial" w:hAnsi="Calibri" w:cs="Times New Roman"/>
                <w:sz w:val="22"/>
              </w:rPr>
              <w:t>Appendix 3</w:t>
            </w:r>
            <w:r w:rsidR="008042BC" w:rsidRPr="0072424C">
              <w:rPr>
                <w:rFonts w:ascii="Calibri" w:eastAsia="Arial" w:hAnsi="Calibri" w:cs="Times New Roman"/>
                <w:sz w:val="22"/>
              </w:rPr>
              <w:t xml:space="preserve">: Risk </w:t>
            </w:r>
            <w:r w:rsidR="009509F8" w:rsidRPr="0072424C">
              <w:rPr>
                <w:rFonts w:ascii="Calibri" w:eastAsia="Arial" w:hAnsi="Calibri" w:cs="Times New Roman"/>
                <w:sz w:val="22"/>
              </w:rPr>
              <w:t>and</w:t>
            </w:r>
            <w:r w:rsidR="00E81E84" w:rsidRPr="0072424C">
              <w:rPr>
                <w:rFonts w:ascii="Calibri" w:eastAsia="Arial" w:hAnsi="Calibri" w:cs="Times New Roman"/>
                <w:sz w:val="22"/>
              </w:rPr>
              <w:t xml:space="preserve"> Audit </w:t>
            </w:r>
            <w:r w:rsidR="008042BC" w:rsidRPr="0072424C">
              <w:rPr>
                <w:rFonts w:ascii="Calibri" w:eastAsia="Arial" w:hAnsi="Calibri" w:cs="Times New Roman"/>
                <w:sz w:val="22"/>
              </w:rPr>
              <w:t xml:space="preserve">Report  </w:t>
            </w:r>
          </w:p>
          <w:p w14:paraId="78696479" w14:textId="161227D7" w:rsidR="008042BC" w:rsidRPr="0072424C" w:rsidRDefault="005A0EA2" w:rsidP="008042BC">
            <w:pPr>
              <w:spacing w:after="0" w:line="240" w:lineRule="auto"/>
              <w:rPr>
                <w:rFonts w:ascii="Calibri" w:eastAsia="Arial" w:hAnsi="Calibri" w:cs="Times New Roman"/>
                <w:sz w:val="22"/>
              </w:rPr>
            </w:pPr>
            <w:r w:rsidRPr="0072424C">
              <w:rPr>
                <w:rFonts w:ascii="Calibri" w:eastAsia="Arial" w:hAnsi="Calibri" w:cs="Times New Roman"/>
                <w:sz w:val="22"/>
              </w:rPr>
              <w:t>Appendix 4</w:t>
            </w:r>
            <w:r w:rsidR="008042BC" w:rsidRPr="0072424C">
              <w:rPr>
                <w:rFonts w:ascii="Calibri" w:eastAsia="Arial" w:hAnsi="Calibri" w:cs="Times New Roman"/>
                <w:sz w:val="22"/>
              </w:rPr>
              <w:t xml:space="preserve">: </w:t>
            </w:r>
            <w:r w:rsidR="00E81E84" w:rsidRPr="0072424C">
              <w:rPr>
                <w:rFonts w:ascii="Calibri" w:eastAsia="Arial" w:hAnsi="Calibri" w:cs="Times New Roman"/>
                <w:sz w:val="22"/>
              </w:rPr>
              <w:t>Detailed Performance</w:t>
            </w:r>
            <w:r w:rsidR="008042BC" w:rsidRPr="0072424C">
              <w:rPr>
                <w:rFonts w:ascii="Calibri" w:eastAsia="Arial" w:hAnsi="Calibri" w:cs="Times New Roman"/>
                <w:sz w:val="22"/>
              </w:rPr>
              <w:t xml:space="preserve"> Report</w:t>
            </w:r>
          </w:p>
          <w:p w14:paraId="4B4224DB" w14:textId="4C74F90B" w:rsidR="008042BC" w:rsidRPr="0072424C" w:rsidRDefault="008042BC" w:rsidP="00870175">
            <w:pPr>
              <w:spacing w:after="0" w:line="240" w:lineRule="auto"/>
              <w:rPr>
                <w:rFonts w:ascii="Calibri" w:eastAsia="Arial" w:hAnsi="Calibri" w:cs="Times New Roman"/>
                <w:sz w:val="22"/>
              </w:rPr>
            </w:pPr>
          </w:p>
        </w:tc>
      </w:tr>
    </w:tbl>
    <w:p w14:paraId="401D15B7" w14:textId="51C7C246" w:rsidR="007F243D" w:rsidRDefault="007F243D" w:rsidP="009C29B2"/>
    <w:p w14:paraId="7774D78F" w14:textId="77777777" w:rsidR="007F243D" w:rsidRDefault="007F243D">
      <w:pPr>
        <w:rPr>
          <w:rFonts w:ascii="Calibri" w:eastAsia="Times New Roman" w:hAnsi="Calibri" w:cs="Calibri"/>
          <w:b/>
          <w:sz w:val="28"/>
          <w:szCs w:val="28"/>
        </w:rPr>
      </w:pPr>
      <w:r>
        <w:br w:type="page"/>
      </w:r>
    </w:p>
    <w:p w14:paraId="7C66F473" w14:textId="5DB9E899" w:rsidR="005A16E5" w:rsidRPr="009C29B2" w:rsidRDefault="008D20BE" w:rsidP="00C86562">
      <w:pPr>
        <w:pStyle w:val="Heading1"/>
        <w:rPr>
          <w:sz w:val="24"/>
          <w:szCs w:val="24"/>
        </w:rPr>
      </w:pPr>
      <w:r w:rsidRPr="009C29B2">
        <w:rPr>
          <w:sz w:val="24"/>
          <w:szCs w:val="24"/>
        </w:rPr>
        <w:lastRenderedPageBreak/>
        <w:t xml:space="preserve">Purpose </w:t>
      </w:r>
    </w:p>
    <w:p w14:paraId="4851BC74" w14:textId="144E6842" w:rsidR="008D20BE" w:rsidRDefault="008D20BE" w:rsidP="00B752F8">
      <w:pPr>
        <w:pStyle w:val="ListParagraph"/>
        <w:numPr>
          <w:ilvl w:val="0"/>
          <w:numId w:val="1"/>
        </w:numPr>
        <w:ind w:left="357" w:hanging="357"/>
        <w:rPr>
          <w:rFonts w:ascii="Calibri" w:eastAsia="Calibri" w:hAnsi="Calibri" w:cs="Calibri"/>
          <w:color w:val="000000" w:themeColor="text1"/>
          <w:sz w:val="22"/>
        </w:rPr>
      </w:pPr>
      <w:r w:rsidRPr="00895AC6">
        <w:rPr>
          <w:rFonts w:ascii="Calibri" w:eastAsia="Calibri" w:hAnsi="Calibri" w:cs="Calibri"/>
          <w:sz w:val="22"/>
        </w:rPr>
        <w:t xml:space="preserve">This paper presents </w:t>
      </w:r>
      <w:r w:rsidR="00B158B9" w:rsidRPr="00895AC6">
        <w:rPr>
          <w:rFonts w:ascii="Calibri" w:eastAsia="Calibri" w:hAnsi="Calibri" w:cs="Calibri"/>
          <w:sz w:val="22"/>
        </w:rPr>
        <w:t>our</w:t>
      </w:r>
      <w:r w:rsidRPr="00895AC6">
        <w:rPr>
          <w:rFonts w:ascii="Calibri" w:eastAsia="Calibri" w:hAnsi="Calibri" w:cs="Calibri"/>
          <w:sz w:val="22"/>
        </w:rPr>
        <w:t xml:space="preserve"> performance for</w:t>
      </w:r>
      <w:r w:rsidR="0083328C" w:rsidRPr="00895AC6">
        <w:rPr>
          <w:rFonts w:ascii="Calibri" w:eastAsia="Calibri" w:hAnsi="Calibri" w:cs="Calibri"/>
          <w:sz w:val="22"/>
        </w:rPr>
        <w:t xml:space="preserve"> </w:t>
      </w:r>
      <w:r w:rsidR="00B158B9" w:rsidRPr="00895AC6">
        <w:rPr>
          <w:rFonts w:ascii="Calibri" w:eastAsia="Calibri" w:hAnsi="Calibri" w:cs="Calibri"/>
          <w:sz w:val="22"/>
        </w:rPr>
        <w:t>Q</w:t>
      </w:r>
      <w:r w:rsidR="001F4F66" w:rsidRPr="00895AC6">
        <w:rPr>
          <w:rFonts w:ascii="Calibri" w:eastAsia="Calibri" w:hAnsi="Calibri" w:cs="Calibri"/>
          <w:sz w:val="22"/>
        </w:rPr>
        <w:t>3</w:t>
      </w:r>
      <w:r w:rsidRPr="00895AC6">
        <w:rPr>
          <w:rFonts w:ascii="Calibri" w:eastAsia="Calibri" w:hAnsi="Calibri" w:cs="Calibri"/>
          <w:sz w:val="22"/>
        </w:rPr>
        <w:t xml:space="preserve"> 202</w:t>
      </w:r>
      <w:r w:rsidR="009863AB" w:rsidRPr="00895AC6">
        <w:rPr>
          <w:rFonts w:ascii="Calibri" w:eastAsia="Calibri" w:hAnsi="Calibri" w:cs="Calibri"/>
          <w:sz w:val="22"/>
        </w:rPr>
        <w:t>5</w:t>
      </w:r>
      <w:r w:rsidR="001C0D45" w:rsidRPr="00895AC6">
        <w:rPr>
          <w:rFonts w:ascii="Calibri" w:eastAsia="Calibri" w:hAnsi="Calibri" w:cs="Calibri"/>
          <w:sz w:val="22"/>
        </w:rPr>
        <w:t>/2</w:t>
      </w:r>
      <w:r w:rsidR="009863AB" w:rsidRPr="00895AC6">
        <w:rPr>
          <w:rFonts w:ascii="Calibri" w:eastAsia="Calibri" w:hAnsi="Calibri" w:cs="Calibri"/>
          <w:sz w:val="22"/>
        </w:rPr>
        <w:t>6</w:t>
      </w:r>
      <w:r w:rsidRPr="00895AC6">
        <w:rPr>
          <w:rFonts w:ascii="Calibri" w:eastAsia="Calibri" w:hAnsi="Calibri" w:cs="Calibri"/>
          <w:sz w:val="22"/>
        </w:rPr>
        <w:t>. It addresses delivery of our corporate priorities by reviewing performance against our Business Plan</w:t>
      </w:r>
      <w:r w:rsidR="00ED73CC" w:rsidRPr="00895AC6">
        <w:rPr>
          <w:rFonts w:ascii="Calibri" w:eastAsia="Calibri" w:hAnsi="Calibri" w:cs="Calibri"/>
          <w:sz w:val="22"/>
        </w:rPr>
        <w:t>,</w:t>
      </w:r>
      <w:r w:rsidRPr="00895AC6">
        <w:rPr>
          <w:rFonts w:ascii="Calibri" w:eastAsia="Calibri" w:hAnsi="Calibri" w:cs="Calibri"/>
          <w:sz w:val="22"/>
        </w:rPr>
        <w:t xml:space="preserve"> progress towards maximising our available budget</w:t>
      </w:r>
      <w:r w:rsidR="00ED73CC" w:rsidRPr="00895AC6">
        <w:rPr>
          <w:rFonts w:ascii="Calibri" w:eastAsia="Calibri" w:hAnsi="Calibri" w:cs="Calibri"/>
          <w:sz w:val="22"/>
        </w:rPr>
        <w:t>,</w:t>
      </w:r>
      <w:r w:rsidRPr="00895AC6">
        <w:rPr>
          <w:rFonts w:ascii="Calibri" w:eastAsia="Calibri" w:hAnsi="Calibri" w:cs="Calibri"/>
          <w:sz w:val="22"/>
        </w:rPr>
        <w:t xml:space="preserve"> assessing risks for delivery </w:t>
      </w:r>
      <w:r w:rsidR="00AE3940" w:rsidRPr="00895AC6">
        <w:rPr>
          <w:rFonts w:ascii="Calibri" w:eastAsia="Calibri" w:hAnsi="Calibri" w:cs="Calibri"/>
          <w:sz w:val="22"/>
        </w:rPr>
        <w:t>and</w:t>
      </w:r>
      <w:r w:rsidRPr="00895AC6">
        <w:rPr>
          <w:rFonts w:ascii="Calibri" w:eastAsia="Calibri" w:hAnsi="Calibri" w:cs="Calibri"/>
          <w:sz w:val="22"/>
        </w:rPr>
        <w:t xml:space="preserve"> information </w:t>
      </w:r>
      <w:r w:rsidR="00040C0B" w:rsidRPr="00895AC6">
        <w:rPr>
          <w:rFonts w:ascii="Calibri" w:eastAsia="Calibri" w:hAnsi="Calibri" w:cs="Calibri"/>
          <w:sz w:val="22"/>
        </w:rPr>
        <w:t xml:space="preserve">on how our people are </w:t>
      </w:r>
      <w:r w:rsidRPr="00895AC6">
        <w:rPr>
          <w:rFonts w:ascii="Calibri" w:eastAsia="Calibri" w:hAnsi="Calibri" w:cs="Calibri"/>
          <w:color w:val="000000" w:themeColor="text1"/>
          <w:sz w:val="22"/>
        </w:rPr>
        <w:t>supporting the resourcing of our work.</w:t>
      </w:r>
    </w:p>
    <w:p w14:paraId="13148591" w14:textId="77777777" w:rsidR="00E02A94" w:rsidRDefault="00E02A94" w:rsidP="00E02A94">
      <w:pPr>
        <w:pStyle w:val="ListParagraph"/>
        <w:ind w:left="357"/>
        <w:rPr>
          <w:rFonts w:ascii="Calibri" w:eastAsia="Calibri" w:hAnsi="Calibri" w:cs="Calibri"/>
          <w:color w:val="000000" w:themeColor="text1"/>
          <w:sz w:val="22"/>
        </w:rPr>
        <w:sectPr w:rsidR="00E02A94" w:rsidSect="00E02A94">
          <w:headerReference w:type="default" r:id="rId10"/>
          <w:footerReference w:type="default" r:id="rId11"/>
          <w:pgSz w:w="11906" w:h="16838"/>
          <w:pgMar w:top="993" w:right="1440" w:bottom="1440" w:left="1440" w:header="567" w:footer="708" w:gutter="0"/>
          <w:cols w:space="708"/>
          <w:docGrid w:linePitch="360"/>
        </w:sectPr>
      </w:pPr>
    </w:p>
    <w:p w14:paraId="4200F29A" w14:textId="6F951E38" w:rsidR="002A3558" w:rsidRPr="00C86562" w:rsidRDefault="002A3558" w:rsidP="00C86562">
      <w:pPr>
        <w:pStyle w:val="Heading1"/>
      </w:pPr>
      <w:r w:rsidRPr="00C86562">
        <w:lastRenderedPageBreak/>
        <w:t>High Level Performance Summary</w:t>
      </w:r>
    </w:p>
    <w:p w14:paraId="14A6B9A3" w14:textId="3D1569B3" w:rsidR="002A3558" w:rsidRPr="002A3558" w:rsidRDefault="002A3558" w:rsidP="00C86562">
      <w:pPr>
        <w:pStyle w:val="Heading2"/>
      </w:pPr>
      <w:r w:rsidRPr="002A3558">
        <w:t xml:space="preserve">People </w:t>
      </w:r>
    </w:p>
    <w:p w14:paraId="2C3621CD" w14:textId="35796541" w:rsidR="00340A79" w:rsidRDefault="002A3558" w:rsidP="00340A79">
      <w:pPr>
        <w:pStyle w:val="ListParagraph"/>
        <w:numPr>
          <w:ilvl w:val="0"/>
          <w:numId w:val="1"/>
        </w:numPr>
        <w:ind w:left="357" w:hanging="357"/>
        <w:rPr>
          <w:rFonts w:ascii="Calibri" w:eastAsia="Calibri" w:hAnsi="Calibri" w:cs="Calibri"/>
          <w:color w:val="000000" w:themeColor="text1"/>
          <w:sz w:val="22"/>
        </w:rPr>
      </w:pPr>
      <w:r w:rsidRPr="00895AC6">
        <w:rPr>
          <w:rFonts w:ascii="Calibri" w:eastAsia="Calibri" w:hAnsi="Calibri" w:cs="Calibri"/>
          <w:color w:val="000000" w:themeColor="text1"/>
          <w:sz w:val="22"/>
        </w:rPr>
        <w:t xml:space="preserve">Figure 1 shows the high-level </w:t>
      </w:r>
      <w:r w:rsidR="00ED73CC" w:rsidRPr="00895AC6">
        <w:rPr>
          <w:rFonts w:ascii="Calibri" w:eastAsia="Calibri" w:hAnsi="Calibri" w:cs="Calibri"/>
          <w:color w:val="000000" w:themeColor="text1"/>
          <w:sz w:val="22"/>
        </w:rPr>
        <w:t>overview of</w:t>
      </w:r>
      <w:r w:rsidRPr="00895AC6">
        <w:rPr>
          <w:rFonts w:ascii="Calibri" w:eastAsia="Calibri" w:hAnsi="Calibri" w:cs="Calibri"/>
          <w:color w:val="000000" w:themeColor="text1"/>
          <w:sz w:val="22"/>
        </w:rPr>
        <w:t xml:space="preserve"> our People metrics.</w:t>
      </w:r>
      <w:r w:rsidR="00B47FBD" w:rsidRPr="00895AC6">
        <w:rPr>
          <w:rFonts w:ascii="Calibri" w:eastAsia="Calibri" w:hAnsi="Calibri" w:cs="Calibri"/>
          <w:color w:val="000000" w:themeColor="text1"/>
          <w:sz w:val="22"/>
        </w:rPr>
        <w:t xml:space="preserve"> </w:t>
      </w:r>
      <w:r w:rsidR="00901781" w:rsidRPr="00895AC6">
        <w:rPr>
          <w:rFonts w:ascii="Calibri" w:eastAsia="Calibri" w:hAnsi="Calibri" w:cs="Calibri"/>
          <w:color w:val="000000" w:themeColor="text1"/>
          <w:sz w:val="22"/>
        </w:rPr>
        <w:t xml:space="preserve">More detailed commentary is in </w:t>
      </w:r>
      <w:r w:rsidR="00A700E2" w:rsidRPr="00895AC6">
        <w:rPr>
          <w:rFonts w:ascii="Calibri" w:eastAsia="Calibri" w:hAnsi="Calibri" w:cs="Calibri"/>
          <w:color w:val="000000" w:themeColor="text1"/>
          <w:sz w:val="22"/>
        </w:rPr>
        <w:t>Appendix</w:t>
      </w:r>
      <w:r w:rsidR="00901781" w:rsidRPr="00895AC6">
        <w:rPr>
          <w:rFonts w:ascii="Calibri" w:eastAsia="Calibri" w:hAnsi="Calibri" w:cs="Calibri"/>
          <w:color w:val="000000" w:themeColor="text1"/>
          <w:sz w:val="22"/>
        </w:rPr>
        <w:t xml:space="preserve"> 1.</w:t>
      </w:r>
      <w:r w:rsidR="00B47FBD" w:rsidRPr="00895AC6">
        <w:rPr>
          <w:rFonts w:ascii="Calibri" w:eastAsia="Calibri" w:hAnsi="Calibri" w:cs="Calibri"/>
          <w:color w:val="000000" w:themeColor="text1"/>
          <w:sz w:val="22"/>
        </w:rPr>
        <w:t xml:space="preserve"> </w:t>
      </w:r>
    </w:p>
    <w:p w14:paraId="0B7D4609" w14:textId="77777777" w:rsidR="000B493E" w:rsidRPr="00895AC6" w:rsidRDefault="000B493E" w:rsidP="000B493E">
      <w:pPr>
        <w:pStyle w:val="ListParagraph"/>
        <w:ind w:left="357"/>
        <w:rPr>
          <w:rFonts w:ascii="Calibri" w:eastAsia="Calibri" w:hAnsi="Calibri" w:cs="Calibri"/>
          <w:color w:val="000000" w:themeColor="text1"/>
          <w:sz w:val="22"/>
        </w:rPr>
      </w:pPr>
    </w:p>
    <w:p w14:paraId="1E57B812" w14:textId="04062A18" w:rsidR="00340A79" w:rsidRPr="000B493E" w:rsidRDefault="002E5ECD" w:rsidP="00A921ED">
      <w:pPr>
        <w:jc w:val="center"/>
        <w:rPr>
          <w:rFonts w:ascii="Calibri" w:eastAsia="Calibri" w:hAnsi="Calibri" w:cs="Calibri"/>
          <w:color w:val="000000" w:themeColor="text1"/>
          <w:szCs w:val="24"/>
        </w:rPr>
        <w:sectPr w:rsidR="00340A79" w:rsidRPr="000B493E" w:rsidSect="00E02A94">
          <w:pgSz w:w="16838" w:h="11906" w:orient="landscape"/>
          <w:pgMar w:top="1440" w:right="993" w:bottom="1440" w:left="1440" w:header="567" w:footer="708" w:gutter="0"/>
          <w:cols w:space="708"/>
          <w:docGrid w:linePitch="360"/>
        </w:sectPr>
      </w:pPr>
      <w:r>
        <w:rPr>
          <w:rFonts w:ascii="Calibri" w:eastAsia="Calibri" w:hAnsi="Calibri" w:cs="Calibri"/>
          <w:noProof/>
          <w:color w:val="000000" w:themeColor="text1"/>
          <w:szCs w:val="24"/>
        </w:rPr>
        <w:drawing>
          <wp:inline distT="0" distB="0" distL="0" distR="0" wp14:anchorId="22896309" wp14:editId="77F02203">
            <wp:extent cx="7959496" cy="4476750"/>
            <wp:effectExtent l="19050" t="19050" r="22860" b="19050"/>
            <wp:docPr id="1355549449" name="Picture 2" descr="Dashboard-style report displaying a people scorecard for Q3 2025/26 with six color-coded sections covering attendance, internal movement, workforce &amp; retirement profile, health &amp; wellbeing, employee relations, and recruitment. Key data includes a slight increase in absence days, a 0.1% reduction in permanent headcount, a 15% early retirement rate, and recruitment challenges with a 10.7% time to hire, highlighted by green and blue boxes with concise metrics and brief explanatory not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549449" name="Picture 2" descr="Dashboard-style report displaying a people scorecard for Q3 2025/26 with six color-coded sections covering attendance, internal movement, workforce &amp; retirement profile, health &amp; wellbeing, employee relations, and recruitment. Key data includes a slight increase in absence days, a 0.1% reduction in permanent headcount, a 15% early retirement rate, and recruitment challenges with a 10.7% time to hire, highlighted by green and blue boxes with concise metrics and brief explanatory notes.">
                      <a:extLst>
                        <a:ext uri="{C183D7F6-B498-43B3-948B-1728B52AA6E4}">
                          <adec:decorative xmlns:adec="http://schemas.microsoft.com/office/drawing/2017/decorative" val="0"/>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3058" cy="4484378"/>
                    </a:xfrm>
                    <a:prstGeom prst="rect">
                      <a:avLst/>
                    </a:prstGeom>
                    <a:noFill/>
                    <a:ln>
                      <a:solidFill>
                        <a:schemeClr val="accent1"/>
                      </a:solidFill>
                    </a:ln>
                  </pic:spPr>
                </pic:pic>
              </a:graphicData>
            </a:graphic>
          </wp:inline>
        </w:drawing>
      </w:r>
    </w:p>
    <w:p w14:paraId="64AF4D5C" w14:textId="41371127" w:rsidR="002A3558" w:rsidRPr="002A3558" w:rsidRDefault="002A3558" w:rsidP="00C86562">
      <w:pPr>
        <w:pStyle w:val="Heading2"/>
        <w:rPr>
          <w:rFonts w:ascii="Calibri" w:eastAsia="Calibri" w:hAnsi="Calibri" w:cs="Calibri"/>
          <w:color w:val="000000" w:themeColor="text1"/>
          <w:szCs w:val="24"/>
        </w:rPr>
      </w:pPr>
      <w:r w:rsidRPr="002A3558">
        <w:lastRenderedPageBreak/>
        <w:t xml:space="preserve">Finance </w:t>
      </w:r>
    </w:p>
    <w:p w14:paraId="03FC5CE7" w14:textId="038578E0" w:rsidR="00A479D5" w:rsidRPr="00895AC6" w:rsidRDefault="00B47FBD" w:rsidP="00A479D5">
      <w:pPr>
        <w:pStyle w:val="ListParagraph"/>
        <w:numPr>
          <w:ilvl w:val="0"/>
          <w:numId w:val="1"/>
        </w:numPr>
        <w:rPr>
          <w:rFonts w:ascii="Calibri" w:eastAsia="Calibri" w:hAnsi="Calibri" w:cs="Calibri"/>
          <w:color w:val="000000" w:themeColor="text1"/>
          <w:sz w:val="22"/>
        </w:rPr>
      </w:pPr>
      <w:r w:rsidRPr="00895AC6">
        <w:rPr>
          <w:rFonts w:ascii="Calibri" w:eastAsia="Calibri" w:hAnsi="Calibri" w:cs="Calibri"/>
          <w:color w:val="000000" w:themeColor="text1"/>
          <w:sz w:val="22"/>
        </w:rPr>
        <w:t>Figure 2 shows the key Finance metrics</w:t>
      </w:r>
      <w:r w:rsidR="00A700E2" w:rsidRPr="00895AC6">
        <w:rPr>
          <w:rFonts w:ascii="Calibri" w:eastAsia="Calibri" w:hAnsi="Calibri" w:cs="Calibri"/>
          <w:color w:val="000000" w:themeColor="text1"/>
          <w:sz w:val="22"/>
        </w:rPr>
        <w:t xml:space="preserve"> with further details in Appendix 2</w:t>
      </w:r>
      <w:r w:rsidRPr="00895AC6">
        <w:rPr>
          <w:rFonts w:ascii="Calibri" w:eastAsia="Calibri" w:hAnsi="Calibri" w:cs="Calibri"/>
          <w:color w:val="000000" w:themeColor="text1"/>
          <w:sz w:val="22"/>
        </w:rPr>
        <w:t xml:space="preserve">. </w:t>
      </w:r>
      <w:r w:rsidR="00A479D5" w:rsidRPr="00895AC6">
        <w:rPr>
          <w:rFonts w:ascii="Calibri" w:eastAsia="Calibri" w:hAnsi="Calibri" w:cs="Calibri"/>
          <w:color w:val="000000" w:themeColor="text1"/>
          <w:sz w:val="22"/>
        </w:rPr>
        <w:t>The key points for consideration are:</w:t>
      </w:r>
    </w:p>
    <w:p w14:paraId="0384AEDD" w14:textId="77777777" w:rsidR="00A479D5" w:rsidRPr="00895AC6" w:rsidRDefault="00A479D5" w:rsidP="00A479D5">
      <w:pPr>
        <w:pStyle w:val="ListParagraph"/>
        <w:numPr>
          <w:ilvl w:val="0"/>
          <w:numId w:val="34"/>
        </w:numPr>
        <w:rPr>
          <w:rFonts w:ascii="Calibri" w:eastAsia="Calibri" w:hAnsi="Calibri" w:cs="Calibri"/>
          <w:color w:val="000000" w:themeColor="text1"/>
          <w:sz w:val="22"/>
        </w:rPr>
      </w:pPr>
      <w:r w:rsidRPr="00895AC6">
        <w:rPr>
          <w:rFonts w:ascii="Calibri" w:eastAsia="Calibri" w:hAnsi="Calibri" w:cs="Calibri"/>
          <w:color w:val="000000" w:themeColor="text1"/>
          <w:sz w:val="22"/>
        </w:rPr>
        <w:t>The current over-spend position on resource budget.</w:t>
      </w:r>
    </w:p>
    <w:p w14:paraId="1434F675" w14:textId="77777777" w:rsidR="00A479D5" w:rsidRPr="00895AC6" w:rsidRDefault="00A479D5" w:rsidP="00A479D5">
      <w:pPr>
        <w:pStyle w:val="ListParagraph"/>
        <w:numPr>
          <w:ilvl w:val="0"/>
          <w:numId w:val="34"/>
        </w:numPr>
        <w:rPr>
          <w:rFonts w:ascii="Calibri" w:eastAsia="Calibri" w:hAnsi="Calibri" w:cs="Calibri"/>
          <w:color w:val="000000" w:themeColor="text1"/>
          <w:sz w:val="22"/>
        </w:rPr>
      </w:pPr>
      <w:r w:rsidRPr="00895AC6">
        <w:rPr>
          <w:rFonts w:ascii="Calibri" w:eastAsia="Calibri" w:hAnsi="Calibri" w:cs="Calibri"/>
          <w:color w:val="000000" w:themeColor="text1"/>
          <w:sz w:val="22"/>
        </w:rPr>
        <w:t>The outstanding performance on paybill and indirect capital.</w:t>
      </w:r>
    </w:p>
    <w:p w14:paraId="4EDF9363" w14:textId="187CBCDA" w:rsidR="00A479D5" w:rsidRPr="00895AC6" w:rsidRDefault="00A479D5" w:rsidP="00A479D5">
      <w:pPr>
        <w:pStyle w:val="ListParagraph"/>
        <w:numPr>
          <w:ilvl w:val="0"/>
          <w:numId w:val="34"/>
        </w:numPr>
        <w:rPr>
          <w:rFonts w:ascii="Calibri" w:eastAsia="Calibri" w:hAnsi="Calibri" w:cs="Calibri"/>
          <w:color w:val="000000" w:themeColor="text1"/>
          <w:sz w:val="22"/>
        </w:rPr>
      </w:pPr>
      <w:r w:rsidRPr="00895AC6">
        <w:rPr>
          <w:rFonts w:ascii="Calibri" w:eastAsia="Calibri" w:hAnsi="Calibri" w:cs="Calibri"/>
          <w:color w:val="000000" w:themeColor="text1"/>
          <w:sz w:val="22"/>
        </w:rPr>
        <w:t xml:space="preserve">The direct capital misunderstanding </w:t>
      </w:r>
      <w:r w:rsidR="00520262" w:rsidRPr="00895AC6">
        <w:rPr>
          <w:rFonts w:ascii="Calibri" w:eastAsia="Calibri" w:hAnsi="Calibri" w:cs="Calibri"/>
          <w:color w:val="000000" w:themeColor="text1"/>
          <w:sz w:val="22"/>
        </w:rPr>
        <w:t xml:space="preserve">with SG </w:t>
      </w:r>
      <w:r w:rsidRPr="00895AC6">
        <w:rPr>
          <w:rFonts w:ascii="Calibri" w:eastAsia="Calibri" w:hAnsi="Calibri" w:cs="Calibri"/>
          <w:color w:val="000000" w:themeColor="text1"/>
          <w:sz w:val="22"/>
        </w:rPr>
        <w:t xml:space="preserve">between cash and non-cash. </w:t>
      </w:r>
    </w:p>
    <w:p w14:paraId="190DE190" w14:textId="72260F3C" w:rsidR="00701DEB" w:rsidRPr="00A479D5" w:rsidRDefault="00701DEB" w:rsidP="00A479D5">
      <w:pPr>
        <w:pStyle w:val="ListParagraph"/>
        <w:ind w:left="360"/>
        <w:rPr>
          <w:rFonts w:ascii="Calibri" w:eastAsia="Calibri" w:hAnsi="Calibri" w:cs="Calibri"/>
          <w:color w:val="000000" w:themeColor="text1"/>
          <w:szCs w:val="24"/>
        </w:rPr>
      </w:pPr>
    </w:p>
    <w:p w14:paraId="590E7554" w14:textId="330B8B90" w:rsidR="00701DEB" w:rsidRDefault="00701DEB" w:rsidP="009C29B2">
      <w:pPr>
        <w:pStyle w:val="Heading2"/>
        <w:rPr>
          <w:rFonts w:eastAsia="Calibri"/>
        </w:rPr>
      </w:pPr>
      <w:r w:rsidRPr="00701DEB">
        <w:rPr>
          <w:rFonts w:eastAsia="Calibri"/>
        </w:rPr>
        <w:t>Figure 2: Finance Scorecard</w:t>
      </w:r>
    </w:p>
    <w:tbl>
      <w:tblPr>
        <w:tblStyle w:val="GridTable4-Accent1"/>
        <w:tblW w:w="9016" w:type="dxa"/>
        <w:tblLook w:val="04A0" w:firstRow="1" w:lastRow="0" w:firstColumn="1" w:lastColumn="0" w:noHBand="0" w:noVBand="1"/>
      </w:tblPr>
      <w:tblGrid>
        <w:gridCol w:w="1807"/>
        <w:gridCol w:w="1855"/>
        <w:gridCol w:w="1223"/>
        <w:gridCol w:w="1318"/>
        <w:gridCol w:w="1354"/>
        <w:gridCol w:w="1459"/>
      </w:tblGrid>
      <w:tr w:rsidR="00A479D5" w14:paraId="2AC3D67E" w14:textId="77777777" w:rsidTr="00A479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572B8605" w14:textId="77777777" w:rsidR="00A479D5" w:rsidRPr="0072424C" w:rsidRDefault="00A479D5" w:rsidP="002431C5">
            <w:pPr>
              <w:jc w:val="center"/>
              <w:rPr>
                <w:b w:val="0"/>
                <w:bCs w:val="0"/>
                <w:sz w:val="22"/>
              </w:rPr>
            </w:pPr>
            <w:r w:rsidRPr="0072424C">
              <w:rPr>
                <w:sz w:val="22"/>
              </w:rPr>
              <w:t>Financial Metrics (£m)</w:t>
            </w:r>
          </w:p>
        </w:tc>
        <w:tc>
          <w:tcPr>
            <w:tcW w:w="1855" w:type="dxa"/>
          </w:tcPr>
          <w:p w14:paraId="3BC15AEA" w14:textId="77777777" w:rsidR="00A479D5" w:rsidRPr="0072424C" w:rsidRDefault="00A479D5" w:rsidP="002431C5">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72424C">
              <w:rPr>
                <w:sz w:val="22"/>
              </w:rPr>
              <w:t>Measure *</w:t>
            </w:r>
          </w:p>
        </w:tc>
        <w:tc>
          <w:tcPr>
            <w:tcW w:w="1223" w:type="dxa"/>
          </w:tcPr>
          <w:p w14:paraId="03C98878" w14:textId="77777777" w:rsidR="00A479D5" w:rsidRPr="0072424C" w:rsidRDefault="00A479D5" w:rsidP="002431C5">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72424C">
              <w:rPr>
                <w:sz w:val="22"/>
              </w:rPr>
              <w:t>Budget</w:t>
            </w:r>
          </w:p>
        </w:tc>
        <w:tc>
          <w:tcPr>
            <w:tcW w:w="1318" w:type="dxa"/>
          </w:tcPr>
          <w:p w14:paraId="658525AE" w14:textId="77777777" w:rsidR="00A479D5" w:rsidRPr="0072424C" w:rsidRDefault="00A479D5" w:rsidP="002431C5">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72424C">
              <w:rPr>
                <w:sz w:val="22"/>
              </w:rPr>
              <w:t>Expected Outturn</w:t>
            </w:r>
          </w:p>
        </w:tc>
        <w:tc>
          <w:tcPr>
            <w:tcW w:w="1354" w:type="dxa"/>
          </w:tcPr>
          <w:p w14:paraId="400365FE" w14:textId="77777777" w:rsidR="00A479D5" w:rsidRPr="0072424C" w:rsidRDefault="00A479D5" w:rsidP="002431C5">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72424C">
              <w:rPr>
                <w:sz w:val="22"/>
              </w:rPr>
              <w:t>Variance</w:t>
            </w:r>
          </w:p>
        </w:tc>
        <w:tc>
          <w:tcPr>
            <w:tcW w:w="1459" w:type="dxa"/>
          </w:tcPr>
          <w:p w14:paraId="5D6C9CAF" w14:textId="77777777" w:rsidR="00A479D5" w:rsidRPr="0072424C" w:rsidRDefault="00A479D5" w:rsidP="002431C5">
            <w:pPr>
              <w:jc w:val="center"/>
              <w:cnfStyle w:val="100000000000" w:firstRow="1" w:lastRow="0" w:firstColumn="0" w:lastColumn="0" w:oddVBand="0" w:evenVBand="0" w:oddHBand="0" w:evenHBand="0" w:firstRowFirstColumn="0" w:firstRowLastColumn="0" w:lastRowFirstColumn="0" w:lastRowLastColumn="0"/>
              <w:rPr>
                <w:b w:val="0"/>
                <w:bCs w:val="0"/>
                <w:sz w:val="22"/>
              </w:rPr>
            </w:pPr>
            <w:r w:rsidRPr="0072424C">
              <w:rPr>
                <w:sz w:val="22"/>
              </w:rPr>
              <w:t>Rating</w:t>
            </w:r>
          </w:p>
        </w:tc>
      </w:tr>
      <w:tr w:rsidR="00A479D5" w14:paraId="41ECA36B" w14:textId="77777777" w:rsidTr="00A4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36086F59" w14:textId="77777777" w:rsidR="00A479D5" w:rsidRPr="00895AC6" w:rsidRDefault="00A479D5" w:rsidP="002431C5">
            <w:pPr>
              <w:jc w:val="center"/>
              <w:rPr>
                <w:sz w:val="22"/>
              </w:rPr>
            </w:pPr>
            <w:r w:rsidRPr="00895AC6">
              <w:rPr>
                <w:sz w:val="22"/>
              </w:rPr>
              <w:t>Resource Budget</w:t>
            </w:r>
          </w:p>
        </w:tc>
        <w:tc>
          <w:tcPr>
            <w:tcW w:w="1855" w:type="dxa"/>
          </w:tcPr>
          <w:p w14:paraId="7CA47F6C"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Outturn within 1% of final budget</w:t>
            </w:r>
          </w:p>
        </w:tc>
        <w:tc>
          <w:tcPr>
            <w:tcW w:w="1223" w:type="dxa"/>
          </w:tcPr>
          <w:p w14:paraId="4DB9471F"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72.1</w:t>
            </w:r>
          </w:p>
        </w:tc>
        <w:tc>
          <w:tcPr>
            <w:tcW w:w="1318" w:type="dxa"/>
          </w:tcPr>
          <w:p w14:paraId="57EA57E3"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73.2</w:t>
            </w:r>
          </w:p>
        </w:tc>
        <w:tc>
          <w:tcPr>
            <w:tcW w:w="1354" w:type="dxa"/>
          </w:tcPr>
          <w:p w14:paraId="543A8152"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color w:val="C00000"/>
                <w:sz w:val="22"/>
              </w:rPr>
              <w:t>(1.1)</w:t>
            </w:r>
          </w:p>
        </w:tc>
        <w:tc>
          <w:tcPr>
            <w:tcW w:w="1459" w:type="dxa"/>
          </w:tcPr>
          <w:p w14:paraId="6380092B"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b/>
                <w:bCs/>
                <w:sz w:val="22"/>
              </w:rPr>
            </w:pPr>
            <w:r w:rsidRPr="00895AC6">
              <w:rPr>
                <w:b/>
                <w:bCs/>
                <w:color w:val="4F6228" w:themeColor="accent3" w:themeShade="80"/>
                <w:sz w:val="22"/>
              </w:rPr>
              <w:t>On Track</w:t>
            </w:r>
          </w:p>
        </w:tc>
      </w:tr>
      <w:tr w:rsidR="00A479D5" w14:paraId="126A56A2" w14:textId="77777777" w:rsidTr="00A479D5">
        <w:tc>
          <w:tcPr>
            <w:cnfStyle w:val="001000000000" w:firstRow="0" w:lastRow="0" w:firstColumn="1" w:lastColumn="0" w:oddVBand="0" w:evenVBand="0" w:oddHBand="0" w:evenHBand="0" w:firstRowFirstColumn="0" w:firstRowLastColumn="0" w:lastRowFirstColumn="0" w:lastRowLastColumn="0"/>
            <w:tcW w:w="1807" w:type="dxa"/>
          </w:tcPr>
          <w:p w14:paraId="2E460FD2" w14:textId="77777777" w:rsidR="00A479D5" w:rsidRPr="00895AC6" w:rsidRDefault="00A479D5" w:rsidP="002431C5">
            <w:pPr>
              <w:jc w:val="center"/>
              <w:rPr>
                <w:sz w:val="22"/>
              </w:rPr>
            </w:pPr>
            <w:r w:rsidRPr="00895AC6">
              <w:rPr>
                <w:sz w:val="22"/>
              </w:rPr>
              <w:t>Direct Capital</w:t>
            </w:r>
          </w:p>
        </w:tc>
        <w:tc>
          <w:tcPr>
            <w:tcW w:w="1855" w:type="dxa"/>
          </w:tcPr>
          <w:p w14:paraId="50D9BDDC"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Outturn within 5% of final budget</w:t>
            </w:r>
          </w:p>
        </w:tc>
        <w:tc>
          <w:tcPr>
            <w:tcW w:w="1223" w:type="dxa"/>
          </w:tcPr>
          <w:p w14:paraId="4C558134"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3.0</w:t>
            </w:r>
          </w:p>
        </w:tc>
        <w:tc>
          <w:tcPr>
            <w:tcW w:w="1318" w:type="dxa"/>
          </w:tcPr>
          <w:p w14:paraId="074A9165"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2.9</w:t>
            </w:r>
          </w:p>
        </w:tc>
        <w:tc>
          <w:tcPr>
            <w:tcW w:w="1354" w:type="dxa"/>
          </w:tcPr>
          <w:p w14:paraId="52B87993"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0.1</w:t>
            </w:r>
          </w:p>
        </w:tc>
        <w:tc>
          <w:tcPr>
            <w:tcW w:w="1459" w:type="dxa"/>
          </w:tcPr>
          <w:p w14:paraId="0A1CEADA"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b/>
                <w:bCs/>
                <w:sz w:val="22"/>
              </w:rPr>
            </w:pPr>
            <w:r w:rsidRPr="00895AC6">
              <w:rPr>
                <w:b/>
                <w:bCs/>
                <w:color w:val="4F6228" w:themeColor="accent3" w:themeShade="80"/>
                <w:sz w:val="22"/>
              </w:rPr>
              <w:t>On Track</w:t>
            </w:r>
          </w:p>
        </w:tc>
      </w:tr>
      <w:tr w:rsidR="0072424C" w14:paraId="192D5CEA" w14:textId="77777777" w:rsidTr="00A4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6BC0A374" w14:textId="77777777" w:rsidR="0072424C" w:rsidRPr="00895AC6" w:rsidRDefault="0072424C" w:rsidP="002431C5">
            <w:pPr>
              <w:jc w:val="center"/>
              <w:rPr>
                <w:sz w:val="22"/>
              </w:rPr>
            </w:pPr>
          </w:p>
        </w:tc>
        <w:tc>
          <w:tcPr>
            <w:tcW w:w="1855" w:type="dxa"/>
          </w:tcPr>
          <w:p w14:paraId="584B9C7D" w14:textId="77777777" w:rsidR="0072424C" w:rsidRPr="00895AC6" w:rsidRDefault="0072424C" w:rsidP="002431C5">
            <w:pPr>
              <w:jc w:val="center"/>
              <w:cnfStyle w:val="000000100000" w:firstRow="0" w:lastRow="0" w:firstColumn="0" w:lastColumn="0" w:oddVBand="0" w:evenVBand="0" w:oddHBand="1" w:evenHBand="0" w:firstRowFirstColumn="0" w:firstRowLastColumn="0" w:lastRowFirstColumn="0" w:lastRowLastColumn="0"/>
              <w:rPr>
                <w:sz w:val="22"/>
              </w:rPr>
            </w:pPr>
          </w:p>
        </w:tc>
        <w:tc>
          <w:tcPr>
            <w:tcW w:w="1223" w:type="dxa"/>
          </w:tcPr>
          <w:p w14:paraId="67BF5148" w14:textId="77777777" w:rsidR="0072424C" w:rsidRPr="00895AC6" w:rsidRDefault="0072424C" w:rsidP="002431C5">
            <w:pPr>
              <w:jc w:val="center"/>
              <w:cnfStyle w:val="000000100000" w:firstRow="0" w:lastRow="0" w:firstColumn="0" w:lastColumn="0" w:oddVBand="0" w:evenVBand="0" w:oddHBand="1" w:evenHBand="0" w:firstRowFirstColumn="0" w:firstRowLastColumn="0" w:lastRowFirstColumn="0" w:lastRowLastColumn="0"/>
              <w:rPr>
                <w:sz w:val="22"/>
              </w:rPr>
            </w:pPr>
          </w:p>
        </w:tc>
        <w:tc>
          <w:tcPr>
            <w:tcW w:w="1318" w:type="dxa"/>
          </w:tcPr>
          <w:p w14:paraId="319E2A3F" w14:textId="77777777" w:rsidR="0072424C" w:rsidRPr="00895AC6" w:rsidRDefault="0072424C" w:rsidP="002431C5">
            <w:pPr>
              <w:jc w:val="center"/>
              <w:cnfStyle w:val="000000100000" w:firstRow="0" w:lastRow="0" w:firstColumn="0" w:lastColumn="0" w:oddVBand="0" w:evenVBand="0" w:oddHBand="1" w:evenHBand="0" w:firstRowFirstColumn="0" w:firstRowLastColumn="0" w:lastRowFirstColumn="0" w:lastRowLastColumn="0"/>
              <w:rPr>
                <w:sz w:val="22"/>
              </w:rPr>
            </w:pPr>
          </w:p>
        </w:tc>
        <w:tc>
          <w:tcPr>
            <w:tcW w:w="1354" w:type="dxa"/>
          </w:tcPr>
          <w:p w14:paraId="1BC78CBA" w14:textId="77777777" w:rsidR="0072424C" w:rsidRPr="00895AC6" w:rsidRDefault="0072424C" w:rsidP="002431C5">
            <w:pPr>
              <w:jc w:val="center"/>
              <w:cnfStyle w:val="000000100000" w:firstRow="0" w:lastRow="0" w:firstColumn="0" w:lastColumn="0" w:oddVBand="0" w:evenVBand="0" w:oddHBand="1" w:evenHBand="0" w:firstRowFirstColumn="0" w:firstRowLastColumn="0" w:lastRowFirstColumn="0" w:lastRowLastColumn="0"/>
              <w:rPr>
                <w:sz w:val="22"/>
              </w:rPr>
            </w:pPr>
          </w:p>
        </w:tc>
        <w:tc>
          <w:tcPr>
            <w:tcW w:w="1459" w:type="dxa"/>
          </w:tcPr>
          <w:p w14:paraId="516E8D3E" w14:textId="77777777" w:rsidR="0072424C" w:rsidRPr="00895AC6" w:rsidRDefault="0072424C" w:rsidP="002431C5">
            <w:pPr>
              <w:jc w:val="center"/>
              <w:cnfStyle w:val="000000100000" w:firstRow="0" w:lastRow="0" w:firstColumn="0" w:lastColumn="0" w:oddVBand="0" w:evenVBand="0" w:oddHBand="1" w:evenHBand="0" w:firstRowFirstColumn="0" w:firstRowLastColumn="0" w:lastRowFirstColumn="0" w:lastRowLastColumn="0"/>
              <w:rPr>
                <w:b/>
                <w:bCs/>
                <w:color w:val="4F6228" w:themeColor="accent3" w:themeShade="80"/>
                <w:sz w:val="22"/>
              </w:rPr>
            </w:pPr>
          </w:p>
        </w:tc>
      </w:tr>
      <w:tr w:rsidR="00A479D5" w14:paraId="484AABD2" w14:textId="77777777" w:rsidTr="00A479D5">
        <w:tc>
          <w:tcPr>
            <w:cnfStyle w:val="001000000000" w:firstRow="0" w:lastRow="0" w:firstColumn="1" w:lastColumn="0" w:oddVBand="0" w:evenVBand="0" w:oddHBand="0" w:evenHBand="0" w:firstRowFirstColumn="0" w:firstRowLastColumn="0" w:lastRowFirstColumn="0" w:lastRowLastColumn="0"/>
            <w:tcW w:w="1807" w:type="dxa"/>
          </w:tcPr>
          <w:p w14:paraId="148A497D" w14:textId="77777777" w:rsidR="00A479D5" w:rsidRPr="00895AC6" w:rsidRDefault="00A479D5" w:rsidP="002431C5">
            <w:pPr>
              <w:jc w:val="center"/>
              <w:rPr>
                <w:sz w:val="22"/>
              </w:rPr>
            </w:pPr>
            <w:r w:rsidRPr="00895AC6">
              <w:rPr>
                <w:sz w:val="22"/>
              </w:rPr>
              <w:t>Indirect Capital</w:t>
            </w:r>
          </w:p>
        </w:tc>
        <w:tc>
          <w:tcPr>
            <w:tcW w:w="1855" w:type="dxa"/>
          </w:tcPr>
          <w:p w14:paraId="18320293"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Outturn within 5% of final budget</w:t>
            </w:r>
          </w:p>
        </w:tc>
        <w:tc>
          <w:tcPr>
            <w:tcW w:w="1223" w:type="dxa"/>
          </w:tcPr>
          <w:p w14:paraId="519983CA"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24.3</w:t>
            </w:r>
          </w:p>
        </w:tc>
        <w:tc>
          <w:tcPr>
            <w:tcW w:w="1318" w:type="dxa"/>
          </w:tcPr>
          <w:p w14:paraId="0961B3AE"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24.1</w:t>
            </w:r>
          </w:p>
        </w:tc>
        <w:tc>
          <w:tcPr>
            <w:tcW w:w="1354" w:type="dxa"/>
          </w:tcPr>
          <w:p w14:paraId="0436BEC8"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0.2</w:t>
            </w:r>
          </w:p>
        </w:tc>
        <w:tc>
          <w:tcPr>
            <w:tcW w:w="1459" w:type="dxa"/>
          </w:tcPr>
          <w:p w14:paraId="4341A458"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b/>
                <w:bCs/>
                <w:color w:val="4F6228" w:themeColor="accent3" w:themeShade="80"/>
                <w:sz w:val="22"/>
              </w:rPr>
              <w:t>On Track</w:t>
            </w:r>
          </w:p>
        </w:tc>
      </w:tr>
      <w:tr w:rsidR="00A479D5" w14:paraId="31B55102" w14:textId="77777777" w:rsidTr="00A4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73AE67AF" w14:textId="77777777" w:rsidR="00A479D5" w:rsidRPr="00895AC6" w:rsidRDefault="00A479D5" w:rsidP="002431C5">
            <w:pPr>
              <w:jc w:val="center"/>
              <w:rPr>
                <w:sz w:val="22"/>
              </w:rPr>
            </w:pPr>
            <w:r w:rsidRPr="00895AC6">
              <w:rPr>
                <w:sz w:val="22"/>
              </w:rPr>
              <w:t>Paybill</w:t>
            </w:r>
          </w:p>
        </w:tc>
        <w:tc>
          <w:tcPr>
            <w:tcW w:w="1855" w:type="dxa"/>
          </w:tcPr>
          <w:p w14:paraId="04CCA0F6"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Outturn within 1% of final budget</w:t>
            </w:r>
          </w:p>
        </w:tc>
        <w:tc>
          <w:tcPr>
            <w:tcW w:w="1223" w:type="dxa"/>
          </w:tcPr>
          <w:p w14:paraId="39479E90"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46.0</w:t>
            </w:r>
          </w:p>
        </w:tc>
        <w:tc>
          <w:tcPr>
            <w:tcW w:w="1318" w:type="dxa"/>
          </w:tcPr>
          <w:p w14:paraId="0B9ABFB3"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45.9</w:t>
            </w:r>
          </w:p>
        </w:tc>
        <w:tc>
          <w:tcPr>
            <w:tcW w:w="1354" w:type="dxa"/>
          </w:tcPr>
          <w:p w14:paraId="4AB8F125"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0.1</w:t>
            </w:r>
          </w:p>
        </w:tc>
        <w:tc>
          <w:tcPr>
            <w:tcW w:w="1459" w:type="dxa"/>
          </w:tcPr>
          <w:p w14:paraId="3407FE58"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b/>
                <w:bCs/>
                <w:color w:val="4F6228" w:themeColor="accent3" w:themeShade="80"/>
                <w:sz w:val="22"/>
              </w:rPr>
              <w:t>On Track</w:t>
            </w:r>
          </w:p>
        </w:tc>
      </w:tr>
      <w:tr w:rsidR="00A479D5" w14:paraId="20EB6928" w14:textId="77777777" w:rsidTr="00A479D5">
        <w:tc>
          <w:tcPr>
            <w:cnfStyle w:val="001000000000" w:firstRow="0" w:lastRow="0" w:firstColumn="1" w:lastColumn="0" w:oddVBand="0" w:evenVBand="0" w:oddHBand="0" w:evenHBand="0" w:firstRowFirstColumn="0" w:firstRowLastColumn="0" w:lastRowFirstColumn="0" w:lastRowLastColumn="0"/>
            <w:tcW w:w="1807" w:type="dxa"/>
          </w:tcPr>
          <w:p w14:paraId="13F187CE" w14:textId="77777777" w:rsidR="00A479D5" w:rsidRPr="00895AC6" w:rsidRDefault="00A479D5" w:rsidP="002431C5">
            <w:pPr>
              <w:jc w:val="center"/>
              <w:rPr>
                <w:sz w:val="22"/>
              </w:rPr>
            </w:pPr>
            <w:r w:rsidRPr="00895AC6">
              <w:rPr>
                <w:sz w:val="22"/>
              </w:rPr>
              <w:t>Project Allocation</w:t>
            </w:r>
          </w:p>
        </w:tc>
        <w:tc>
          <w:tcPr>
            <w:tcW w:w="1855" w:type="dxa"/>
          </w:tcPr>
          <w:p w14:paraId="33F3A7A7"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Outturn within 1% of final budget</w:t>
            </w:r>
          </w:p>
        </w:tc>
        <w:tc>
          <w:tcPr>
            <w:tcW w:w="1223" w:type="dxa"/>
          </w:tcPr>
          <w:p w14:paraId="257385E4"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17.8</w:t>
            </w:r>
          </w:p>
        </w:tc>
        <w:tc>
          <w:tcPr>
            <w:tcW w:w="1318" w:type="dxa"/>
          </w:tcPr>
          <w:p w14:paraId="5BE43599"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18.5</w:t>
            </w:r>
          </w:p>
        </w:tc>
        <w:tc>
          <w:tcPr>
            <w:tcW w:w="1354" w:type="dxa"/>
          </w:tcPr>
          <w:p w14:paraId="5CE90A25"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color w:val="C00000"/>
                <w:sz w:val="22"/>
              </w:rPr>
              <w:t>(0.7)</w:t>
            </w:r>
          </w:p>
        </w:tc>
        <w:tc>
          <w:tcPr>
            <w:tcW w:w="1459" w:type="dxa"/>
          </w:tcPr>
          <w:p w14:paraId="733705EE"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b/>
                <w:bCs/>
                <w:sz w:val="22"/>
              </w:rPr>
            </w:pPr>
            <w:r w:rsidRPr="0072424C">
              <w:rPr>
                <w:b/>
                <w:bCs/>
                <w:color w:val="F08010"/>
                <w:sz w:val="22"/>
              </w:rPr>
              <w:t>Minor Slippage</w:t>
            </w:r>
          </w:p>
        </w:tc>
      </w:tr>
      <w:tr w:rsidR="00A479D5" w14:paraId="4FCF1E98" w14:textId="77777777" w:rsidTr="00A4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022DFA61" w14:textId="77777777" w:rsidR="00A479D5" w:rsidRPr="00895AC6" w:rsidRDefault="00A479D5" w:rsidP="002431C5">
            <w:pPr>
              <w:jc w:val="center"/>
              <w:rPr>
                <w:sz w:val="22"/>
              </w:rPr>
            </w:pPr>
            <w:r w:rsidRPr="00895AC6">
              <w:rPr>
                <w:sz w:val="22"/>
              </w:rPr>
              <w:t>Peatland Action</w:t>
            </w:r>
          </w:p>
        </w:tc>
        <w:tc>
          <w:tcPr>
            <w:tcW w:w="1855" w:type="dxa"/>
          </w:tcPr>
          <w:p w14:paraId="38EAFC5B"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Outturn within 1% of final budget</w:t>
            </w:r>
          </w:p>
        </w:tc>
        <w:tc>
          <w:tcPr>
            <w:tcW w:w="1223" w:type="dxa"/>
          </w:tcPr>
          <w:p w14:paraId="29E013D7"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20.1</w:t>
            </w:r>
          </w:p>
        </w:tc>
        <w:tc>
          <w:tcPr>
            <w:tcW w:w="1318" w:type="dxa"/>
          </w:tcPr>
          <w:p w14:paraId="1465F55A"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20.3</w:t>
            </w:r>
          </w:p>
        </w:tc>
        <w:tc>
          <w:tcPr>
            <w:tcW w:w="1354" w:type="dxa"/>
          </w:tcPr>
          <w:p w14:paraId="268233CC"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color w:val="C00000"/>
                <w:sz w:val="22"/>
              </w:rPr>
              <w:t>(0.2)</w:t>
            </w:r>
          </w:p>
        </w:tc>
        <w:tc>
          <w:tcPr>
            <w:tcW w:w="1459" w:type="dxa"/>
          </w:tcPr>
          <w:p w14:paraId="6C09D221"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b/>
                <w:bCs/>
                <w:color w:val="A66500"/>
                <w:sz w:val="22"/>
              </w:rPr>
            </w:pPr>
            <w:r w:rsidRPr="00895AC6">
              <w:rPr>
                <w:b/>
                <w:bCs/>
                <w:color w:val="4F6228" w:themeColor="accent3" w:themeShade="80"/>
                <w:sz w:val="22"/>
              </w:rPr>
              <w:t>On Track</w:t>
            </w:r>
          </w:p>
        </w:tc>
      </w:tr>
      <w:tr w:rsidR="00A479D5" w14:paraId="79D36BCC" w14:textId="77777777" w:rsidTr="00A479D5">
        <w:tc>
          <w:tcPr>
            <w:cnfStyle w:val="001000000000" w:firstRow="0" w:lastRow="0" w:firstColumn="1" w:lastColumn="0" w:oddVBand="0" w:evenVBand="0" w:oddHBand="0" w:evenHBand="0" w:firstRowFirstColumn="0" w:firstRowLastColumn="0" w:lastRowFirstColumn="0" w:lastRowLastColumn="0"/>
            <w:tcW w:w="1807" w:type="dxa"/>
          </w:tcPr>
          <w:p w14:paraId="57D5888E" w14:textId="77777777" w:rsidR="00A479D5" w:rsidRPr="00895AC6" w:rsidRDefault="00A479D5" w:rsidP="002431C5">
            <w:pPr>
              <w:jc w:val="center"/>
              <w:rPr>
                <w:sz w:val="22"/>
              </w:rPr>
            </w:pPr>
            <w:r w:rsidRPr="00895AC6">
              <w:rPr>
                <w:sz w:val="22"/>
              </w:rPr>
              <w:t>Farming with Nature</w:t>
            </w:r>
          </w:p>
        </w:tc>
        <w:tc>
          <w:tcPr>
            <w:tcW w:w="1855" w:type="dxa"/>
          </w:tcPr>
          <w:p w14:paraId="35E49989"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Outturn within 1% of final budget</w:t>
            </w:r>
          </w:p>
        </w:tc>
        <w:tc>
          <w:tcPr>
            <w:tcW w:w="1223" w:type="dxa"/>
          </w:tcPr>
          <w:p w14:paraId="1DE2F078"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0.8</w:t>
            </w:r>
          </w:p>
        </w:tc>
        <w:tc>
          <w:tcPr>
            <w:tcW w:w="1318" w:type="dxa"/>
          </w:tcPr>
          <w:p w14:paraId="262FDAF3"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0.8</w:t>
            </w:r>
          </w:p>
        </w:tc>
        <w:tc>
          <w:tcPr>
            <w:tcW w:w="1354" w:type="dxa"/>
          </w:tcPr>
          <w:p w14:paraId="14EF6E54"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0.0</w:t>
            </w:r>
          </w:p>
        </w:tc>
        <w:tc>
          <w:tcPr>
            <w:tcW w:w="1459" w:type="dxa"/>
          </w:tcPr>
          <w:p w14:paraId="40683C05"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b/>
                <w:bCs/>
                <w:color w:val="A66500"/>
                <w:sz w:val="22"/>
              </w:rPr>
            </w:pPr>
            <w:r w:rsidRPr="00895AC6">
              <w:rPr>
                <w:b/>
                <w:bCs/>
                <w:color w:val="4F6228" w:themeColor="accent3" w:themeShade="80"/>
                <w:sz w:val="22"/>
              </w:rPr>
              <w:t>On Track</w:t>
            </w:r>
          </w:p>
        </w:tc>
      </w:tr>
      <w:tr w:rsidR="00A479D5" w14:paraId="1A1CBC51" w14:textId="77777777" w:rsidTr="00A4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3EDB6519" w14:textId="77777777" w:rsidR="00A479D5" w:rsidRPr="00895AC6" w:rsidRDefault="00A479D5" w:rsidP="002431C5">
            <w:pPr>
              <w:jc w:val="center"/>
              <w:rPr>
                <w:sz w:val="22"/>
              </w:rPr>
            </w:pPr>
            <w:r w:rsidRPr="00895AC6">
              <w:rPr>
                <w:sz w:val="22"/>
              </w:rPr>
              <w:t>Nature Restoration Fund</w:t>
            </w:r>
          </w:p>
        </w:tc>
        <w:tc>
          <w:tcPr>
            <w:tcW w:w="1855" w:type="dxa"/>
          </w:tcPr>
          <w:p w14:paraId="01C250D2"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Outturn within 1% of final budget</w:t>
            </w:r>
          </w:p>
        </w:tc>
        <w:tc>
          <w:tcPr>
            <w:tcW w:w="1223" w:type="dxa"/>
          </w:tcPr>
          <w:p w14:paraId="16A32883"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11.3</w:t>
            </w:r>
          </w:p>
        </w:tc>
        <w:tc>
          <w:tcPr>
            <w:tcW w:w="1318" w:type="dxa"/>
          </w:tcPr>
          <w:p w14:paraId="0C55E11E"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10.8</w:t>
            </w:r>
          </w:p>
        </w:tc>
        <w:tc>
          <w:tcPr>
            <w:tcW w:w="1354" w:type="dxa"/>
          </w:tcPr>
          <w:p w14:paraId="55A9F6DE"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0.5</w:t>
            </w:r>
          </w:p>
        </w:tc>
        <w:tc>
          <w:tcPr>
            <w:tcW w:w="1459" w:type="dxa"/>
          </w:tcPr>
          <w:p w14:paraId="74707A9D" w14:textId="77777777" w:rsidR="00A479D5" w:rsidRPr="0072424C" w:rsidRDefault="00A479D5" w:rsidP="002431C5">
            <w:pPr>
              <w:jc w:val="center"/>
              <w:cnfStyle w:val="000000100000" w:firstRow="0" w:lastRow="0" w:firstColumn="0" w:lastColumn="0" w:oddVBand="0" w:evenVBand="0" w:oddHBand="1" w:evenHBand="0" w:firstRowFirstColumn="0" w:firstRowLastColumn="0" w:lastRowFirstColumn="0" w:lastRowLastColumn="0"/>
              <w:rPr>
                <w:b/>
                <w:bCs/>
                <w:color w:val="F08010"/>
                <w:sz w:val="22"/>
              </w:rPr>
            </w:pPr>
            <w:r w:rsidRPr="0072424C">
              <w:rPr>
                <w:b/>
                <w:bCs/>
                <w:color w:val="F08010"/>
                <w:sz w:val="22"/>
              </w:rPr>
              <w:t>Minor Slippage</w:t>
            </w:r>
          </w:p>
        </w:tc>
      </w:tr>
      <w:tr w:rsidR="00A479D5" w14:paraId="1649D640" w14:textId="77777777" w:rsidTr="00A479D5">
        <w:tc>
          <w:tcPr>
            <w:cnfStyle w:val="001000000000" w:firstRow="0" w:lastRow="0" w:firstColumn="1" w:lastColumn="0" w:oddVBand="0" w:evenVBand="0" w:oddHBand="0" w:evenHBand="0" w:firstRowFirstColumn="0" w:firstRowLastColumn="0" w:lastRowFirstColumn="0" w:lastRowLastColumn="0"/>
            <w:tcW w:w="1807" w:type="dxa"/>
          </w:tcPr>
          <w:p w14:paraId="5B713CD3" w14:textId="77777777" w:rsidR="00A479D5" w:rsidRPr="00895AC6" w:rsidRDefault="00A479D5" w:rsidP="002431C5">
            <w:pPr>
              <w:jc w:val="center"/>
              <w:rPr>
                <w:sz w:val="22"/>
              </w:rPr>
            </w:pPr>
            <w:r w:rsidRPr="00895AC6">
              <w:rPr>
                <w:sz w:val="22"/>
              </w:rPr>
              <w:t>FIRNS</w:t>
            </w:r>
          </w:p>
        </w:tc>
        <w:tc>
          <w:tcPr>
            <w:tcW w:w="1855" w:type="dxa"/>
          </w:tcPr>
          <w:p w14:paraId="22375CD8"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Outturn within 1% of final budget</w:t>
            </w:r>
          </w:p>
        </w:tc>
        <w:tc>
          <w:tcPr>
            <w:tcW w:w="1223" w:type="dxa"/>
          </w:tcPr>
          <w:p w14:paraId="40F19D6A"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1.6</w:t>
            </w:r>
          </w:p>
        </w:tc>
        <w:tc>
          <w:tcPr>
            <w:tcW w:w="1318" w:type="dxa"/>
          </w:tcPr>
          <w:p w14:paraId="1030C846"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1.6</w:t>
            </w:r>
          </w:p>
        </w:tc>
        <w:tc>
          <w:tcPr>
            <w:tcW w:w="1354" w:type="dxa"/>
          </w:tcPr>
          <w:p w14:paraId="3A7FD3F6"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sz w:val="22"/>
              </w:rPr>
            </w:pPr>
            <w:r w:rsidRPr="00895AC6">
              <w:rPr>
                <w:sz w:val="22"/>
              </w:rPr>
              <w:t>0.0</w:t>
            </w:r>
          </w:p>
        </w:tc>
        <w:tc>
          <w:tcPr>
            <w:tcW w:w="1459" w:type="dxa"/>
          </w:tcPr>
          <w:p w14:paraId="54F3567D" w14:textId="77777777" w:rsidR="00A479D5" w:rsidRPr="00895AC6" w:rsidRDefault="00A479D5" w:rsidP="002431C5">
            <w:pPr>
              <w:jc w:val="center"/>
              <w:cnfStyle w:val="000000000000" w:firstRow="0" w:lastRow="0" w:firstColumn="0" w:lastColumn="0" w:oddVBand="0" w:evenVBand="0" w:oddHBand="0" w:evenHBand="0" w:firstRowFirstColumn="0" w:firstRowLastColumn="0" w:lastRowFirstColumn="0" w:lastRowLastColumn="0"/>
              <w:rPr>
                <w:b/>
                <w:bCs/>
                <w:color w:val="A66500"/>
                <w:sz w:val="22"/>
              </w:rPr>
            </w:pPr>
            <w:r w:rsidRPr="00895AC6">
              <w:rPr>
                <w:b/>
                <w:bCs/>
                <w:color w:val="4F6228" w:themeColor="accent3" w:themeShade="80"/>
                <w:sz w:val="22"/>
              </w:rPr>
              <w:t>On Track</w:t>
            </w:r>
          </w:p>
        </w:tc>
      </w:tr>
      <w:tr w:rsidR="00A479D5" w14:paraId="10A24695" w14:textId="77777777" w:rsidTr="00A479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7" w:type="dxa"/>
          </w:tcPr>
          <w:p w14:paraId="29AD0AC0" w14:textId="77777777" w:rsidR="00A479D5" w:rsidRPr="00895AC6" w:rsidRDefault="00A479D5" w:rsidP="002431C5">
            <w:pPr>
              <w:jc w:val="center"/>
              <w:rPr>
                <w:sz w:val="22"/>
              </w:rPr>
            </w:pPr>
            <w:r w:rsidRPr="00895AC6">
              <w:rPr>
                <w:sz w:val="22"/>
              </w:rPr>
              <w:t>Rainforest Restoration Fund</w:t>
            </w:r>
          </w:p>
        </w:tc>
        <w:tc>
          <w:tcPr>
            <w:tcW w:w="1855" w:type="dxa"/>
          </w:tcPr>
          <w:p w14:paraId="6E8235BF"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Outturn within 1% of final budget</w:t>
            </w:r>
          </w:p>
        </w:tc>
        <w:tc>
          <w:tcPr>
            <w:tcW w:w="1223" w:type="dxa"/>
          </w:tcPr>
          <w:p w14:paraId="1454E3F7"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1.7</w:t>
            </w:r>
          </w:p>
        </w:tc>
        <w:tc>
          <w:tcPr>
            <w:tcW w:w="1318" w:type="dxa"/>
          </w:tcPr>
          <w:p w14:paraId="17BA2CB6"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1.5</w:t>
            </w:r>
          </w:p>
        </w:tc>
        <w:tc>
          <w:tcPr>
            <w:tcW w:w="1354" w:type="dxa"/>
          </w:tcPr>
          <w:p w14:paraId="5C51FB83"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sz w:val="22"/>
              </w:rPr>
            </w:pPr>
            <w:r w:rsidRPr="00895AC6">
              <w:rPr>
                <w:sz w:val="22"/>
              </w:rPr>
              <w:t>0.2</w:t>
            </w:r>
          </w:p>
        </w:tc>
        <w:tc>
          <w:tcPr>
            <w:tcW w:w="1459" w:type="dxa"/>
          </w:tcPr>
          <w:p w14:paraId="502AAFAC" w14:textId="77777777" w:rsidR="00A479D5" w:rsidRPr="00895AC6" w:rsidRDefault="00A479D5" w:rsidP="002431C5">
            <w:pPr>
              <w:jc w:val="center"/>
              <w:cnfStyle w:val="000000100000" w:firstRow="0" w:lastRow="0" w:firstColumn="0" w:lastColumn="0" w:oddVBand="0" w:evenVBand="0" w:oddHBand="1" w:evenHBand="0" w:firstRowFirstColumn="0" w:firstRowLastColumn="0" w:lastRowFirstColumn="0" w:lastRowLastColumn="0"/>
              <w:rPr>
                <w:b/>
                <w:bCs/>
                <w:color w:val="4F6228" w:themeColor="accent3" w:themeShade="80"/>
                <w:sz w:val="22"/>
              </w:rPr>
            </w:pPr>
            <w:r w:rsidRPr="00895AC6">
              <w:rPr>
                <w:b/>
                <w:bCs/>
                <w:color w:val="C00000"/>
                <w:sz w:val="22"/>
              </w:rPr>
              <w:t>Major Slippage</w:t>
            </w:r>
          </w:p>
        </w:tc>
      </w:tr>
    </w:tbl>
    <w:p w14:paraId="793845CF" w14:textId="77777777" w:rsidR="00B07F33" w:rsidRPr="0072424C" w:rsidRDefault="00B07F33" w:rsidP="00B07F33">
      <w:pPr>
        <w:rPr>
          <w:rFonts w:ascii="Calibri" w:hAnsi="Calibri" w:cs="Calibri"/>
          <w:sz w:val="22"/>
        </w:rPr>
      </w:pPr>
      <w:bookmarkStart w:id="7" w:name="_Hlk211507053"/>
      <w:r w:rsidRPr="0072424C">
        <w:rPr>
          <w:rFonts w:ascii="Calibri" w:hAnsi="Calibri" w:cs="Calibri"/>
          <w:sz w:val="22"/>
        </w:rPr>
        <w:t>*Resource under 1% - on track, up to 10% minor slippage, over 10% major slippage (** Capital under 5% / up to 10%)</w:t>
      </w:r>
    </w:p>
    <w:p w14:paraId="4EBCA494" w14:textId="77777777" w:rsidR="00901781" w:rsidRDefault="008624E9" w:rsidP="00C86562">
      <w:pPr>
        <w:pStyle w:val="Heading2"/>
      </w:pPr>
      <w:r w:rsidRPr="00B07F33">
        <w:t xml:space="preserve">Risk </w:t>
      </w:r>
    </w:p>
    <w:p w14:paraId="7E9DC281" w14:textId="0ED8A37F" w:rsidR="008A4E29" w:rsidRDefault="008624E9" w:rsidP="00105CBE">
      <w:pPr>
        <w:pStyle w:val="ListParagraph"/>
        <w:numPr>
          <w:ilvl w:val="0"/>
          <w:numId w:val="1"/>
        </w:numPr>
        <w:spacing w:after="0"/>
        <w:ind w:left="357" w:hanging="357"/>
        <w:rPr>
          <w:rFonts w:ascii="Calibri" w:eastAsia="Calibri" w:hAnsi="Calibri" w:cs="Calibri"/>
          <w:color w:val="000000" w:themeColor="text1"/>
          <w:sz w:val="22"/>
        </w:rPr>
      </w:pPr>
      <w:r w:rsidRPr="00895AC6">
        <w:rPr>
          <w:rFonts w:ascii="Calibri" w:eastAsia="Calibri" w:hAnsi="Calibri" w:cs="Calibri"/>
          <w:color w:val="000000" w:themeColor="text1"/>
          <w:sz w:val="22"/>
        </w:rPr>
        <w:t>Figure 3 shows the summary of the corporate risk register.</w:t>
      </w:r>
      <w:r w:rsidR="00317F22" w:rsidRPr="00895AC6">
        <w:rPr>
          <w:rFonts w:ascii="Calibri" w:eastAsia="Calibri" w:hAnsi="Calibri" w:cs="Calibri"/>
          <w:color w:val="000000" w:themeColor="text1"/>
          <w:sz w:val="22"/>
        </w:rPr>
        <w:t xml:space="preserve"> </w:t>
      </w:r>
      <w:r w:rsidR="008A4E29" w:rsidRPr="00895AC6">
        <w:rPr>
          <w:rFonts w:ascii="Calibri" w:eastAsia="Calibri" w:hAnsi="Calibri" w:cs="Calibri"/>
          <w:color w:val="000000" w:themeColor="text1"/>
          <w:sz w:val="22"/>
        </w:rPr>
        <w:t>Risk 802: Threat to Support for Nature Positive Action was added to the corporate risk register. This reflects the emphasis on strengthening public connection, understanding and access to nature. The impact score of 393: Future Funding and Financial Sustainability increased from 4 to 5 and flat cash scenario planning is underway.</w:t>
      </w:r>
    </w:p>
    <w:p w14:paraId="5BC03E77" w14:textId="77777777" w:rsidR="00105CBE" w:rsidRPr="00895AC6" w:rsidRDefault="00105CBE" w:rsidP="00105CBE">
      <w:pPr>
        <w:pStyle w:val="ListParagraph"/>
        <w:spacing w:after="0"/>
        <w:ind w:left="357"/>
        <w:rPr>
          <w:rFonts w:ascii="Calibri" w:eastAsia="Calibri" w:hAnsi="Calibri" w:cs="Calibri"/>
          <w:color w:val="000000" w:themeColor="text1"/>
          <w:sz w:val="22"/>
        </w:rPr>
      </w:pPr>
    </w:p>
    <w:p w14:paraId="5230FD2D" w14:textId="5C33C09A" w:rsidR="000F18FB" w:rsidRPr="00895AC6" w:rsidRDefault="000F18FB" w:rsidP="000F18FB">
      <w:pPr>
        <w:pStyle w:val="ListParagraph"/>
        <w:numPr>
          <w:ilvl w:val="0"/>
          <w:numId w:val="1"/>
        </w:numPr>
        <w:rPr>
          <w:rFonts w:ascii="Calibri" w:eastAsia="Calibri" w:hAnsi="Calibri" w:cs="Calibri"/>
          <w:color w:val="000000" w:themeColor="text1"/>
          <w:sz w:val="22"/>
        </w:rPr>
      </w:pPr>
      <w:r w:rsidRPr="00895AC6">
        <w:rPr>
          <w:rFonts w:ascii="Calibri" w:eastAsia="Calibri" w:hAnsi="Calibri" w:cs="Calibri"/>
          <w:color w:val="000000" w:themeColor="text1"/>
          <w:sz w:val="22"/>
        </w:rPr>
        <w:t>The Cabinet Secretary announced that consultation on MPA and PMF management measures would be delayed until after the May election so Risk 53: Marine Protected Areas impact score increased from 3 to 4.</w:t>
      </w:r>
    </w:p>
    <w:p w14:paraId="014E4005" w14:textId="61AFF2B9" w:rsidR="008624E9" w:rsidRPr="007F243D" w:rsidRDefault="008624E9" w:rsidP="007F243D">
      <w:pPr>
        <w:pStyle w:val="Heading2"/>
      </w:pPr>
      <w:r w:rsidRPr="007F243D">
        <w:t xml:space="preserve">Figure </w:t>
      </w:r>
      <w:r w:rsidR="00901781" w:rsidRPr="007F243D">
        <w:t>3:</w:t>
      </w:r>
      <w:r w:rsidRPr="007F243D">
        <w:t xml:space="preserve"> Corporate Risk Register Summary</w:t>
      </w:r>
    </w:p>
    <w:p w14:paraId="1E4F962F" w14:textId="2FE39CAE" w:rsidR="008A4E29" w:rsidRPr="00895AC6" w:rsidRDefault="00A700E2" w:rsidP="00895AC6">
      <w:pPr>
        <w:pStyle w:val="ListParagraph"/>
        <w:numPr>
          <w:ilvl w:val="0"/>
          <w:numId w:val="1"/>
        </w:numPr>
        <w:rPr>
          <w:rFonts w:ascii="Calibri" w:eastAsia="Calibri" w:hAnsi="Calibri" w:cs="Calibri"/>
          <w:color w:val="000000" w:themeColor="text1"/>
          <w:sz w:val="22"/>
        </w:rPr>
      </w:pPr>
      <w:r w:rsidRPr="00895AC6">
        <w:rPr>
          <w:rFonts w:ascii="Calibri" w:eastAsia="Calibri" w:hAnsi="Calibri" w:cs="Calibri"/>
          <w:color w:val="000000" w:themeColor="text1"/>
          <w:sz w:val="22"/>
        </w:rPr>
        <w:t xml:space="preserve">Figure 3 provides a </w:t>
      </w:r>
      <w:r w:rsidR="00E70738" w:rsidRPr="00895AC6">
        <w:rPr>
          <w:rFonts w:ascii="Calibri" w:eastAsia="Calibri" w:hAnsi="Calibri" w:cs="Calibri"/>
          <w:color w:val="000000" w:themeColor="text1"/>
          <w:sz w:val="22"/>
        </w:rPr>
        <w:t>high-level</w:t>
      </w:r>
      <w:r w:rsidRPr="00895AC6">
        <w:rPr>
          <w:rFonts w:ascii="Calibri" w:eastAsia="Calibri" w:hAnsi="Calibri" w:cs="Calibri"/>
          <w:color w:val="000000" w:themeColor="text1"/>
          <w:sz w:val="22"/>
        </w:rPr>
        <w:t xml:space="preserve"> summary of corporate risk movement. More detail is in Appendix</w:t>
      </w:r>
      <w:r w:rsidR="00895AC6">
        <w:rPr>
          <w:rFonts w:ascii="Calibri" w:eastAsia="Calibri" w:hAnsi="Calibri" w:cs="Calibri"/>
          <w:color w:val="000000" w:themeColor="text1"/>
          <w:sz w:val="22"/>
        </w:rPr>
        <w:t xml:space="preserve"> </w:t>
      </w:r>
      <w:r w:rsidRPr="00895AC6">
        <w:rPr>
          <w:rFonts w:ascii="Calibri" w:eastAsia="Calibri" w:hAnsi="Calibri" w:cs="Calibri"/>
          <w:color w:val="000000" w:themeColor="text1"/>
          <w:sz w:val="22"/>
        </w:rPr>
        <w:t>3</w:t>
      </w:r>
      <w:r w:rsidR="00895AC6">
        <w:rPr>
          <w:rFonts w:ascii="Calibri" w:eastAsia="Calibri" w:hAnsi="Calibri" w:cs="Calibri"/>
          <w:color w:val="000000" w:themeColor="text1"/>
          <w:sz w:val="22"/>
        </w:rPr>
        <w:t>.</w:t>
      </w:r>
    </w:p>
    <w:tbl>
      <w:tblPr>
        <w:tblStyle w:val="TableGrid"/>
        <w:tblW w:w="0" w:type="auto"/>
        <w:tblLook w:val="04A0" w:firstRow="1" w:lastRow="0" w:firstColumn="1" w:lastColumn="0" w:noHBand="0" w:noVBand="1"/>
      </w:tblPr>
      <w:tblGrid>
        <w:gridCol w:w="2254"/>
        <w:gridCol w:w="2254"/>
        <w:gridCol w:w="2254"/>
        <w:gridCol w:w="2254"/>
      </w:tblGrid>
      <w:tr w:rsidR="008A4E29" w14:paraId="69BA0846" w14:textId="77777777" w:rsidTr="008A4E29">
        <w:trPr>
          <w:trHeight w:val="756"/>
        </w:trPr>
        <w:tc>
          <w:tcPr>
            <w:tcW w:w="2254" w:type="dxa"/>
          </w:tcPr>
          <w:p w14:paraId="1BE2DEE2" w14:textId="15FED07E" w:rsidR="008A4E29" w:rsidRDefault="008A4E29" w:rsidP="0054218B">
            <w:pPr>
              <w:rPr>
                <w:rFonts w:ascii="Calibri" w:eastAsia="Calibri" w:hAnsi="Calibri" w:cs="Calibri"/>
                <w:b/>
                <w:bCs/>
                <w:szCs w:val="24"/>
              </w:rPr>
            </w:pPr>
            <w:r>
              <w:rPr>
                <w:rFonts w:ascii="Calibri" w:eastAsia="Calibri" w:hAnsi="Calibri" w:cs="Calibri"/>
                <w:b/>
                <w:bCs/>
                <w:szCs w:val="24"/>
              </w:rPr>
              <w:lastRenderedPageBreak/>
              <w:t>Risk Status</w:t>
            </w:r>
          </w:p>
        </w:tc>
        <w:tc>
          <w:tcPr>
            <w:tcW w:w="2254" w:type="dxa"/>
            <w:shd w:val="clear" w:color="auto" w:fill="FF0000"/>
          </w:tcPr>
          <w:p w14:paraId="698D3FF8" w14:textId="6D9B8A79" w:rsidR="008A4E29" w:rsidRDefault="008F5B26" w:rsidP="0054218B">
            <w:pPr>
              <w:rPr>
                <w:rFonts w:ascii="Calibri" w:eastAsia="Calibri" w:hAnsi="Calibri" w:cs="Calibri"/>
                <w:b/>
                <w:bCs/>
                <w:szCs w:val="24"/>
              </w:rPr>
            </w:pPr>
            <w:r>
              <w:rPr>
                <w:rFonts w:ascii="Calibri" w:eastAsia="Calibri" w:hAnsi="Calibri" w:cs="Calibri"/>
                <w:b/>
                <w:bCs/>
                <w:szCs w:val="24"/>
              </w:rPr>
              <w:t>7</w:t>
            </w:r>
            <w:r w:rsidR="008A4E29">
              <w:rPr>
                <w:rFonts w:ascii="Calibri" w:eastAsia="Calibri" w:hAnsi="Calibri" w:cs="Calibri"/>
                <w:b/>
                <w:bCs/>
                <w:szCs w:val="24"/>
              </w:rPr>
              <w:t xml:space="preserve"> Red</w:t>
            </w:r>
          </w:p>
        </w:tc>
        <w:tc>
          <w:tcPr>
            <w:tcW w:w="2254" w:type="dxa"/>
            <w:shd w:val="clear" w:color="auto" w:fill="FFC000"/>
          </w:tcPr>
          <w:p w14:paraId="6ADBEBF3" w14:textId="6998C24E" w:rsidR="008A4E29" w:rsidRDefault="008F5B26" w:rsidP="0054218B">
            <w:pPr>
              <w:rPr>
                <w:rFonts w:ascii="Calibri" w:eastAsia="Calibri" w:hAnsi="Calibri" w:cs="Calibri"/>
                <w:b/>
                <w:bCs/>
                <w:szCs w:val="24"/>
              </w:rPr>
            </w:pPr>
            <w:r>
              <w:rPr>
                <w:rFonts w:ascii="Calibri" w:eastAsia="Calibri" w:hAnsi="Calibri" w:cs="Calibri"/>
                <w:b/>
                <w:bCs/>
                <w:szCs w:val="24"/>
              </w:rPr>
              <w:t>5</w:t>
            </w:r>
            <w:r w:rsidR="008A4E29">
              <w:rPr>
                <w:rFonts w:ascii="Calibri" w:eastAsia="Calibri" w:hAnsi="Calibri" w:cs="Calibri"/>
                <w:b/>
                <w:bCs/>
                <w:szCs w:val="24"/>
              </w:rPr>
              <w:t xml:space="preserve"> Amber</w:t>
            </w:r>
          </w:p>
        </w:tc>
        <w:tc>
          <w:tcPr>
            <w:tcW w:w="2254" w:type="dxa"/>
            <w:shd w:val="clear" w:color="auto" w:fill="00B050"/>
          </w:tcPr>
          <w:p w14:paraId="11F7C7D6" w14:textId="21200854" w:rsidR="008A4E29" w:rsidRDefault="008A4E29" w:rsidP="0054218B">
            <w:pPr>
              <w:rPr>
                <w:rFonts w:ascii="Calibri" w:eastAsia="Calibri" w:hAnsi="Calibri" w:cs="Calibri"/>
                <w:b/>
                <w:bCs/>
                <w:szCs w:val="24"/>
              </w:rPr>
            </w:pPr>
            <w:r>
              <w:rPr>
                <w:rFonts w:ascii="Calibri" w:eastAsia="Calibri" w:hAnsi="Calibri" w:cs="Calibri"/>
                <w:b/>
                <w:bCs/>
                <w:szCs w:val="24"/>
              </w:rPr>
              <w:t>0 Green</w:t>
            </w:r>
          </w:p>
        </w:tc>
      </w:tr>
      <w:tr w:rsidR="008A4E29" w14:paraId="263E64C4" w14:textId="77777777" w:rsidTr="008A4E29">
        <w:trPr>
          <w:trHeight w:val="888"/>
        </w:trPr>
        <w:tc>
          <w:tcPr>
            <w:tcW w:w="2254" w:type="dxa"/>
          </w:tcPr>
          <w:p w14:paraId="20DC53BA" w14:textId="6FB5B18C" w:rsidR="008A4E29" w:rsidRDefault="00E832B5" w:rsidP="0054218B">
            <w:pPr>
              <w:rPr>
                <w:rFonts w:ascii="Calibri" w:eastAsia="Calibri" w:hAnsi="Calibri" w:cs="Calibri"/>
                <w:b/>
                <w:bCs/>
                <w:szCs w:val="24"/>
              </w:rPr>
            </w:pPr>
            <w:r>
              <w:rPr>
                <w:rFonts w:ascii="Calibri" w:eastAsia="Calibri" w:hAnsi="Calibri" w:cs="Calibri"/>
                <w:b/>
                <w:bCs/>
                <w:szCs w:val="24"/>
              </w:rPr>
              <w:t>Movement in Risk Rating</w:t>
            </w:r>
          </w:p>
        </w:tc>
        <w:tc>
          <w:tcPr>
            <w:tcW w:w="2254" w:type="dxa"/>
          </w:tcPr>
          <w:p w14:paraId="3F84C86F" w14:textId="4012CB7F" w:rsidR="008A4E29" w:rsidRDefault="008A4E29" w:rsidP="0054218B">
            <w:pPr>
              <w:rPr>
                <w:rFonts w:ascii="Calibri" w:eastAsia="Calibri" w:hAnsi="Calibri" w:cs="Calibri"/>
                <w:b/>
                <w:bCs/>
                <w:szCs w:val="24"/>
              </w:rPr>
            </w:pPr>
            <w:r>
              <w:rPr>
                <w:noProof/>
              </w:rPr>
              <mc:AlternateContent>
                <mc:Choice Requires="wps">
                  <w:drawing>
                    <wp:anchor distT="0" distB="0" distL="114300" distR="114300" simplePos="0" relativeHeight="251728896" behindDoc="0" locked="0" layoutInCell="1" allowOverlap="1" wp14:anchorId="3D4FDE18" wp14:editId="1116E53B">
                      <wp:simplePos x="0" y="0"/>
                      <wp:positionH relativeFrom="column">
                        <wp:posOffset>362585</wp:posOffset>
                      </wp:positionH>
                      <wp:positionV relativeFrom="paragraph">
                        <wp:posOffset>148590</wp:posOffset>
                      </wp:positionV>
                      <wp:extent cx="391160" cy="284480"/>
                      <wp:effectExtent l="0" t="0" r="0" b="0"/>
                      <wp:wrapNone/>
                      <wp:docPr id="883029178"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1160" cy="284480"/>
                              </a:xfrm>
                              <a:custGeom>
                                <a:avLst/>
                                <a:gdLst>
                                  <a:gd name="T0" fmla="*/ 0 w 616"/>
                                  <a:gd name="T1" fmla="*/ 224 h 448"/>
                                  <a:gd name="T2" fmla="*/ 308 w 616"/>
                                  <a:gd name="T3" fmla="*/ 0 h 448"/>
                                  <a:gd name="T4" fmla="*/ 616 w 616"/>
                                  <a:gd name="T5" fmla="*/ 224 h 448"/>
                                  <a:gd name="T6" fmla="*/ 462 w 616"/>
                                  <a:gd name="T7" fmla="*/ 224 h 448"/>
                                  <a:gd name="T8" fmla="*/ 462 w 616"/>
                                  <a:gd name="T9" fmla="*/ 448 h 448"/>
                                  <a:gd name="T10" fmla="*/ 154 w 616"/>
                                  <a:gd name="T11" fmla="*/ 448 h 448"/>
                                  <a:gd name="T12" fmla="*/ 154 w 616"/>
                                  <a:gd name="T13" fmla="*/ 224 h 448"/>
                                  <a:gd name="T14" fmla="*/ 0 w 616"/>
                                  <a:gd name="T15" fmla="*/ 224 h 44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16" h="448">
                                    <a:moveTo>
                                      <a:pt x="0" y="224"/>
                                    </a:moveTo>
                                    <a:lnTo>
                                      <a:pt x="308" y="0"/>
                                    </a:lnTo>
                                    <a:lnTo>
                                      <a:pt x="616" y="224"/>
                                    </a:lnTo>
                                    <a:lnTo>
                                      <a:pt x="462" y="224"/>
                                    </a:lnTo>
                                    <a:lnTo>
                                      <a:pt x="462" y="448"/>
                                    </a:lnTo>
                                    <a:lnTo>
                                      <a:pt x="154" y="448"/>
                                    </a:lnTo>
                                    <a:lnTo>
                                      <a:pt x="154" y="224"/>
                                    </a:lnTo>
                                    <a:lnTo>
                                      <a:pt x="0" y="224"/>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3BFC458C" id="Freeform 53" o:spid="_x0000_s1026" style="position:absolute;margin-left:28.55pt;margin-top:11.7pt;width:30.8pt;height:22.4pt;z-index:251728896;visibility:visible;mso-wrap-style:square;mso-wrap-distance-left:9pt;mso-wrap-distance-top:0;mso-wrap-distance-right:9pt;mso-wrap-distance-bottom:0;mso-position-horizontal:absolute;mso-position-horizontal-relative:text;mso-position-vertical:absolute;mso-position-vertical-relative:text;v-text-anchor:top" coordsize="616,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" path="m,224l308,,616,224r-154,l462,448r-308,l154,224,,224xe" fillcolor="#002060" stroked="f">
                      <v:path arrowok="t" o:connecttype="custom" o:connectlocs="0,142240;195580,0;391160,142240;293370,142240;293370,284480;97790,284480;97790,142240;0,142240" o:connectangles="0,0,0,0,0,0,0,0"/>
                    </v:shape>
                  </w:pict>
                </mc:Fallback>
              </mc:AlternateContent>
            </w:r>
            <w:r w:rsidR="00EB3C56">
              <w:rPr>
                <w:rFonts w:ascii="Calibri" w:eastAsia="Calibri" w:hAnsi="Calibri" w:cs="Calibri"/>
                <w:b/>
                <w:bCs/>
                <w:szCs w:val="24"/>
              </w:rPr>
              <w:t>3</w:t>
            </w:r>
            <w:r>
              <w:rPr>
                <w:rFonts w:ascii="Calibri" w:eastAsia="Calibri" w:hAnsi="Calibri" w:cs="Calibri"/>
                <w:b/>
                <w:bCs/>
                <w:szCs w:val="24"/>
              </w:rPr>
              <w:t xml:space="preserve"> </w:t>
            </w:r>
          </w:p>
        </w:tc>
        <w:tc>
          <w:tcPr>
            <w:tcW w:w="2254" w:type="dxa"/>
          </w:tcPr>
          <w:p w14:paraId="640A1733" w14:textId="12710E60" w:rsidR="008A4E29" w:rsidRDefault="008A4E29" w:rsidP="0054218B">
            <w:pPr>
              <w:rPr>
                <w:rFonts w:ascii="Calibri" w:eastAsia="Calibri" w:hAnsi="Calibri" w:cs="Calibri"/>
                <w:b/>
                <w:bCs/>
                <w:szCs w:val="24"/>
              </w:rPr>
            </w:pPr>
            <w:r>
              <w:rPr>
                <w:noProof/>
              </w:rPr>
              <mc:AlternateContent>
                <mc:Choice Requires="wps">
                  <w:drawing>
                    <wp:anchor distT="0" distB="0" distL="114300" distR="114300" simplePos="0" relativeHeight="251730944" behindDoc="0" locked="0" layoutInCell="1" allowOverlap="1" wp14:anchorId="6E22C727" wp14:editId="12521530">
                      <wp:simplePos x="0" y="0"/>
                      <wp:positionH relativeFrom="column">
                        <wp:posOffset>407670</wp:posOffset>
                      </wp:positionH>
                      <wp:positionV relativeFrom="paragraph">
                        <wp:posOffset>139065</wp:posOffset>
                      </wp:positionV>
                      <wp:extent cx="454025" cy="266065"/>
                      <wp:effectExtent l="0" t="0" r="0" b="0"/>
                      <wp:wrapNone/>
                      <wp:docPr id="329944070"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4025" cy="266065"/>
                              </a:xfrm>
                              <a:custGeom>
                                <a:avLst/>
                                <a:gdLst>
                                  <a:gd name="T0" fmla="*/ 0 w 715"/>
                                  <a:gd name="T1" fmla="*/ 209 h 419"/>
                                  <a:gd name="T2" fmla="*/ 209 w 715"/>
                                  <a:gd name="T3" fmla="*/ 0 h 419"/>
                                  <a:gd name="T4" fmla="*/ 209 w 715"/>
                                  <a:gd name="T5" fmla="*/ 105 h 419"/>
                                  <a:gd name="T6" fmla="*/ 506 w 715"/>
                                  <a:gd name="T7" fmla="*/ 105 h 419"/>
                                  <a:gd name="T8" fmla="*/ 506 w 715"/>
                                  <a:gd name="T9" fmla="*/ 0 h 419"/>
                                  <a:gd name="T10" fmla="*/ 715 w 715"/>
                                  <a:gd name="T11" fmla="*/ 209 h 419"/>
                                  <a:gd name="T12" fmla="*/ 506 w 715"/>
                                  <a:gd name="T13" fmla="*/ 419 h 419"/>
                                  <a:gd name="T14" fmla="*/ 506 w 715"/>
                                  <a:gd name="T15" fmla="*/ 314 h 419"/>
                                  <a:gd name="T16" fmla="*/ 209 w 715"/>
                                  <a:gd name="T17" fmla="*/ 314 h 419"/>
                                  <a:gd name="T18" fmla="*/ 209 w 715"/>
                                  <a:gd name="T19" fmla="*/ 419 h 419"/>
                                  <a:gd name="T20" fmla="*/ 0 w 715"/>
                                  <a:gd name="T21" fmla="*/ 209 h 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15" h="419">
                                    <a:moveTo>
                                      <a:pt x="0" y="209"/>
                                    </a:moveTo>
                                    <a:lnTo>
                                      <a:pt x="209" y="0"/>
                                    </a:lnTo>
                                    <a:lnTo>
                                      <a:pt x="209" y="105"/>
                                    </a:lnTo>
                                    <a:lnTo>
                                      <a:pt x="506" y="105"/>
                                    </a:lnTo>
                                    <a:lnTo>
                                      <a:pt x="506" y="0"/>
                                    </a:lnTo>
                                    <a:lnTo>
                                      <a:pt x="715" y="209"/>
                                    </a:lnTo>
                                    <a:lnTo>
                                      <a:pt x="506" y="419"/>
                                    </a:lnTo>
                                    <a:lnTo>
                                      <a:pt x="506" y="314"/>
                                    </a:lnTo>
                                    <a:lnTo>
                                      <a:pt x="209" y="314"/>
                                    </a:lnTo>
                                    <a:lnTo>
                                      <a:pt x="209" y="419"/>
                                    </a:lnTo>
                                    <a:lnTo>
                                      <a:pt x="0" y="209"/>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1F10813" id="Freeform 55" o:spid="_x0000_s1026" style="position:absolute;margin-left:32.1pt;margin-top:10.95pt;width:35.75pt;height:20.95pt;z-index:251730944;visibility:visible;mso-wrap-style:square;mso-wrap-distance-left:9pt;mso-wrap-distance-top:0;mso-wrap-distance-right:9pt;mso-wrap-distance-bottom:0;mso-position-horizontal:absolute;mso-position-horizontal-relative:text;mso-position-vertical:absolute;mso-position-vertical-relative:text;v-text-anchor:top" coordsize="7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" path="m,209l209,r,105l506,105,506,,715,209,506,419r,-105l209,314r,105l,209xe" fillcolor="#002060" stroked="f">
                      <v:path arrowok="t" o:connecttype="custom" o:connectlocs="0,132715;132715,0;132715,66675;321310,66675;321310,0;454025,132715;321310,266065;321310,199390;132715,199390;132715,266065;0,132715" o:connectangles="0,0,0,0,0,0,0,0,0,0,0"/>
                    </v:shape>
                  </w:pict>
                </mc:Fallback>
              </mc:AlternateContent>
            </w:r>
            <w:r w:rsidR="006B3CB0">
              <w:rPr>
                <w:rFonts w:ascii="Calibri" w:eastAsia="Calibri" w:hAnsi="Calibri" w:cs="Calibri"/>
                <w:b/>
                <w:bCs/>
                <w:szCs w:val="24"/>
              </w:rPr>
              <w:t>9</w:t>
            </w:r>
          </w:p>
        </w:tc>
        <w:tc>
          <w:tcPr>
            <w:tcW w:w="2254" w:type="dxa"/>
          </w:tcPr>
          <w:p w14:paraId="7228E74D" w14:textId="11DC2504" w:rsidR="008A4E29" w:rsidRDefault="008A4E29" w:rsidP="0054218B">
            <w:pPr>
              <w:rPr>
                <w:rFonts w:ascii="Calibri" w:eastAsia="Calibri" w:hAnsi="Calibri" w:cs="Calibri"/>
                <w:b/>
                <w:bCs/>
                <w:szCs w:val="24"/>
              </w:rPr>
            </w:pPr>
            <w:r>
              <w:rPr>
                <w:noProof/>
              </w:rPr>
              <mc:AlternateContent>
                <mc:Choice Requires="wps">
                  <w:drawing>
                    <wp:anchor distT="0" distB="0" distL="114300" distR="114300" simplePos="0" relativeHeight="251732992" behindDoc="0" locked="0" layoutInCell="1" allowOverlap="1" wp14:anchorId="0FFD78E2" wp14:editId="49857F01">
                      <wp:simplePos x="0" y="0"/>
                      <wp:positionH relativeFrom="column">
                        <wp:posOffset>414655</wp:posOffset>
                      </wp:positionH>
                      <wp:positionV relativeFrom="paragraph">
                        <wp:posOffset>205740</wp:posOffset>
                      </wp:positionV>
                      <wp:extent cx="302895" cy="215265"/>
                      <wp:effectExtent l="0" t="0" r="0" b="0"/>
                      <wp:wrapNone/>
                      <wp:docPr id="96623087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895" cy="215265"/>
                              </a:xfrm>
                              <a:custGeom>
                                <a:avLst/>
                                <a:gdLst>
                                  <a:gd name="T0" fmla="*/ 477 w 477"/>
                                  <a:gd name="T1" fmla="*/ 169 h 339"/>
                                  <a:gd name="T2" fmla="*/ 238 w 477"/>
                                  <a:gd name="T3" fmla="*/ 339 h 339"/>
                                  <a:gd name="T4" fmla="*/ 0 w 477"/>
                                  <a:gd name="T5" fmla="*/ 169 h 339"/>
                                  <a:gd name="T6" fmla="*/ 119 w 477"/>
                                  <a:gd name="T7" fmla="*/ 169 h 339"/>
                                  <a:gd name="T8" fmla="*/ 119 w 477"/>
                                  <a:gd name="T9" fmla="*/ 0 h 339"/>
                                  <a:gd name="T10" fmla="*/ 357 w 477"/>
                                  <a:gd name="T11" fmla="*/ 0 h 339"/>
                                  <a:gd name="T12" fmla="*/ 357 w 477"/>
                                  <a:gd name="T13" fmla="*/ 169 h 339"/>
                                  <a:gd name="T14" fmla="*/ 477 w 477"/>
                                  <a:gd name="T15" fmla="*/ 169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7" h="339">
                                    <a:moveTo>
                                      <a:pt x="477" y="169"/>
                                    </a:moveTo>
                                    <a:lnTo>
                                      <a:pt x="238" y="339"/>
                                    </a:lnTo>
                                    <a:lnTo>
                                      <a:pt x="0" y="169"/>
                                    </a:lnTo>
                                    <a:lnTo>
                                      <a:pt x="119" y="169"/>
                                    </a:lnTo>
                                    <a:lnTo>
                                      <a:pt x="119" y="0"/>
                                    </a:lnTo>
                                    <a:lnTo>
                                      <a:pt x="357" y="0"/>
                                    </a:lnTo>
                                    <a:lnTo>
                                      <a:pt x="357" y="169"/>
                                    </a:lnTo>
                                    <a:lnTo>
                                      <a:pt x="477" y="169"/>
                                    </a:lnTo>
                                    <a:close/>
                                  </a:path>
                                </a:pathLst>
                              </a:custGeom>
                              <a:solidFill>
                                <a:srgbClr val="0020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165D0E47" id="Freeform 57" o:spid="_x0000_s1026" style="position:absolute;margin-left:32.65pt;margin-top:16.2pt;width:23.85pt;height:16.95pt;z-index:251732992;visibility:visible;mso-wrap-style:square;mso-wrap-distance-left:9pt;mso-wrap-distance-top:0;mso-wrap-distance-right:9pt;mso-wrap-distance-bottom:0;mso-position-horizontal:absolute;mso-position-horizontal-relative:text;mso-position-vertical:absolute;mso-position-vertical-relative:text;v-text-anchor:top" coordsize="477,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" path="m477,169l238,339,,169r119,l119,,357,r,169l477,169xe" fillcolor="#002060" stroked="f">
                      <v:path arrowok="t" o:connecttype="custom" o:connectlocs="302895,107315;151130,215265;0,107315;75565,107315;75565,0;226695,0;226695,107315;302895,107315" o:connectangles="0,0,0,0,0,0,0,0"/>
                    </v:shape>
                  </w:pict>
                </mc:Fallback>
              </mc:AlternateContent>
            </w:r>
            <w:r w:rsidR="006B3CB0">
              <w:rPr>
                <w:rFonts w:ascii="Calibri" w:eastAsia="Calibri" w:hAnsi="Calibri" w:cs="Calibri"/>
                <w:b/>
                <w:bCs/>
                <w:szCs w:val="24"/>
              </w:rPr>
              <w:t>0</w:t>
            </w:r>
          </w:p>
        </w:tc>
      </w:tr>
    </w:tbl>
    <w:p w14:paraId="5BD30FD2" w14:textId="071EF8F9" w:rsidR="008A4E29" w:rsidRPr="0072424C" w:rsidRDefault="00BF36BC" w:rsidP="0054218B">
      <w:pPr>
        <w:rPr>
          <w:rFonts w:ascii="Calibri" w:eastAsia="Calibri" w:hAnsi="Calibri" w:cs="Calibri"/>
          <w:sz w:val="22"/>
        </w:rPr>
      </w:pPr>
      <w:r w:rsidRPr="0072424C">
        <w:rPr>
          <w:rFonts w:ascii="Calibri" w:eastAsia="Calibri" w:hAnsi="Calibri" w:cs="Calibri"/>
          <w:sz w:val="22"/>
        </w:rPr>
        <w:t>(The table provides a summary of progress against corporate risks in the quarter. 3 risks are increasing, 9 are static and none are decreasing)</w:t>
      </w:r>
    </w:p>
    <w:p w14:paraId="20F0FB7F" w14:textId="76B7FCE1" w:rsidR="000E1F01" w:rsidRPr="002A3558" w:rsidRDefault="00FF168C" w:rsidP="00C86562">
      <w:pPr>
        <w:pStyle w:val="Heading2"/>
      </w:pPr>
      <w:r w:rsidRPr="00B07F33">
        <w:t>Operational Delivery</w:t>
      </w:r>
      <w:r w:rsidR="001832A6">
        <w:t xml:space="preserve"> Scorecard</w:t>
      </w:r>
    </w:p>
    <w:p w14:paraId="029C2719" w14:textId="537FAA4C" w:rsidR="00901781" w:rsidRPr="00895AC6" w:rsidRDefault="000E1F01" w:rsidP="00291B28">
      <w:pPr>
        <w:pStyle w:val="ListParagraph"/>
        <w:numPr>
          <w:ilvl w:val="0"/>
          <w:numId w:val="1"/>
        </w:numPr>
        <w:ind w:left="357" w:hanging="357"/>
        <w:rPr>
          <w:rFonts w:ascii="Calibri" w:eastAsia="Calibri" w:hAnsi="Calibri" w:cs="Calibri"/>
          <w:sz w:val="22"/>
        </w:rPr>
      </w:pPr>
      <w:r w:rsidRPr="00895AC6">
        <w:rPr>
          <w:rFonts w:ascii="Calibri" w:eastAsia="Calibri" w:hAnsi="Calibri" w:cs="Calibri"/>
          <w:sz w:val="22"/>
        </w:rPr>
        <w:t xml:space="preserve">Figure </w:t>
      </w:r>
      <w:r w:rsidR="008624E9" w:rsidRPr="00895AC6">
        <w:rPr>
          <w:rFonts w:ascii="Calibri" w:eastAsia="Calibri" w:hAnsi="Calibri" w:cs="Calibri"/>
          <w:sz w:val="22"/>
        </w:rPr>
        <w:t>4</w:t>
      </w:r>
      <w:r w:rsidRPr="00895AC6">
        <w:rPr>
          <w:rFonts w:ascii="Calibri" w:eastAsia="Calibri" w:hAnsi="Calibri" w:cs="Calibri"/>
          <w:sz w:val="22"/>
        </w:rPr>
        <w:t xml:space="preserve"> shows the RAG status of delivery plans and their alignment with the 4 foundation blocks and internal </w:t>
      </w:r>
      <w:r w:rsidR="000C6311" w:rsidRPr="00895AC6">
        <w:rPr>
          <w:rFonts w:ascii="Calibri" w:eastAsia="Calibri" w:hAnsi="Calibri" w:cs="Calibri"/>
          <w:sz w:val="22"/>
        </w:rPr>
        <w:t>t</w:t>
      </w:r>
      <w:r w:rsidRPr="00895AC6">
        <w:rPr>
          <w:rFonts w:ascii="Calibri" w:eastAsia="Calibri" w:hAnsi="Calibri" w:cs="Calibri"/>
          <w:sz w:val="22"/>
        </w:rPr>
        <w:t>ransformation. Key highlights for the quarter are noted</w:t>
      </w:r>
      <w:r w:rsidR="007210C6" w:rsidRPr="00895AC6">
        <w:rPr>
          <w:rFonts w:ascii="Calibri" w:eastAsia="Calibri" w:hAnsi="Calibri" w:cs="Calibri"/>
          <w:sz w:val="22"/>
        </w:rPr>
        <w:t>, and further details are provided in A</w:t>
      </w:r>
      <w:r w:rsidR="00A700E2" w:rsidRPr="00895AC6">
        <w:rPr>
          <w:rFonts w:ascii="Calibri" w:eastAsia="Calibri" w:hAnsi="Calibri" w:cs="Calibri"/>
          <w:sz w:val="22"/>
        </w:rPr>
        <w:t>ppendix</w:t>
      </w:r>
      <w:r w:rsidR="007210C6" w:rsidRPr="00895AC6">
        <w:rPr>
          <w:rFonts w:ascii="Calibri" w:eastAsia="Calibri" w:hAnsi="Calibri" w:cs="Calibri"/>
          <w:sz w:val="22"/>
        </w:rPr>
        <w:t xml:space="preserve"> </w:t>
      </w:r>
      <w:r w:rsidR="00901781" w:rsidRPr="00895AC6">
        <w:rPr>
          <w:rFonts w:ascii="Calibri" w:eastAsia="Calibri" w:hAnsi="Calibri" w:cs="Calibri"/>
          <w:sz w:val="22"/>
        </w:rPr>
        <w:t>4</w:t>
      </w:r>
      <w:r w:rsidR="007210C6" w:rsidRPr="00895AC6">
        <w:rPr>
          <w:rFonts w:ascii="Calibri" w:eastAsia="Calibri" w:hAnsi="Calibri" w:cs="Calibri"/>
          <w:sz w:val="22"/>
        </w:rPr>
        <w:t>.</w:t>
      </w:r>
    </w:p>
    <w:p w14:paraId="64B83107" w14:textId="317C0B04" w:rsidR="004A486E" w:rsidRPr="00785F52" w:rsidRDefault="008624E9" w:rsidP="009C29B2">
      <w:pPr>
        <w:pStyle w:val="Heading2"/>
        <w:rPr>
          <w:rFonts w:eastAsia="Calibri"/>
        </w:rPr>
      </w:pPr>
      <w:r w:rsidRPr="007523B5">
        <w:rPr>
          <w:rFonts w:eastAsia="Calibri"/>
        </w:rPr>
        <w:t xml:space="preserve">Figure </w:t>
      </w:r>
      <w:r w:rsidR="00901781" w:rsidRPr="007523B5">
        <w:rPr>
          <w:rFonts w:eastAsia="Calibri"/>
        </w:rPr>
        <w:t>4:</w:t>
      </w:r>
      <w:r w:rsidRPr="007523B5">
        <w:rPr>
          <w:rFonts w:eastAsia="Calibri"/>
        </w:rPr>
        <w:t xml:space="preserve"> Operational Delivery Scorecard</w:t>
      </w:r>
    </w:p>
    <w:tbl>
      <w:tblPr>
        <w:tblpPr w:leftFromText="180" w:rightFromText="180" w:vertAnchor="text" w:horzAnchor="margin" w:tblpY="-1"/>
        <w:tblW w:w="5000" w:type="pct"/>
        <w:tblLook w:val="04A0" w:firstRow="1" w:lastRow="0" w:firstColumn="1" w:lastColumn="0" w:noHBand="0" w:noVBand="1"/>
      </w:tblPr>
      <w:tblGrid>
        <w:gridCol w:w="1368"/>
        <w:gridCol w:w="1368"/>
        <w:gridCol w:w="1602"/>
        <w:gridCol w:w="1370"/>
        <w:gridCol w:w="1540"/>
        <w:gridCol w:w="1768"/>
      </w:tblGrid>
      <w:tr w:rsidR="007210C6" w:rsidRPr="00736017" w14:paraId="652736C1" w14:textId="77777777" w:rsidTr="007210C6">
        <w:trPr>
          <w:trHeight w:val="290"/>
        </w:trPr>
        <w:tc>
          <w:tcPr>
            <w:tcW w:w="832" w:type="pct"/>
            <w:tcBorders>
              <w:top w:val="single" w:sz="4" w:space="0" w:color="auto"/>
              <w:left w:val="single" w:sz="4" w:space="0" w:color="auto"/>
              <w:bottom w:val="single" w:sz="4" w:space="0" w:color="auto"/>
              <w:right w:val="single" w:sz="4" w:space="0" w:color="auto"/>
            </w:tcBorders>
            <w:textDirection w:val="btLr"/>
            <w:vAlign w:val="bottom"/>
            <w:hideMark/>
          </w:tcPr>
          <w:p w14:paraId="5DC77E80"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single" w:sz="4" w:space="0" w:color="auto"/>
              <w:left w:val="nil"/>
              <w:bottom w:val="single" w:sz="4" w:space="0" w:color="auto"/>
              <w:right w:val="single" w:sz="4" w:space="0" w:color="auto"/>
            </w:tcBorders>
            <w:vAlign w:val="bottom"/>
            <w:hideMark/>
          </w:tcPr>
          <w:p w14:paraId="494CCC77"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1</w:t>
            </w:r>
          </w:p>
        </w:tc>
        <w:tc>
          <w:tcPr>
            <w:tcW w:w="832" w:type="pct"/>
            <w:tcBorders>
              <w:top w:val="single" w:sz="4" w:space="0" w:color="auto"/>
              <w:left w:val="nil"/>
              <w:bottom w:val="single" w:sz="4" w:space="0" w:color="auto"/>
              <w:right w:val="single" w:sz="4" w:space="0" w:color="auto"/>
            </w:tcBorders>
            <w:vAlign w:val="bottom"/>
            <w:hideMark/>
          </w:tcPr>
          <w:p w14:paraId="224CD483"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2</w:t>
            </w:r>
          </w:p>
        </w:tc>
        <w:tc>
          <w:tcPr>
            <w:tcW w:w="833" w:type="pct"/>
            <w:tcBorders>
              <w:top w:val="single" w:sz="4" w:space="0" w:color="auto"/>
              <w:left w:val="nil"/>
              <w:bottom w:val="single" w:sz="4" w:space="0" w:color="auto"/>
              <w:right w:val="single" w:sz="4" w:space="0" w:color="auto"/>
            </w:tcBorders>
            <w:vAlign w:val="bottom"/>
            <w:hideMark/>
          </w:tcPr>
          <w:p w14:paraId="788172EA"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3</w:t>
            </w:r>
          </w:p>
        </w:tc>
        <w:tc>
          <w:tcPr>
            <w:tcW w:w="833" w:type="pct"/>
            <w:tcBorders>
              <w:top w:val="single" w:sz="4" w:space="0" w:color="auto"/>
              <w:left w:val="nil"/>
              <w:bottom w:val="single" w:sz="4" w:space="0" w:color="auto"/>
              <w:right w:val="single" w:sz="4" w:space="0" w:color="auto"/>
            </w:tcBorders>
            <w:vAlign w:val="bottom"/>
            <w:hideMark/>
          </w:tcPr>
          <w:p w14:paraId="1922663C"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4</w:t>
            </w:r>
          </w:p>
        </w:tc>
        <w:tc>
          <w:tcPr>
            <w:tcW w:w="837" w:type="pct"/>
            <w:tcBorders>
              <w:top w:val="single" w:sz="4" w:space="0" w:color="auto"/>
              <w:left w:val="nil"/>
              <w:bottom w:val="single" w:sz="4" w:space="0" w:color="auto"/>
              <w:right w:val="single" w:sz="4" w:space="0" w:color="auto"/>
            </w:tcBorders>
            <w:vAlign w:val="bottom"/>
            <w:hideMark/>
          </w:tcPr>
          <w:p w14:paraId="57B8BC93" w14:textId="77777777" w:rsidR="007210C6" w:rsidRPr="00736017" w:rsidRDefault="007210C6" w:rsidP="007210C6">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5</w:t>
            </w:r>
          </w:p>
        </w:tc>
      </w:tr>
      <w:tr w:rsidR="007210C6" w:rsidRPr="00736017" w14:paraId="06E3CEBB" w14:textId="77777777" w:rsidTr="00FE7B22">
        <w:trPr>
          <w:trHeight w:val="600"/>
        </w:trPr>
        <w:tc>
          <w:tcPr>
            <w:tcW w:w="832" w:type="pct"/>
            <w:tcBorders>
              <w:top w:val="nil"/>
              <w:left w:val="single" w:sz="4" w:space="0" w:color="auto"/>
              <w:bottom w:val="single" w:sz="4" w:space="0" w:color="auto"/>
              <w:right w:val="single" w:sz="4" w:space="0" w:color="auto"/>
            </w:tcBorders>
            <w:vAlign w:val="bottom"/>
            <w:hideMark/>
          </w:tcPr>
          <w:p w14:paraId="2C6C84C6" w14:textId="2E4901F9" w:rsidR="007210C6" w:rsidRPr="00FE7B22" w:rsidRDefault="007210C6" w:rsidP="007210C6">
            <w:pPr>
              <w:spacing w:after="0" w:line="240" w:lineRule="auto"/>
              <w:rPr>
                <w:rFonts w:ascii="Calibri" w:eastAsia="Times New Roman" w:hAnsi="Calibri" w:cs="Calibri"/>
                <w:b/>
                <w:bCs/>
                <w:color w:val="000000"/>
                <w:szCs w:val="24"/>
                <w:lang w:eastAsia="en-GB"/>
              </w:rPr>
            </w:pPr>
          </w:p>
        </w:tc>
        <w:tc>
          <w:tcPr>
            <w:tcW w:w="832" w:type="pct"/>
            <w:tcBorders>
              <w:top w:val="nil"/>
              <w:left w:val="nil"/>
              <w:bottom w:val="single" w:sz="4" w:space="0" w:color="auto"/>
              <w:right w:val="nil"/>
            </w:tcBorders>
            <w:vAlign w:val="center"/>
            <w:hideMark/>
          </w:tcPr>
          <w:p w14:paraId="5A2E60AB" w14:textId="77777777" w:rsidR="007210C6" w:rsidRPr="0072424C" w:rsidRDefault="007210C6" w:rsidP="007210C6">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Drive nature positive change</w:t>
            </w:r>
          </w:p>
        </w:tc>
        <w:tc>
          <w:tcPr>
            <w:tcW w:w="832" w:type="pct"/>
            <w:tcBorders>
              <w:top w:val="nil"/>
              <w:left w:val="single" w:sz="4" w:space="0" w:color="auto"/>
              <w:bottom w:val="single" w:sz="4" w:space="0" w:color="auto"/>
              <w:right w:val="nil"/>
            </w:tcBorders>
            <w:vAlign w:val="center"/>
            <w:hideMark/>
          </w:tcPr>
          <w:p w14:paraId="403F5790" w14:textId="77777777" w:rsidR="007210C6" w:rsidRPr="0072424C" w:rsidRDefault="007210C6" w:rsidP="007210C6">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Achieve30x30 </w:t>
            </w:r>
          </w:p>
        </w:tc>
        <w:tc>
          <w:tcPr>
            <w:tcW w:w="833" w:type="pct"/>
            <w:tcBorders>
              <w:top w:val="nil"/>
              <w:left w:val="single" w:sz="4" w:space="0" w:color="auto"/>
              <w:bottom w:val="single" w:sz="4" w:space="0" w:color="auto"/>
              <w:right w:val="nil"/>
            </w:tcBorders>
            <w:vAlign w:val="center"/>
            <w:hideMark/>
          </w:tcPr>
          <w:p w14:paraId="590F082D" w14:textId="77777777" w:rsidR="007210C6" w:rsidRPr="0072424C" w:rsidRDefault="007210C6" w:rsidP="007210C6">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Increase P&amp;PS investment </w:t>
            </w:r>
          </w:p>
        </w:tc>
        <w:tc>
          <w:tcPr>
            <w:tcW w:w="833" w:type="pct"/>
            <w:tcBorders>
              <w:top w:val="nil"/>
              <w:left w:val="single" w:sz="4" w:space="0" w:color="auto"/>
              <w:bottom w:val="single" w:sz="4" w:space="0" w:color="auto"/>
              <w:right w:val="nil"/>
            </w:tcBorders>
            <w:vAlign w:val="center"/>
            <w:hideMark/>
          </w:tcPr>
          <w:p w14:paraId="30B99086" w14:textId="77777777" w:rsidR="007210C6" w:rsidRPr="0072424C" w:rsidRDefault="007210C6" w:rsidP="007210C6">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Land &amp; wildlife management</w:t>
            </w:r>
          </w:p>
        </w:tc>
        <w:tc>
          <w:tcPr>
            <w:tcW w:w="837" w:type="pct"/>
            <w:tcBorders>
              <w:top w:val="nil"/>
              <w:left w:val="single" w:sz="4" w:space="0" w:color="auto"/>
              <w:bottom w:val="single" w:sz="4" w:space="0" w:color="auto"/>
              <w:right w:val="single" w:sz="4" w:space="0" w:color="auto"/>
            </w:tcBorders>
            <w:vAlign w:val="center"/>
            <w:hideMark/>
          </w:tcPr>
          <w:p w14:paraId="59EA26EA" w14:textId="77777777" w:rsidR="007210C6" w:rsidRPr="0072424C" w:rsidRDefault="007210C6" w:rsidP="007210C6">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Transformation </w:t>
            </w:r>
          </w:p>
        </w:tc>
      </w:tr>
      <w:tr w:rsidR="0072424C" w:rsidRPr="00736017" w14:paraId="02AB6320" w14:textId="77777777" w:rsidTr="007210C6">
        <w:trPr>
          <w:trHeight w:val="290"/>
        </w:trPr>
        <w:tc>
          <w:tcPr>
            <w:tcW w:w="832" w:type="pct"/>
            <w:tcBorders>
              <w:top w:val="nil"/>
              <w:left w:val="single" w:sz="4" w:space="0" w:color="auto"/>
              <w:bottom w:val="single" w:sz="4" w:space="0" w:color="auto"/>
              <w:right w:val="nil"/>
            </w:tcBorders>
            <w:shd w:val="clear" w:color="000000" w:fill="DAF2D0"/>
            <w:vAlign w:val="center"/>
            <w:hideMark/>
          </w:tcPr>
          <w:p w14:paraId="6C7E88BD"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30x30</w:t>
            </w:r>
          </w:p>
        </w:tc>
        <w:tc>
          <w:tcPr>
            <w:tcW w:w="832" w:type="pct"/>
            <w:tcBorders>
              <w:top w:val="nil"/>
              <w:left w:val="single" w:sz="4" w:space="0" w:color="auto"/>
              <w:bottom w:val="nil"/>
              <w:right w:val="nil"/>
            </w:tcBorders>
            <w:shd w:val="clear" w:color="000000" w:fill="D0D0D0"/>
            <w:hideMark/>
          </w:tcPr>
          <w:p w14:paraId="4D50AC53" w14:textId="51664390"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c>
          <w:tcPr>
            <w:tcW w:w="832" w:type="pct"/>
            <w:tcBorders>
              <w:top w:val="nil"/>
              <w:left w:val="single" w:sz="4" w:space="0" w:color="auto"/>
              <w:bottom w:val="single" w:sz="4" w:space="0" w:color="auto"/>
              <w:right w:val="single" w:sz="4" w:space="0" w:color="auto"/>
            </w:tcBorders>
            <w:shd w:val="clear" w:color="000000" w:fill="DAF2D0"/>
            <w:hideMark/>
          </w:tcPr>
          <w:p w14:paraId="2AEFDB1F" w14:textId="013A5EB1"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7810DC">
              <w:rPr>
                <w:rFonts w:ascii="Aptos Narrow" w:eastAsia="Times New Roman" w:hAnsi="Aptos Narrow" w:cs="Times New Roman"/>
                <w:color w:val="000000"/>
                <w:sz w:val="16"/>
                <w:szCs w:val="16"/>
                <w:lang w:eastAsia="en-GB"/>
              </w:rPr>
              <w:t>Agreed principles of governance process for Nature30 sites with the PAC</w:t>
            </w:r>
          </w:p>
        </w:tc>
        <w:tc>
          <w:tcPr>
            <w:tcW w:w="833" w:type="pct"/>
            <w:tcBorders>
              <w:top w:val="nil"/>
              <w:left w:val="nil"/>
              <w:bottom w:val="nil"/>
            </w:tcBorders>
            <w:shd w:val="clear" w:color="000000" w:fill="D0D0D0"/>
            <w:hideMark/>
          </w:tcPr>
          <w:p w14:paraId="4EB60E7A" w14:textId="129D9A0B"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B52D3">
              <w:rPr>
                <w:rFonts w:ascii="Aptos Narrow" w:eastAsia="Times New Roman" w:hAnsi="Aptos Narrow" w:cs="Times New Roman"/>
                <w:color w:val="000000"/>
                <w:sz w:val="22"/>
                <w:lang w:eastAsia="en-GB"/>
              </w:rPr>
              <w:t>-</w:t>
            </w:r>
          </w:p>
        </w:tc>
        <w:tc>
          <w:tcPr>
            <w:tcW w:w="833" w:type="pct"/>
            <w:tcBorders>
              <w:top w:val="single" w:sz="4" w:space="0" w:color="auto"/>
              <w:bottom w:val="single" w:sz="4" w:space="0" w:color="auto"/>
              <w:right w:val="nil"/>
            </w:tcBorders>
            <w:shd w:val="clear" w:color="000000" w:fill="D0D0D0"/>
            <w:hideMark/>
          </w:tcPr>
          <w:p w14:paraId="39562C79" w14:textId="3C7D6A7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39F4E2BE" w14:textId="6EC438A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4DF97721" w14:textId="77777777" w:rsidTr="007210C6">
        <w:trPr>
          <w:trHeight w:val="520"/>
        </w:trPr>
        <w:tc>
          <w:tcPr>
            <w:tcW w:w="832" w:type="pct"/>
            <w:tcBorders>
              <w:top w:val="nil"/>
              <w:left w:val="single" w:sz="4" w:space="0" w:color="auto"/>
              <w:bottom w:val="single" w:sz="4" w:space="0" w:color="auto"/>
              <w:right w:val="nil"/>
            </w:tcBorders>
            <w:shd w:val="clear" w:color="000000" w:fill="DAF2D0"/>
            <w:vAlign w:val="center"/>
            <w:hideMark/>
          </w:tcPr>
          <w:p w14:paraId="04067CC6"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Manage deer </w:t>
            </w:r>
            <w:r w:rsidRPr="0072424C">
              <w:rPr>
                <w:rFonts w:ascii="Calibri" w:eastAsia="Times New Roman" w:hAnsi="Calibri" w:cs="Calibri"/>
                <w:b/>
                <w:bCs/>
                <w:color w:val="000000"/>
                <w:szCs w:val="24"/>
                <w:lang w:eastAsia="en-GB"/>
              </w:rPr>
              <w:br/>
              <w:t>&amp; wildlife</w:t>
            </w:r>
          </w:p>
        </w:tc>
        <w:tc>
          <w:tcPr>
            <w:tcW w:w="832" w:type="pct"/>
            <w:tcBorders>
              <w:top w:val="nil"/>
              <w:left w:val="single" w:sz="4" w:space="0" w:color="auto"/>
              <w:bottom w:val="nil"/>
              <w:right w:val="nil"/>
            </w:tcBorders>
            <w:shd w:val="clear" w:color="000000" w:fill="D0D0D0"/>
            <w:hideMark/>
          </w:tcPr>
          <w:p w14:paraId="07ED699D" w14:textId="0FB532A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E26ABF">
              <w:rPr>
                <w:rFonts w:ascii="Aptos Narrow" w:eastAsia="Times New Roman" w:hAnsi="Aptos Narrow" w:cs="Times New Roman"/>
                <w:color w:val="000000"/>
                <w:sz w:val="22"/>
                <w:lang w:eastAsia="en-GB"/>
              </w:rPr>
              <w:t>-</w:t>
            </w:r>
          </w:p>
        </w:tc>
        <w:tc>
          <w:tcPr>
            <w:tcW w:w="832" w:type="pct"/>
            <w:tcBorders>
              <w:top w:val="nil"/>
              <w:left w:val="nil"/>
              <w:bottom w:val="nil"/>
              <w:right w:val="nil"/>
            </w:tcBorders>
            <w:shd w:val="clear" w:color="000000" w:fill="D0D0D0"/>
            <w:hideMark/>
          </w:tcPr>
          <w:p w14:paraId="39F9608D" w14:textId="08246D5C"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2EF9D878" w14:textId="717F15A8"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B52D3">
              <w:rPr>
                <w:rFonts w:ascii="Aptos Narrow" w:eastAsia="Times New Roman" w:hAnsi="Aptos Narrow" w:cs="Times New Roman"/>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000000" w:fill="DAF2D0"/>
            <w:hideMark/>
          </w:tcPr>
          <w:p w14:paraId="41F23EF9" w14:textId="201C58AC"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A706D0">
              <w:rPr>
                <w:rFonts w:ascii="Aptos Narrow" w:eastAsia="Times New Roman" w:hAnsi="Aptos Narrow" w:cs="Times New Roman"/>
                <w:color w:val="000000"/>
                <w:sz w:val="16"/>
                <w:szCs w:val="16"/>
                <w:lang w:eastAsia="en-GB"/>
              </w:rPr>
              <w:t>SAOS larder fund oversubscribed with additional £150K provided by SG</w:t>
            </w:r>
          </w:p>
        </w:tc>
        <w:tc>
          <w:tcPr>
            <w:tcW w:w="837" w:type="pct"/>
            <w:tcBorders>
              <w:top w:val="nil"/>
              <w:left w:val="nil"/>
              <w:bottom w:val="nil"/>
              <w:right w:val="single" w:sz="4" w:space="0" w:color="auto"/>
            </w:tcBorders>
            <w:shd w:val="clear" w:color="000000" w:fill="D0D0D0"/>
            <w:hideMark/>
          </w:tcPr>
          <w:p w14:paraId="0566A5F6" w14:textId="2F96FE1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61F992DB" w14:textId="77777777" w:rsidTr="00A706D0">
        <w:trPr>
          <w:trHeight w:val="420"/>
        </w:trPr>
        <w:tc>
          <w:tcPr>
            <w:tcW w:w="832" w:type="pct"/>
            <w:tcBorders>
              <w:top w:val="nil"/>
              <w:left w:val="single" w:sz="4" w:space="0" w:color="auto"/>
              <w:bottom w:val="single" w:sz="4" w:space="0" w:color="auto"/>
              <w:right w:val="nil"/>
            </w:tcBorders>
            <w:shd w:val="clear" w:color="auto" w:fill="DAF2D0"/>
            <w:vAlign w:val="center"/>
            <w:hideMark/>
          </w:tcPr>
          <w:p w14:paraId="765BFFA2"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Planning &amp;reg.</w:t>
            </w:r>
          </w:p>
        </w:tc>
        <w:tc>
          <w:tcPr>
            <w:tcW w:w="832" w:type="pct"/>
            <w:tcBorders>
              <w:top w:val="nil"/>
              <w:left w:val="single" w:sz="4" w:space="0" w:color="auto"/>
              <w:bottom w:val="nil"/>
              <w:right w:val="nil"/>
            </w:tcBorders>
            <w:shd w:val="clear" w:color="000000" w:fill="D0D0D0"/>
            <w:hideMark/>
          </w:tcPr>
          <w:p w14:paraId="426AD11A" w14:textId="6D4B89F9"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E26ABF">
              <w:rPr>
                <w:rFonts w:ascii="Aptos Narrow" w:eastAsia="Times New Roman" w:hAnsi="Aptos Narrow" w:cs="Times New Roman"/>
                <w:color w:val="000000"/>
                <w:sz w:val="22"/>
                <w:lang w:eastAsia="en-GB"/>
              </w:rPr>
              <w:t>-</w:t>
            </w:r>
          </w:p>
        </w:tc>
        <w:tc>
          <w:tcPr>
            <w:tcW w:w="832" w:type="pct"/>
            <w:tcBorders>
              <w:top w:val="nil"/>
              <w:left w:val="nil"/>
              <w:bottom w:val="nil"/>
              <w:right w:val="nil"/>
            </w:tcBorders>
            <w:shd w:val="clear" w:color="000000" w:fill="D0D0D0"/>
            <w:hideMark/>
          </w:tcPr>
          <w:p w14:paraId="16E4B7FA" w14:textId="7BDEE607"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DAF2D0"/>
            <w:hideMark/>
          </w:tcPr>
          <w:p w14:paraId="5F72AA04" w14:textId="4370DF7F"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 xml:space="preserve">Engaged in </w:t>
            </w:r>
            <w:proofErr w:type="spellStart"/>
            <w:r>
              <w:rPr>
                <w:rFonts w:ascii="Aptos Narrow" w:eastAsia="Times New Roman" w:hAnsi="Aptos Narrow" w:cs="Times New Roman"/>
                <w:color w:val="000000"/>
                <w:sz w:val="16"/>
                <w:szCs w:val="16"/>
                <w:lang w:eastAsia="en-GB"/>
              </w:rPr>
              <w:t>PfG</w:t>
            </w:r>
            <w:proofErr w:type="spellEnd"/>
            <w:r>
              <w:rPr>
                <w:rFonts w:ascii="Aptos Narrow" w:eastAsia="Times New Roman" w:hAnsi="Aptos Narrow" w:cs="Times New Roman"/>
                <w:color w:val="000000"/>
                <w:sz w:val="16"/>
                <w:szCs w:val="16"/>
                <w:lang w:eastAsia="en-GB"/>
              </w:rPr>
              <w:t xml:space="preserve"> key agency planning</w:t>
            </w:r>
          </w:p>
        </w:tc>
        <w:tc>
          <w:tcPr>
            <w:tcW w:w="833" w:type="pct"/>
            <w:tcBorders>
              <w:top w:val="nil"/>
              <w:left w:val="nil"/>
              <w:bottom w:val="nil"/>
              <w:right w:val="nil"/>
            </w:tcBorders>
            <w:shd w:val="clear" w:color="000000" w:fill="D0D0D0"/>
            <w:hideMark/>
          </w:tcPr>
          <w:p w14:paraId="4CF13E22" w14:textId="56AADF8D"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C081E">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5DE980A8" w14:textId="2749705F"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74532264" w14:textId="77777777" w:rsidTr="007210C6">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3E83D5FE"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Marine trans.</w:t>
            </w:r>
          </w:p>
        </w:tc>
        <w:tc>
          <w:tcPr>
            <w:tcW w:w="832" w:type="pct"/>
            <w:tcBorders>
              <w:top w:val="single" w:sz="4" w:space="0" w:color="auto"/>
              <w:left w:val="single" w:sz="4" w:space="0" w:color="auto"/>
              <w:bottom w:val="single" w:sz="4" w:space="0" w:color="auto"/>
              <w:right w:val="single" w:sz="4" w:space="0" w:color="auto"/>
            </w:tcBorders>
            <w:shd w:val="clear" w:color="000000" w:fill="DAF2D0"/>
            <w:hideMark/>
          </w:tcPr>
          <w:p w14:paraId="62B54378" w14:textId="00EE05B2"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7810DC">
              <w:rPr>
                <w:rFonts w:ascii="Aptos Narrow" w:eastAsia="Times New Roman" w:hAnsi="Aptos Narrow" w:cs="Times New Roman"/>
                <w:color w:val="000000"/>
                <w:sz w:val="16"/>
                <w:szCs w:val="16"/>
                <w:lang w:eastAsia="en-GB"/>
              </w:rPr>
              <w:t>Finalising plans for cost recovery for Offshore wind advice</w:t>
            </w:r>
          </w:p>
        </w:tc>
        <w:tc>
          <w:tcPr>
            <w:tcW w:w="832" w:type="pct"/>
            <w:tcBorders>
              <w:top w:val="nil"/>
              <w:left w:val="nil"/>
              <w:bottom w:val="nil"/>
              <w:right w:val="nil"/>
            </w:tcBorders>
            <w:shd w:val="clear" w:color="000000" w:fill="D0D0D0"/>
            <w:hideMark/>
          </w:tcPr>
          <w:p w14:paraId="5EEA3666" w14:textId="715ADD71"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nil"/>
              <w:left w:val="single" w:sz="4" w:space="0" w:color="auto"/>
              <w:bottom w:val="single" w:sz="4" w:space="0" w:color="auto"/>
              <w:right w:val="single" w:sz="4" w:space="0" w:color="auto"/>
            </w:tcBorders>
            <w:shd w:val="clear" w:color="000000" w:fill="DAF2D0"/>
            <w:hideMark/>
          </w:tcPr>
          <w:p w14:paraId="5A35BECB" w14:textId="2C524DBF"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SG published Marine &amp; Coastal restoration plan</w:t>
            </w:r>
          </w:p>
        </w:tc>
        <w:tc>
          <w:tcPr>
            <w:tcW w:w="833" w:type="pct"/>
            <w:tcBorders>
              <w:top w:val="nil"/>
              <w:left w:val="nil"/>
              <w:bottom w:val="nil"/>
              <w:right w:val="nil"/>
            </w:tcBorders>
            <w:shd w:val="clear" w:color="000000" w:fill="D0D0D0"/>
            <w:hideMark/>
          </w:tcPr>
          <w:p w14:paraId="5AE5667C" w14:textId="173E88ED"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C081E">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2D997CBD" w14:textId="19B67A8F"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1C894E80" w14:textId="77777777" w:rsidTr="007210C6">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345B5E53"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Peatland</w:t>
            </w:r>
          </w:p>
        </w:tc>
        <w:tc>
          <w:tcPr>
            <w:tcW w:w="832" w:type="pct"/>
            <w:tcBorders>
              <w:top w:val="nil"/>
              <w:left w:val="single" w:sz="4" w:space="0" w:color="auto"/>
              <w:bottom w:val="single" w:sz="4" w:space="0" w:color="auto"/>
              <w:right w:val="single" w:sz="4" w:space="0" w:color="auto"/>
            </w:tcBorders>
            <w:shd w:val="clear" w:color="000000" w:fill="DAF2D0"/>
            <w:hideMark/>
          </w:tcPr>
          <w:p w14:paraId="303E63B4" w14:textId="457B543F"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£17m committed to 25/26 targets</w:t>
            </w:r>
          </w:p>
        </w:tc>
        <w:tc>
          <w:tcPr>
            <w:tcW w:w="832" w:type="pct"/>
            <w:tcBorders>
              <w:top w:val="nil"/>
              <w:left w:val="nil"/>
              <w:bottom w:val="nil"/>
              <w:right w:val="nil"/>
            </w:tcBorders>
            <w:shd w:val="clear" w:color="000000" w:fill="D0D0D0"/>
            <w:hideMark/>
          </w:tcPr>
          <w:p w14:paraId="6483CA27" w14:textId="5BBDAC4B"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2EEF2B3C" w14:textId="317E638D"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p>
        </w:tc>
        <w:tc>
          <w:tcPr>
            <w:tcW w:w="833" w:type="pct"/>
            <w:tcBorders>
              <w:top w:val="nil"/>
              <w:left w:val="nil"/>
              <w:bottom w:val="nil"/>
              <w:right w:val="nil"/>
            </w:tcBorders>
            <w:shd w:val="clear" w:color="000000" w:fill="D0D0D0"/>
            <w:hideMark/>
          </w:tcPr>
          <w:p w14:paraId="285A7A4F" w14:textId="05CD6207"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C081E">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3212F68D" w14:textId="7889CE32"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540E2D8F" w14:textId="77777777" w:rsidTr="007810DC">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5A953EB8"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Transform Ag.</w:t>
            </w:r>
          </w:p>
        </w:tc>
        <w:tc>
          <w:tcPr>
            <w:tcW w:w="832" w:type="pct"/>
            <w:tcBorders>
              <w:top w:val="nil"/>
              <w:left w:val="single" w:sz="4" w:space="0" w:color="auto"/>
              <w:bottom w:val="single" w:sz="4" w:space="0" w:color="auto"/>
              <w:right w:val="single" w:sz="4" w:space="0" w:color="auto"/>
            </w:tcBorders>
            <w:shd w:val="clear" w:color="auto" w:fill="DAF2D0"/>
            <w:hideMark/>
          </w:tcPr>
          <w:p w14:paraId="2A93F7DB" w14:textId="33DB2F90"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Ministerial approval for 2026 AECS</w:t>
            </w:r>
          </w:p>
        </w:tc>
        <w:tc>
          <w:tcPr>
            <w:tcW w:w="832" w:type="pct"/>
            <w:tcBorders>
              <w:top w:val="nil"/>
              <w:left w:val="nil"/>
              <w:bottom w:val="nil"/>
              <w:right w:val="nil"/>
            </w:tcBorders>
            <w:shd w:val="clear" w:color="000000" w:fill="D0D0D0"/>
            <w:hideMark/>
          </w:tcPr>
          <w:p w14:paraId="09984C54" w14:textId="69F1A6DC"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32B4D5BC" w14:textId="58BDDCEE"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p>
        </w:tc>
        <w:tc>
          <w:tcPr>
            <w:tcW w:w="833" w:type="pct"/>
            <w:tcBorders>
              <w:top w:val="nil"/>
              <w:left w:val="nil"/>
              <w:bottom w:val="nil"/>
              <w:right w:val="nil"/>
            </w:tcBorders>
            <w:shd w:val="clear" w:color="000000" w:fill="D0D0D0"/>
            <w:hideMark/>
          </w:tcPr>
          <w:p w14:paraId="5E784F02" w14:textId="46C0C82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C081E">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487BE508" w14:textId="0BC95718"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456F47AF" w14:textId="77777777" w:rsidTr="00A706D0">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3EF6B5FE"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Private sector inv.</w:t>
            </w:r>
          </w:p>
        </w:tc>
        <w:tc>
          <w:tcPr>
            <w:tcW w:w="832" w:type="pct"/>
            <w:tcBorders>
              <w:top w:val="nil"/>
              <w:left w:val="single" w:sz="4" w:space="0" w:color="auto"/>
              <w:bottom w:val="nil"/>
              <w:right w:val="nil"/>
            </w:tcBorders>
            <w:shd w:val="clear" w:color="000000" w:fill="D0D0D0"/>
            <w:hideMark/>
          </w:tcPr>
          <w:p w14:paraId="19B0B275" w14:textId="06D185F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c>
          <w:tcPr>
            <w:tcW w:w="832" w:type="pct"/>
            <w:tcBorders>
              <w:top w:val="nil"/>
              <w:left w:val="nil"/>
              <w:bottom w:val="nil"/>
              <w:right w:val="nil"/>
            </w:tcBorders>
            <w:shd w:val="clear" w:color="000000" w:fill="D0D0D0"/>
            <w:hideMark/>
          </w:tcPr>
          <w:p w14:paraId="2ABAFC89" w14:textId="3CCCF79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FFC000"/>
            <w:hideMark/>
          </w:tcPr>
          <w:p w14:paraId="6276D8ED" w14:textId="5A879670"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Prospectus developing to plan</w:t>
            </w:r>
          </w:p>
        </w:tc>
        <w:tc>
          <w:tcPr>
            <w:tcW w:w="833" w:type="pct"/>
            <w:tcBorders>
              <w:top w:val="nil"/>
              <w:left w:val="nil"/>
              <w:bottom w:val="nil"/>
              <w:right w:val="nil"/>
            </w:tcBorders>
            <w:shd w:val="clear" w:color="000000" w:fill="D0D0D0"/>
            <w:hideMark/>
          </w:tcPr>
          <w:p w14:paraId="046CEF0B" w14:textId="43F49E66"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C081E">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621B1E89" w14:textId="2AE0179B"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783CBE11" w14:textId="77777777" w:rsidTr="007210C6">
        <w:trPr>
          <w:trHeight w:val="290"/>
        </w:trPr>
        <w:tc>
          <w:tcPr>
            <w:tcW w:w="832" w:type="pct"/>
            <w:tcBorders>
              <w:top w:val="nil"/>
              <w:left w:val="single" w:sz="4" w:space="0" w:color="auto"/>
              <w:bottom w:val="single" w:sz="4" w:space="0" w:color="auto"/>
              <w:right w:val="nil"/>
            </w:tcBorders>
            <w:shd w:val="clear" w:color="000000" w:fill="DAF2D0"/>
            <w:vAlign w:val="center"/>
            <w:hideMark/>
          </w:tcPr>
          <w:p w14:paraId="591DDD37"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Natural capital</w:t>
            </w:r>
          </w:p>
        </w:tc>
        <w:tc>
          <w:tcPr>
            <w:tcW w:w="832" w:type="pct"/>
            <w:tcBorders>
              <w:top w:val="single" w:sz="4" w:space="0" w:color="auto"/>
              <w:left w:val="single" w:sz="4" w:space="0" w:color="auto"/>
              <w:bottom w:val="single" w:sz="4" w:space="0" w:color="auto"/>
              <w:right w:val="single" w:sz="4" w:space="0" w:color="auto"/>
            </w:tcBorders>
            <w:shd w:val="clear" w:color="000000" w:fill="DAF2D0"/>
            <w:hideMark/>
          </w:tcPr>
          <w:p w14:paraId="69BC5C3F" w14:textId="1ADEAD7A"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Research completed on food provision model in NCT tool</w:t>
            </w:r>
          </w:p>
        </w:tc>
        <w:tc>
          <w:tcPr>
            <w:tcW w:w="832" w:type="pct"/>
            <w:tcBorders>
              <w:top w:val="nil"/>
              <w:left w:val="nil"/>
              <w:bottom w:val="nil"/>
              <w:right w:val="nil"/>
            </w:tcBorders>
            <w:shd w:val="clear" w:color="000000" w:fill="D0D0D0"/>
            <w:hideMark/>
          </w:tcPr>
          <w:p w14:paraId="7A2BD1D9" w14:textId="090FB6D6"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7E1E606C" w14:textId="0AC6A2DD"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DD40FC">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6E661355" w14:textId="76CD8F00"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C081E">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5D0086B5" w14:textId="1210A4A6"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63C98">
              <w:rPr>
                <w:rFonts w:ascii="Aptos Narrow" w:eastAsia="Times New Roman" w:hAnsi="Aptos Narrow" w:cs="Times New Roman"/>
                <w:color w:val="000000"/>
                <w:sz w:val="22"/>
                <w:lang w:eastAsia="en-GB"/>
              </w:rPr>
              <w:t>-</w:t>
            </w:r>
          </w:p>
        </w:tc>
      </w:tr>
      <w:tr w:rsidR="0072424C" w:rsidRPr="00736017" w14:paraId="19CCFF9F" w14:textId="77777777" w:rsidTr="007210C6">
        <w:trPr>
          <w:trHeight w:val="290"/>
        </w:trPr>
        <w:tc>
          <w:tcPr>
            <w:tcW w:w="832" w:type="pct"/>
            <w:tcBorders>
              <w:top w:val="nil"/>
              <w:left w:val="single" w:sz="4" w:space="0" w:color="auto"/>
              <w:bottom w:val="single" w:sz="4" w:space="0" w:color="auto"/>
              <w:right w:val="nil"/>
            </w:tcBorders>
            <w:shd w:val="clear" w:color="000000" w:fill="DAF2D0"/>
            <w:vAlign w:val="center"/>
            <w:hideMark/>
          </w:tcPr>
          <w:p w14:paraId="4D549D18"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NWW</w:t>
            </w:r>
          </w:p>
        </w:tc>
        <w:tc>
          <w:tcPr>
            <w:tcW w:w="832" w:type="pct"/>
            <w:tcBorders>
              <w:top w:val="nil"/>
              <w:left w:val="single" w:sz="4" w:space="0" w:color="auto"/>
              <w:bottom w:val="single" w:sz="4" w:space="0" w:color="auto"/>
              <w:right w:val="nil"/>
            </w:tcBorders>
            <w:shd w:val="clear" w:color="000000" w:fill="D0D0D0"/>
            <w:hideMark/>
          </w:tcPr>
          <w:p w14:paraId="421B7291" w14:textId="335DE9BA"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c>
          <w:tcPr>
            <w:tcW w:w="832" w:type="pct"/>
            <w:tcBorders>
              <w:top w:val="nil"/>
              <w:left w:val="nil"/>
              <w:bottom w:val="single" w:sz="4" w:space="0" w:color="auto"/>
              <w:right w:val="nil"/>
            </w:tcBorders>
            <w:shd w:val="clear" w:color="000000" w:fill="D0D0D0"/>
            <w:hideMark/>
          </w:tcPr>
          <w:p w14:paraId="3206FE24" w14:textId="21B4DCB9"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533868">
              <w:rPr>
                <w:rFonts w:ascii="Aptos Narrow" w:eastAsia="Times New Roman" w:hAnsi="Aptos Narrow" w:cs="Times New Roman"/>
                <w:color w:val="000000"/>
                <w:sz w:val="22"/>
                <w:lang w:eastAsia="en-GB"/>
              </w:rPr>
              <w:t>-</w:t>
            </w:r>
          </w:p>
        </w:tc>
        <w:tc>
          <w:tcPr>
            <w:tcW w:w="833" w:type="pct"/>
            <w:tcBorders>
              <w:top w:val="nil"/>
              <w:left w:val="nil"/>
              <w:bottom w:val="single" w:sz="4" w:space="0" w:color="auto"/>
              <w:right w:val="nil"/>
            </w:tcBorders>
            <w:shd w:val="clear" w:color="000000" w:fill="D0D0D0"/>
            <w:hideMark/>
          </w:tcPr>
          <w:p w14:paraId="51508045" w14:textId="440A8AFE"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DD40FC">
              <w:rPr>
                <w:rFonts w:ascii="Aptos Narrow" w:eastAsia="Times New Roman" w:hAnsi="Aptos Narrow" w:cs="Times New Roman"/>
                <w:color w:val="000000"/>
                <w:sz w:val="22"/>
                <w:lang w:eastAsia="en-GB"/>
              </w:rPr>
              <w:t>-</w:t>
            </w:r>
          </w:p>
        </w:tc>
        <w:tc>
          <w:tcPr>
            <w:tcW w:w="833" w:type="pct"/>
            <w:tcBorders>
              <w:top w:val="nil"/>
              <w:left w:val="nil"/>
              <w:bottom w:val="single" w:sz="4" w:space="0" w:color="auto"/>
              <w:right w:val="nil"/>
            </w:tcBorders>
            <w:shd w:val="clear" w:color="000000" w:fill="D0D0D0"/>
            <w:hideMark/>
          </w:tcPr>
          <w:p w14:paraId="1855C510" w14:textId="1478C9AA"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8C081E">
              <w:rPr>
                <w:rFonts w:ascii="Aptos Narrow" w:eastAsia="Times New Roman" w:hAnsi="Aptos Narrow" w:cs="Times New Roman"/>
                <w:color w:val="000000"/>
                <w:sz w:val="22"/>
                <w:lang w:eastAsia="en-GB"/>
              </w:rPr>
              <w:t>-</w:t>
            </w:r>
          </w:p>
        </w:tc>
        <w:tc>
          <w:tcPr>
            <w:tcW w:w="837" w:type="pct"/>
            <w:tcBorders>
              <w:top w:val="single" w:sz="4" w:space="0" w:color="auto"/>
              <w:left w:val="single" w:sz="4" w:space="0" w:color="auto"/>
              <w:bottom w:val="single" w:sz="4" w:space="0" w:color="auto"/>
              <w:right w:val="single" w:sz="4" w:space="0" w:color="auto"/>
            </w:tcBorders>
            <w:shd w:val="clear" w:color="000000" w:fill="DAF2D0"/>
            <w:hideMark/>
          </w:tcPr>
          <w:p w14:paraId="2D75C32A" w14:textId="70F83C83"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color w:val="000000"/>
                <w:sz w:val="16"/>
                <w:szCs w:val="16"/>
                <w:lang w:eastAsia="en-GB"/>
              </w:rPr>
              <w:t>CP achieved ministerial sign off</w:t>
            </w:r>
          </w:p>
        </w:tc>
      </w:tr>
    </w:tbl>
    <w:p w14:paraId="497255B4" w14:textId="34455686" w:rsidR="00BF36BC" w:rsidRPr="0072424C" w:rsidRDefault="00BF36BC" w:rsidP="00BF36BC">
      <w:pPr>
        <w:rPr>
          <w:sz w:val="22"/>
        </w:rPr>
      </w:pPr>
      <w:r w:rsidRPr="0072424C">
        <w:rPr>
          <w:sz w:val="22"/>
        </w:rPr>
        <w:t xml:space="preserve">(The table gives a </w:t>
      </w:r>
      <w:proofErr w:type="gramStart"/>
      <w:r w:rsidRPr="0072424C">
        <w:rPr>
          <w:sz w:val="22"/>
        </w:rPr>
        <w:t>rating  of</w:t>
      </w:r>
      <w:proofErr w:type="gramEnd"/>
      <w:r w:rsidRPr="0072424C">
        <w:rPr>
          <w:sz w:val="22"/>
        </w:rPr>
        <w:t xml:space="preserve"> our achievement in delivering our Q3 objectives. All objectives are green except Private Sector Investment which is amber)</w:t>
      </w:r>
    </w:p>
    <w:p w14:paraId="013A5A79" w14:textId="77777777" w:rsidR="00785F52" w:rsidRDefault="00785F52" w:rsidP="00122FA0">
      <w:pPr>
        <w:rPr>
          <w:rFonts w:ascii="Calibri" w:eastAsia="Calibri" w:hAnsi="Calibri" w:cs="Calibri"/>
          <w:szCs w:val="24"/>
        </w:rPr>
      </w:pPr>
    </w:p>
    <w:p w14:paraId="6C4EB875" w14:textId="004F4DCE" w:rsidR="000D7515" w:rsidRDefault="00A13239" w:rsidP="000D7515">
      <w:pPr>
        <w:pStyle w:val="ListParagraph"/>
        <w:numPr>
          <w:ilvl w:val="0"/>
          <w:numId w:val="1"/>
        </w:numPr>
        <w:ind w:left="357" w:hanging="357"/>
        <w:rPr>
          <w:rFonts w:ascii="Calibri" w:eastAsia="Calibri" w:hAnsi="Calibri" w:cs="Calibri"/>
          <w:sz w:val="22"/>
        </w:rPr>
      </w:pPr>
      <w:r w:rsidRPr="000D7515">
        <w:rPr>
          <w:rFonts w:ascii="Calibri" w:eastAsia="Calibri" w:hAnsi="Calibri" w:cs="Calibri"/>
          <w:sz w:val="22"/>
        </w:rPr>
        <w:t>SLT ha</w:t>
      </w:r>
      <w:r w:rsidR="00EF03B0" w:rsidRPr="000D7515">
        <w:rPr>
          <w:rFonts w:ascii="Calibri" w:eastAsia="Calibri" w:hAnsi="Calibri" w:cs="Calibri"/>
          <w:sz w:val="22"/>
        </w:rPr>
        <w:t xml:space="preserve">ve </w:t>
      </w:r>
      <w:r w:rsidR="00387B1D" w:rsidRPr="000D7515">
        <w:rPr>
          <w:rFonts w:ascii="Calibri" w:eastAsia="Calibri" w:hAnsi="Calibri" w:cs="Calibri"/>
          <w:sz w:val="22"/>
        </w:rPr>
        <w:t>reviewed</w:t>
      </w:r>
      <w:r w:rsidR="00EF03B0" w:rsidRPr="000D7515">
        <w:rPr>
          <w:rFonts w:ascii="Calibri" w:eastAsia="Calibri" w:hAnsi="Calibri" w:cs="Calibri"/>
          <w:sz w:val="22"/>
        </w:rPr>
        <w:t xml:space="preserve"> the operational delivery scorecard and assessed </w:t>
      </w:r>
      <w:r w:rsidR="00387B1D" w:rsidRPr="000D7515">
        <w:rPr>
          <w:rFonts w:ascii="Calibri" w:eastAsia="Calibri" w:hAnsi="Calibri" w:cs="Calibri"/>
          <w:sz w:val="22"/>
        </w:rPr>
        <w:t xml:space="preserve">the risk of achievement of these objectives over the longer term. </w:t>
      </w:r>
      <w:r w:rsidR="00065BA3">
        <w:rPr>
          <w:rFonts w:ascii="Calibri" w:eastAsia="Calibri" w:hAnsi="Calibri" w:cs="Calibri"/>
          <w:sz w:val="22"/>
        </w:rPr>
        <w:t>Figure 5 aims to</w:t>
      </w:r>
      <w:r w:rsidR="00387B1D" w:rsidRPr="000D7515">
        <w:rPr>
          <w:rFonts w:ascii="Calibri" w:eastAsia="Calibri" w:hAnsi="Calibri" w:cs="Calibri"/>
          <w:sz w:val="22"/>
        </w:rPr>
        <w:t xml:space="preserve"> provide an indication to the </w:t>
      </w:r>
      <w:r w:rsidR="000D7515" w:rsidRPr="000D7515">
        <w:rPr>
          <w:rFonts w:ascii="Calibri" w:eastAsia="Calibri" w:hAnsi="Calibri" w:cs="Calibri"/>
          <w:sz w:val="22"/>
        </w:rPr>
        <w:t>Board</w:t>
      </w:r>
      <w:r w:rsidR="00387B1D" w:rsidRPr="000D7515">
        <w:rPr>
          <w:rFonts w:ascii="Calibri" w:eastAsia="Calibri" w:hAnsi="Calibri" w:cs="Calibri"/>
          <w:sz w:val="22"/>
        </w:rPr>
        <w:t xml:space="preserve"> about </w:t>
      </w:r>
      <w:r w:rsidR="008E4BAF" w:rsidRPr="000D7515">
        <w:rPr>
          <w:rFonts w:ascii="Calibri" w:eastAsia="Calibri" w:hAnsi="Calibri" w:cs="Calibri"/>
          <w:sz w:val="22"/>
        </w:rPr>
        <w:t xml:space="preserve">SLT’s sense of </w:t>
      </w:r>
      <w:r w:rsidR="00065BA3">
        <w:rPr>
          <w:rFonts w:ascii="Calibri" w:eastAsia="Calibri" w:hAnsi="Calibri" w:cs="Calibri"/>
          <w:sz w:val="22"/>
        </w:rPr>
        <w:t>where the risks are to future delivery across our objectives</w:t>
      </w:r>
      <w:r w:rsidR="00512406">
        <w:rPr>
          <w:rFonts w:ascii="Calibri" w:eastAsia="Calibri" w:hAnsi="Calibri" w:cs="Calibri"/>
          <w:sz w:val="22"/>
        </w:rPr>
        <w:t>.</w:t>
      </w:r>
    </w:p>
    <w:p w14:paraId="254C46E1" w14:textId="1B8BE80B" w:rsidR="000D7515" w:rsidRPr="000D7515" w:rsidRDefault="000D7515" w:rsidP="000D7515">
      <w:pPr>
        <w:pStyle w:val="Heading2"/>
        <w:rPr>
          <w:rFonts w:eastAsia="Calibri"/>
        </w:rPr>
      </w:pPr>
      <w:r w:rsidRPr="000D7515">
        <w:rPr>
          <w:rFonts w:eastAsia="Calibri"/>
        </w:rPr>
        <w:lastRenderedPageBreak/>
        <w:t xml:space="preserve">Figure 5 </w:t>
      </w:r>
      <w:r w:rsidR="00065BA3">
        <w:rPr>
          <w:rFonts w:eastAsia="Calibri"/>
        </w:rPr>
        <w:t xml:space="preserve">Longer Term </w:t>
      </w:r>
      <w:r w:rsidRPr="000D7515">
        <w:rPr>
          <w:rFonts w:eastAsia="Calibri"/>
        </w:rPr>
        <w:t>Delivery Assessment</w:t>
      </w:r>
    </w:p>
    <w:p w14:paraId="15B2ABD7" w14:textId="7A47E1AD" w:rsidR="00A13239" w:rsidRPr="000D7515" w:rsidRDefault="00A13239" w:rsidP="000D7515">
      <w:pPr>
        <w:rPr>
          <w:rFonts w:ascii="Calibri" w:eastAsia="Calibri" w:hAnsi="Calibri" w:cs="Calibri"/>
          <w:sz w:val="22"/>
        </w:rPr>
      </w:pPr>
    </w:p>
    <w:tbl>
      <w:tblPr>
        <w:tblpPr w:leftFromText="180" w:rightFromText="180" w:vertAnchor="text" w:horzAnchor="margin" w:tblpY="-1"/>
        <w:tblW w:w="5000" w:type="pct"/>
        <w:tblLook w:val="04A0" w:firstRow="1" w:lastRow="0" w:firstColumn="1" w:lastColumn="0" w:noHBand="0" w:noVBand="1"/>
      </w:tblPr>
      <w:tblGrid>
        <w:gridCol w:w="1426"/>
        <w:gridCol w:w="1426"/>
        <w:gridCol w:w="1427"/>
        <w:gridCol w:w="1429"/>
        <w:gridCol w:w="1540"/>
        <w:gridCol w:w="1768"/>
      </w:tblGrid>
      <w:tr w:rsidR="00A9365B" w:rsidRPr="00736017" w14:paraId="33763007" w14:textId="77777777" w:rsidTr="00472958">
        <w:trPr>
          <w:trHeight w:val="290"/>
        </w:trPr>
        <w:tc>
          <w:tcPr>
            <w:tcW w:w="832" w:type="pct"/>
            <w:tcBorders>
              <w:top w:val="single" w:sz="4" w:space="0" w:color="auto"/>
              <w:left w:val="single" w:sz="4" w:space="0" w:color="auto"/>
              <w:bottom w:val="single" w:sz="4" w:space="0" w:color="auto"/>
              <w:right w:val="single" w:sz="4" w:space="0" w:color="auto"/>
            </w:tcBorders>
            <w:textDirection w:val="btLr"/>
            <w:vAlign w:val="bottom"/>
            <w:hideMark/>
          </w:tcPr>
          <w:p w14:paraId="01A2FD98" w14:textId="77777777" w:rsidR="00A9365B" w:rsidRPr="00736017" w:rsidRDefault="00A9365B" w:rsidP="00472958">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 </w:t>
            </w:r>
          </w:p>
        </w:tc>
        <w:tc>
          <w:tcPr>
            <w:tcW w:w="832" w:type="pct"/>
            <w:tcBorders>
              <w:top w:val="single" w:sz="4" w:space="0" w:color="auto"/>
              <w:left w:val="nil"/>
              <w:bottom w:val="single" w:sz="4" w:space="0" w:color="auto"/>
              <w:right w:val="single" w:sz="4" w:space="0" w:color="auto"/>
            </w:tcBorders>
            <w:vAlign w:val="bottom"/>
            <w:hideMark/>
          </w:tcPr>
          <w:p w14:paraId="64E77467" w14:textId="77777777" w:rsidR="00A9365B" w:rsidRPr="00736017" w:rsidRDefault="00A9365B" w:rsidP="00472958">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1</w:t>
            </w:r>
          </w:p>
        </w:tc>
        <w:tc>
          <w:tcPr>
            <w:tcW w:w="832" w:type="pct"/>
            <w:tcBorders>
              <w:top w:val="single" w:sz="4" w:space="0" w:color="auto"/>
              <w:left w:val="nil"/>
              <w:bottom w:val="single" w:sz="4" w:space="0" w:color="auto"/>
              <w:right w:val="single" w:sz="4" w:space="0" w:color="auto"/>
            </w:tcBorders>
            <w:vAlign w:val="bottom"/>
            <w:hideMark/>
          </w:tcPr>
          <w:p w14:paraId="1E697880" w14:textId="77777777" w:rsidR="00A9365B" w:rsidRPr="00736017" w:rsidRDefault="00A9365B" w:rsidP="00472958">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2</w:t>
            </w:r>
          </w:p>
        </w:tc>
        <w:tc>
          <w:tcPr>
            <w:tcW w:w="833" w:type="pct"/>
            <w:tcBorders>
              <w:top w:val="single" w:sz="4" w:space="0" w:color="auto"/>
              <w:left w:val="nil"/>
              <w:bottom w:val="single" w:sz="4" w:space="0" w:color="auto"/>
              <w:right w:val="single" w:sz="4" w:space="0" w:color="auto"/>
            </w:tcBorders>
            <w:vAlign w:val="bottom"/>
            <w:hideMark/>
          </w:tcPr>
          <w:p w14:paraId="4F4086B7" w14:textId="77777777" w:rsidR="00A9365B" w:rsidRPr="00736017" w:rsidRDefault="00A9365B" w:rsidP="00472958">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3</w:t>
            </w:r>
          </w:p>
        </w:tc>
        <w:tc>
          <w:tcPr>
            <w:tcW w:w="833" w:type="pct"/>
            <w:tcBorders>
              <w:top w:val="single" w:sz="4" w:space="0" w:color="auto"/>
              <w:left w:val="nil"/>
              <w:bottom w:val="single" w:sz="4" w:space="0" w:color="auto"/>
              <w:right w:val="single" w:sz="4" w:space="0" w:color="auto"/>
            </w:tcBorders>
            <w:vAlign w:val="bottom"/>
            <w:hideMark/>
          </w:tcPr>
          <w:p w14:paraId="797CE781" w14:textId="77777777" w:rsidR="00A9365B" w:rsidRPr="00736017" w:rsidRDefault="00A9365B" w:rsidP="00472958">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4</w:t>
            </w:r>
          </w:p>
        </w:tc>
        <w:tc>
          <w:tcPr>
            <w:tcW w:w="837" w:type="pct"/>
            <w:tcBorders>
              <w:top w:val="single" w:sz="4" w:space="0" w:color="auto"/>
              <w:left w:val="nil"/>
              <w:bottom w:val="single" w:sz="4" w:space="0" w:color="auto"/>
              <w:right w:val="single" w:sz="4" w:space="0" w:color="auto"/>
            </w:tcBorders>
            <w:vAlign w:val="bottom"/>
            <w:hideMark/>
          </w:tcPr>
          <w:p w14:paraId="47CA3593" w14:textId="77777777" w:rsidR="00A9365B" w:rsidRPr="00736017" w:rsidRDefault="00A9365B" w:rsidP="00472958">
            <w:pPr>
              <w:spacing w:after="0" w:line="240" w:lineRule="auto"/>
              <w:rPr>
                <w:rFonts w:ascii="Aptos Narrow" w:eastAsia="Times New Roman" w:hAnsi="Aptos Narrow" w:cs="Times New Roman"/>
                <w:color w:val="000000"/>
                <w:sz w:val="22"/>
                <w:lang w:eastAsia="en-GB"/>
              </w:rPr>
            </w:pPr>
            <w:r w:rsidRPr="00736017">
              <w:rPr>
                <w:rFonts w:ascii="Aptos Narrow" w:eastAsia="Times New Roman" w:hAnsi="Aptos Narrow" w:cs="Times New Roman"/>
                <w:color w:val="000000"/>
                <w:sz w:val="22"/>
                <w:lang w:eastAsia="en-GB"/>
              </w:rPr>
              <w:t>5</w:t>
            </w:r>
          </w:p>
        </w:tc>
      </w:tr>
      <w:tr w:rsidR="00A9365B" w:rsidRPr="00736017" w14:paraId="07766859" w14:textId="77777777" w:rsidTr="00472958">
        <w:trPr>
          <w:trHeight w:val="600"/>
        </w:trPr>
        <w:tc>
          <w:tcPr>
            <w:tcW w:w="832" w:type="pct"/>
            <w:tcBorders>
              <w:top w:val="nil"/>
              <w:left w:val="single" w:sz="4" w:space="0" w:color="auto"/>
              <w:bottom w:val="single" w:sz="4" w:space="0" w:color="auto"/>
              <w:right w:val="single" w:sz="4" w:space="0" w:color="auto"/>
            </w:tcBorders>
            <w:vAlign w:val="bottom"/>
            <w:hideMark/>
          </w:tcPr>
          <w:p w14:paraId="581D5E66" w14:textId="77777777" w:rsidR="00A9365B" w:rsidRPr="00FE7B22" w:rsidRDefault="00A9365B" w:rsidP="00472958">
            <w:pPr>
              <w:spacing w:after="0" w:line="240" w:lineRule="auto"/>
              <w:rPr>
                <w:rFonts w:ascii="Calibri" w:eastAsia="Times New Roman" w:hAnsi="Calibri" w:cs="Calibri"/>
                <w:b/>
                <w:bCs/>
                <w:color w:val="000000"/>
                <w:szCs w:val="24"/>
                <w:lang w:eastAsia="en-GB"/>
              </w:rPr>
            </w:pPr>
          </w:p>
        </w:tc>
        <w:tc>
          <w:tcPr>
            <w:tcW w:w="832" w:type="pct"/>
            <w:tcBorders>
              <w:top w:val="nil"/>
              <w:left w:val="nil"/>
              <w:bottom w:val="single" w:sz="4" w:space="0" w:color="auto"/>
              <w:right w:val="nil"/>
            </w:tcBorders>
            <w:vAlign w:val="center"/>
            <w:hideMark/>
          </w:tcPr>
          <w:p w14:paraId="79BB516F" w14:textId="77777777" w:rsidR="00A9365B" w:rsidRPr="0072424C" w:rsidRDefault="00A9365B" w:rsidP="00472958">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Drive nature positive change</w:t>
            </w:r>
          </w:p>
        </w:tc>
        <w:tc>
          <w:tcPr>
            <w:tcW w:w="832" w:type="pct"/>
            <w:tcBorders>
              <w:top w:val="nil"/>
              <w:left w:val="single" w:sz="4" w:space="0" w:color="auto"/>
              <w:bottom w:val="single" w:sz="4" w:space="0" w:color="auto"/>
              <w:right w:val="nil"/>
            </w:tcBorders>
            <w:vAlign w:val="center"/>
            <w:hideMark/>
          </w:tcPr>
          <w:p w14:paraId="636BA003" w14:textId="77777777" w:rsidR="0072424C" w:rsidRDefault="00A9365B" w:rsidP="00472958">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Achieve</w:t>
            </w:r>
          </w:p>
          <w:p w14:paraId="222FFC1F" w14:textId="7A81DF97" w:rsidR="00A9365B" w:rsidRPr="0072424C" w:rsidRDefault="00A9365B" w:rsidP="00472958">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30x30 </w:t>
            </w:r>
          </w:p>
        </w:tc>
        <w:tc>
          <w:tcPr>
            <w:tcW w:w="833" w:type="pct"/>
            <w:tcBorders>
              <w:top w:val="nil"/>
              <w:left w:val="single" w:sz="4" w:space="0" w:color="auto"/>
              <w:bottom w:val="single" w:sz="4" w:space="0" w:color="auto"/>
              <w:right w:val="nil"/>
            </w:tcBorders>
            <w:vAlign w:val="center"/>
            <w:hideMark/>
          </w:tcPr>
          <w:p w14:paraId="25E80136" w14:textId="77777777" w:rsidR="00A9365B" w:rsidRPr="0072424C" w:rsidRDefault="00A9365B" w:rsidP="00472958">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Increase P&amp;PS investment </w:t>
            </w:r>
          </w:p>
        </w:tc>
        <w:tc>
          <w:tcPr>
            <w:tcW w:w="833" w:type="pct"/>
            <w:tcBorders>
              <w:top w:val="nil"/>
              <w:left w:val="single" w:sz="4" w:space="0" w:color="auto"/>
              <w:bottom w:val="single" w:sz="4" w:space="0" w:color="auto"/>
              <w:right w:val="nil"/>
            </w:tcBorders>
            <w:vAlign w:val="center"/>
            <w:hideMark/>
          </w:tcPr>
          <w:p w14:paraId="50834730" w14:textId="77777777" w:rsidR="00A9365B" w:rsidRPr="0072424C" w:rsidRDefault="00A9365B" w:rsidP="00472958">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Land &amp; wildlife management</w:t>
            </w:r>
          </w:p>
        </w:tc>
        <w:tc>
          <w:tcPr>
            <w:tcW w:w="837" w:type="pct"/>
            <w:tcBorders>
              <w:top w:val="nil"/>
              <w:left w:val="single" w:sz="4" w:space="0" w:color="auto"/>
              <w:bottom w:val="single" w:sz="4" w:space="0" w:color="auto"/>
              <w:right w:val="single" w:sz="4" w:space="0" w:color="auto"/>
            </w:tcBorders>
            <w:vAlign w:val="center"/>
            <w:hideMark/>
          </w:tcPr>
          <w:p w14:paraId="574EDCB8" w14:textId="77777777" w:rsidR="00A9365B" w:rsidRPr="0072424C" w:rsidRDefault="00A9365B" w:rsidP="00472958">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Transformation </w:t>
            </w:r>
          </w:p>
        </w:tc>
      </w:tr>
      <w:tr w:rsidR="0072424C" w:rsidRPr="00736017" w14:paraId="224FA1B1" w14:textId="77777777" w:rsidTr="0010312D">
        <w:trPr>
          <w:trHeight w:val="290"/>
        </w:trPr>
        <w:tc>
          <w:tcPr>
            <w:tcW w:w="832" w:type="pct"/>
            <w:tcBorders>
              <w:top w:val="nil"/>
              <w:left w:val="single" w:sz="4" w:space="0" w:color="auto"/>
              <w:bottom w:val="single" w:sz="4" w:space="0" w:color="auto"/>
              <w:right w:val="nil"/>
            </w:tcBorders>
            <w:shd w:val="clear" w:color="auto" w:fill="FF0000"/>
            <w:vAlign w:val="center"/>
            <w:hideMark/>
          </w:tcPr>
          <w:p w14:paraId="648DC837"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30x30</w:t>
            </w:r>
          </w:p>
        </w:tc>
        <w:tc>
          <w:tcPr>
            <w:tcW w:w="832" w:type="pct"/>
            <w:tcBorders>
              <w:top w:val="nil"/>
              <w:left w:val="single" w:sz="4" w:space="0" w:color="auto"/>
              <w:bottom w:val="nil"/>
              <w:right w:val="nil"/>
            </w:tcBorders>
            <w:shd w:val="clear" w:color="000000" w:fill="D0D0D0"/>
            <w:hideMark/>
          </w:tcPr>
          <w:p w14:paraId="2E46D46D" w14:textId="55FD59F5"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90399F">
              <w:rPr>
                <w:rFonts w:ascii="Aptos Narrow" w:eastAsia="Times New Roman" w:hAnsi="Aptos Narrow" w:cs="Times New Roman"/>
                <w:color w:val="000000"/>
                <w:sz w:val="22"/>
                <w:lang w:eastAsia="en-GB"/>
              </w:rPr>
              <w:t>-</w:t>
            </w:r>
          </w:p>
        </w:tc>
        <w:tc>
          <w:tcPr>
            <w:tcW w:w="832" w:type="pct"/>
            <w:tcBorders>
              <w:top w:val="nil"/>
              <w:left w:val="single" w:sz="4" w:space="0" w:color="auto"/>
              <w:bottom w:val="single" w:sz="4" w:space="0" w:color="auto"/>
              <w:right w:val="single" w:sz="4" w:space="0" w:color="auto"/>
            </w:tcBorders>
            <w:shd w:val="clear" w:color="auto" w:fill="FF0000"/>
            <w:hideMark/>
          </w:tcPr>
          <w:p w14:paraId="6E502965" w14:textId="5342F95B" w:rsidR="0072424C" w:rsidRPr="00BF36BC" w:rsidRDefault="0072424C" w:rsidP="0072424C">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RED</w:t>
            </w:r>
          </w:p>
        </w:tc>
        <w:tc>
          <w:tcPr>
            <w:tcW w:w="833" w:type="pct"/>
            <w:tcBorders>
              <w:top w:val="nil"/>
              <w:left w:val="nil"/>
              <w:bottom w:val="nil"/>
            </w:tcBorders>
            <w:shd w:val="clear" w:color="000000" w:fill="D0D0D0"/>
            <w:hideMark/>
          </w:tcPr>
          <w:p w14:paraId="1450F2B1" w14:textId="63727A12"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E07AE">
              <w:rPr>
                <w:rFonts w:ascii="Aptos Narrow" w:eastAsia="Times New Roman" w:hAnsi="Aptos Narrow" w:cs="Times New Roman"/>
                <w:color w:val="000000"/>
                <w:sz w:val="22"/>
                <w:lang w:eastAsia="en-GB"/>
              </w:rPr>
              <w:t>-</w:t>
            </w:r>
          </w:p>
        </w:tc>
        <w:tc>
          <w:tcPr>
            <w:tcW w:w="833" w:type="pct"/>
            <w:tcBorders>
              <w:top w:val="single" w:sz="4" w:space="0" w:color="auto"/>
              <w:bottom w:val="single" w:sz="4" w:space="0" w:color="auto"/>
              <w:right w:val="nil"/>
            </w:tcBorders>
            <w:shd w:val="clear" w:color="000000" w:fill="D0D0D0"/>
            <w:hideMark/>
          </w:tcPr>
          <w:p w14:paraId="007B3277" w14:textId="32E66C2E"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114BC19F" w14:textId="4031DE10"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A1261D">
              <w:rPr>
                <w:rFonts w:ascii="Aptos Narrow" w:eastAsia="Times New Roman" w:hAnsi="Aptos Narrow" w:cs="Times New Roman"/>
                <w:color w:val="000000"/>
                <w:sz w:val="22"/>
                <w:lang w:eastAsia="en-GB"/>
              </w:rPr>
              <w:t>-</w:t>
            </w:r>
          </w:p>
        </w:tc>
      </w:tr>
      <w:tr w:rsidR="0072424C" w:rsidRPr="00736017" w14:paraId="79D4256A" w14:textId="77777777" w:rsidTr="0010312D">
        <w:trPr>
          <w:trHeight w:val="520"/>
        </w:trPr>
        <w:tc>
          <w:tcPr>
            <w:tcW w:w="832" w:type="pct"/>
            <w:tcBorders>
              <w:top w:val="nil"/>
              <w:left w:val="single" w:sz="4" w:space="0" w:color="auto"/>
              <w:bottom w:val="single" w:sz="4" w:space="0" w:color="auto"/>
              <w:right w:val="nil"/>
            </w:tcBorders>
            <w:shd w:val="clear" w:color="auto" w:fill="FF0000"/>
            <w:vAlign w:val="center"/>
            <w:hideMark/>
          </w:tcPr>
          <w:p w14:paraId="63FAD9BB"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 xml:space="preserve">Manage deer </w:t>
            </w:r>
            <w:r w:rsidRPr="0072424C">
              <w:rPr>
                <w:rFonts w:ascii="Calibri" w:eastAsia="Times New Roman" w:hAnsi="Calibri" w:cs="Calibri"/>
                <w:b/>
                <w:bCs/>
                <w:color w:val="000000"/>
                <w:szCs w:val="24"/>
                <w:lang w:eastAsia="en-GB"/>
              </w:rPr>
              <w:br/>
              <w:t>&amp; wildlife</w:t>
            </w:r>
          </w:p>
        </w:tc>
        <w:tc>
          <w:tcPr>
            <w:tcW w:w="832" w:type="pct"/>
            <w:tcBorders>
              <w:top w:val="nil"/>
              <w:left w:val="single" w:sz="4" w:space="0" w:color="auto"/>
              <w:bottom w:val="nil"/>
              <w:right w:val="nil"/>
            </w:tcBorders>
            <w:shd w:val="clear" w:color="000000" w:fill="D0D0D0"/>
            <w:hideMark/>
          </w:tcPr>
          <w:p w14:paraId="297FB5A3" w14:textId="4D98BC5B"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90399F">
              <w:rPr>
                <w:rFonts w:ascii="Aptos Narrow" w:eastAsia="Times New Roman" w:hAnsi="Aptos Narrow" w:cs="Times New Roman"/>
                <w:color w:val="000000"/>
                <w:sz w:val="22"/>
                <w:lang w:eastAsia="en-GB"/>
              </w:rPr>
              <w:t>-</w:t>
            </w:r>
          </w:p>
        </w:tc>
        <w:tc>
          <w:tcPr>
            <w:tcW w:w="832" w:type="pct"/>
            <w:tcBorders>
              <w:top w:val="nil"/>
              <w:left w:val="nil"/>
              <w:bottom w:val="nil"/>
              <w:right w:val="nil"/>
            </w:tcBorders>
            <w:shd w:val="clear" w:color="000000" w:fill="D0D0D0"/>
            <w:hideMark/>
          </w:tcPr>
          <w:p w14:paraId="2367F027" w14:textId="332DA887"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6574DC03" w14:textId="5DE19C62"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E07AE">
              <w:rPr>
                <w:rFonts w:ascii="Aptos Narrow" w:eastAsia="Times New Roman" w:hAnsi="Aptos Narrow" w:cs="Times New Roman"/>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FF0000"/>
          </w:tcPr>
          <w:p w14:paraId="4F2942BE" w14:textId="0EB59CFE"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Pr>
                <w:rFonts w:ascii="Aptos Narrow" w:eastAsia="Times New Roman" w:hAnsi="Aptos Narrow" w:cs="Times New Roman"/>
                <w:b/>
                <w:bCs/>
                <w:color w:val="000000"/>
                <w:sz w:val="16"/>
                <w:szCs w:val="16"/>
                <w:lang w:eastAsia="en-GB"/>
              </w:rPr>
              <w:t>RED</w:t>
            </w:r>
          </w:p>
        </w:tc>
        <w:tc>
          <w:tcPr>
            <w:tcW w:w="837" w:type="pct"/>
            <w:tcBorders>
              <w:top w:val="nil"/>
              <w:left w:val="nil"/>
              <w:bottom w:val="nil"/>
              <w:right w:val="single" w:sz="4" w:space="0" w:color="auto"/>
            </w:tcBorders>
            <w:shd w:val="clear" w:color="000000" w:fill="D0D0D0"/>
            <w:hideMark/>
          </w:tcPr>
          <w:p w14:paraId="7CF26330" w14:textId="0B427E6C"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A1261D">
              <w:rPr>
                <w:rFonts w:ascii="Aptos Narrow" w:eastAsia="Times New Roman" w:hAnsi="Aptos Narrow" w:cs="Times New Roman"/>
                <w:color w:val="000000"/>
                <w:sz w:val="22"/>
                <w:lang w:eastAsia="en-GB"/>
              </w:rPr>
              <w:t>-</w:t>
            </w:r>
          </w:p>
        </w:tc>
      </w:tr>
      <w:tr w:rsidR="0072424C" w:rsidRPr="00736017" w14:paraId="13A65613" w14:textId="77777777" w:rsidTr="0010312D">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5AAC52CF"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shd w:val="clear" w:color="auto" w:fill="FFC000"/>
                <w:lang w:eastAsia="en-GB"/>
              </w:rPr>
              <w:t>Planning &amp;reg</w:t>
            </w:r>
            <w:r w:rsidRPr="0072424C">
              <w:rPr>
                <w:rFonts w:ascii="Calibri" w:eastAsia="Times New Roman" w:hAnsi="Calibri" w:cs="Calibri"/>
                <w:b/>
                <w:bCs/>
                <w:color w:val="000000"/>
                <w:szCs w:val="24"/>
                <w:lang w:eastAsia="en-GB"/>
              </w:rPr>
              <w:t>.</w:t>
            </w:r>
          </w:p>
        </w:tc>
        <w:tc>
          <w:tcPr>
            <w:tcW w:w="832" w:type="pct"/>
            <w:tcBorders>
              <w:top w:val="nil"/>
              <w:left w:val="single" w:sz="4" w:space="0" w:color="auto"/>
              <w:bottom w:val="nil"/>
              <w:right w:val="nil"/>
            </w:tcBorders>
            <w:shd w:val="clear" w:color="000000" w:fill="D0D0D0"/>
            <w:hideMark/>
          </w:tcPr>
          <w:p w14:paraId="1FF1C06B" w14:textId="5604F031"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90399F">
              <w:rPr>
                <w:rFonts w:ascii="Aptos Narrow" w:eastAsia="Times New Roman" w:hAnsi="Aptos Narrow" w:cs="Times New Roman"/>
                <w:color w:val="000000"/>
                <w:sz w:val="22"/>
                <w:lang w:eastAsia="en-GB"/>
              </w:rPr>
              <w:t>-</w:t>
            </w:r>
          </w:p>
        </w:tc>
        <w:tc>
          <w:tcPr>
            <w:tcW w:w="832" w:type="pct"/>
            <w:tcBorders>
              <w:top w:val="nil"/>
              <w:left w:val="nil"/>
              <w:bottom w:val="nil"/>
              <w:right w:val="nil"/>
            </w:tcBorders>
            <w:shd w:val="clear" w:color="000000" w:fill="D0D0D0"/>
            <w:hideMark/>
          </w:tcPr>
          <w:p w14:paraId="186F8DF5" w14:textId="1BA434EC"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FFC000"/>
            <w:hideMark/>
          </w:tcPr>
          <w:p w14:paraId="0AA5B59E" w14:textId="70CEA403"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BF36BC">
              <w:rPr>
                <w:rFonts w:ascii="Aptos Narrow" w:eastAsia="Times New Roman" w:hAnsi="Aptos Narrow" w:cs="Times New Roman"/>
                <w:b/>
                <w:bCs/>
                <w:color w:val="000000"/>
                <w:sz w:val="16"/>
                <w:szCs w:val="16"/>
                <w:lang w:eastAsia="en-GB"/>
              </w:rPr>
              <w:t>AMBER</w:t>
            </w:r>
          </w:p>
        </w:tc>
        <w:tc>
          <w:tcPr>
            <w:tcW w:w="833" w:type="pct"/>
            <w:tcBorders>
              <w:top w:val="nil"/>
              <w:left w:val="nil"/>
              <w:bottom w:val="nil"/>
              <w:right w:val="nil"/>
            </w:tcBorders>
            <w:shd w:val="clear" w:color="000000" w:fill="D0D0D0"/>
            <w:hideMark/>
          </w:tcPr>
          <w:p w14:paraId="12351810" w14:textId="51807CDC"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2336B7">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19E8D0FE" w14:textId="314A1ED0"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A1261D">
              <w:rPr>
                <w:rFonts w:ascii="Aptos Narrow" w:eastAsia="Times New Roman" w:hAnsi="Aptos Narrow" w:cs="Times New Roman"/>
                <w:color w:val="000000"/>
                <w:sz w:val="22"/>
                <w:lang w:eastAsia="en-GB"/>
              </w:rPr>
              <w:t>-</w:t>
            </w:r>
          </w:p>
        </w:tc>
      </w:tr>
      <w:tr w:rsidR="0072424C" w:rsidRPr="00736017" w14:paraId="01533CC7" w14:textId="77777777" w:rsidTr="004F4611">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6F40DA69"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Marine trans.</w:t>
            </w:r>
          </w:p>
        </w:tc>
        <w:tc>
          <w:tcPr>
            <w:tcW w:w="832" w:type="pct"/>
            <w:tcBorders>
              <w:top w:val="single" w:sz="4" w:space="0" w:color="auto"/>
              <w:left w:val="single" w:sz="4" w:space="0" w:color="auto"/>
              <w:bottom w:val="single" w:sz="4" w:space="0" w:color="auto"/>
              <w:right w:val="single" w:sz="4" w:space="0" w:color="auto"/>
            </w:tcBorders>
            <w:shd w:val="clear" w:color="auto" w:fill="FFC000"/>
            <w:hideMark/>
          </w:tcPr>
          <w:p w14:paraId="2607E13C" w14:textId="2127D79E" w:rsidR="0072424C" w:rsidRPr="00BF36BC" w:rsidRDefault="0072424C" w:rsidP="0072424C">
            <w:pPr>
              <w:spacing w:after="0" w:line="240" w:lineRule="auto"/>
              <w:jc w:val="center"/>
              <w:rPr>
                <w:rFonts w:ascii="Aptos Narrow" w:eastAsia="Times New Roman" w:hAnsi="Aptos Narrow" w:cs="Times New Roman"/>
                <w:b/>
                <w:bCs/>
                <w:color w:val="000000"/>
                <w:sz w:val="16"/>
                <w:szCs w:val="16"/>
                <w:lang w:eastAsia="en-GB"/>
              </w:rPr>
            </w:pPr>
            <w:r w:rsidRPr="00BF36BC">
              <w:rPr>
                <w:rFonts w:ascii="Aptos Narrow" w:eastAsia="Times New Roman" w:hAnsi="Aptos Narrow" w:cs="Times New Roman"/>
                <w:b/>
                <w:bCs/>
                <w:color w:val="000000"/>
                <w:sz w:val="16"/>
                <w:szCs w:val="16"/>
                <w:lang w:eastAsia="en-GB"/>
              </w:rPr>
              <w:t>AMBER</w:t>
            </w:r>
          </w:p>
        </w:tc>
        <w:tc>
          <w:tcPr>
            <w:tcW w:w="832" w:type="pct"/>
            <w:tcBorders>
              <w:top w:val="nil"/>
              <w:left w:val="nil"/>
              <w:bottom w:val="nil"/>
              <w:right w:val="nil"/>
            </w:tcBorders>
            <w:shd w:val="clear" w:color="000000" w:fill="D0D0D0"/>
            <w:hideMark/>
          </w:tcPr>
          <w:p w14:paraId="175894A4" w14:textId="5A16D6A1"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nil"/>
              <w:left w:val="single" w:sz="4" w:space="0" w:color="auto"/>
              <w:bottom w:val="single" w:sz="4" w:space="0" w:color="auto"/>
              <w:right w:val="single" w:sz="4" w:space="0" w:color="auto"/>
            </w:tcBorders>
            <w:shd w:val="clear" w:color="auto" w:fill="FFC000"/>
            <w:hideMark/>
          </w:tcPr>
          <w:p w14:paraId="3C4B02E3" w14:textId="4276F815"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BF36BC">
              <w:rPr>
                <w:rFonts w:ascii="Aptos Narrow" w:eastAsia="Times New Roman" w:hAnsi="Aptos Narrow" w:cs="Times New Roman"/>
                <w:b/>
                <w:bCs/>
                <w:color w:val="000000"/>
                <w:sz w:val="16"/>
                <w:szCs w:val="16"/>
                <w:lang w:eastAsia="en-GB"/>
              </w:rPr>
              <w:t>AMBER</w:t>
            </w:r>
          </w:p>
        </w:tc>
        <w:tc>
          <w:tcPr>
            <w:tcW w:w="833" w:type="pct"/>
            <w:tcBorders>
              <w:top w:val="nil"/>
              <w:left w:val="nil"/>
              <w:bottom w:val="nil"/>
              <w:right w:val="nil"/>
            </w:tcBorders>
            <w:shd w:val="clear" w:color="000000" w:fill="D0D0D0"/>
            <w:hideMark/>
          </w:tcPr>
          <w:p w14:paraId="24BA97DB" w14:textId="28B1EBF1"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2336B7">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25607AC9" w14:textId="4DDC9ADC"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A1261D">
              <w:rPr>
                <w:rFonts w:ascii="Aptos Narrow" w:eastAsia="Times New Roman" w:hAnsi="Aptos Narrow" w:cs="Times New Roman"/>
                <w:color w:val="000000"/>
                <w:sz w:val="22"/>
                <w:lang w:eastAsia="en-GB"/>
              </w:rPr>
              <w:t>-</w:t>
            </w:r>
          </w:p>
        </w:tc>
      </w:tr>
      <w:tr w:rsidR="0072424C" w:rsidRPr="00736017" w14:paraId="37BE9E1B" w14:textId="77777777" w:rsidTr="00472958">
        <w:trPr>
          <w:trHeight w:val="420"/>
        </w:trPr>
        <w:tc>
          <w:tcPr>
            <w:tcW w:w="832" w:type="pct"/>
            <w:tcBorders>
              <w:top w:val="nil"/>
              <w:left w:val="single" w:sz="4" w:space="0" w:color="auto"/>
              <w:bottom w:val="single" w:sz="4" w:space="0" w:color="auto"/>
              <w:right w:val="nil"/>
            </w:tcBorders>
            <w:shd w:val="clear" w:color="000000" w:fill="DAF2D0"/>
            <w:vAlign w:val="center"/>
            <w:hideMark/>
          </w:tcPr>
          <w:p w14:paraId="714F43E7"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Peatland</w:t>
            </w:r>
          </w:p>
        </w:tc>
        <w:tc>
          <w:tcPr>
            <w:tcW w:w="832" w:type="pct"/>
            <w:tcBorders>
              <w:top w:val="nil"/>
              <w:left w:val="single" w:sz="4" w:space="0" w:color="auto"/>
              <w:bottom w:val="single" w:sz="4" w:space="0" w:color="auto"/>
              <w:right w:val="single" w:sz="4" w:space="0" w:color="auto"/>
            </w:tcBorders>
            <w:shd w:val="clear" w:color="000000" w:fill="DAF2D0"/>
            <w:hideMark/>
          </w:tcPr>
          <w:p w14:paraId="08ECFC2B" w14:textId="059636DD" w:rsidR="0072424C" w:rsidRPr="00BF36BC" w:rsidRDefault="003D6FC2" w:rsidP="0072424C">
            <w:pPr>
              <w:spacing w:after="0" w:line="240" w:lineRule="auto"/>
              <w:jc w:val="center"/>
              <w:rPr>
                <w:rFonts w:ascii="Aptos Narrow" w:eastAsia="Times New Roman" w:hAnsi="Aptos Narrow" w:cs="Times New Roman"/>
                <w:b/>
                <w:bCs/>
                <w:color w:val="000000"/>
                <w:sz w:val="16"/>
                <w:szCs w:val="16"/>
                <w:lang w:eastAsia="en-GB"/>
              </w:rPr>
            </w:pPr>
            <w:r>
              <w:rPr>
                <w:rFonts w:ascii="Aptos Narrow" w:eastAsia="Times New Roman" w:hAnsi="Aptos Narrow" w:cs="Times New Roman"/>
                <w:b/>
                <w:bCs/>
                <w:color w:val="000000"/>
                <w:sz w:val="16"/>
                <w:szCs w:val="16"/>
                <w:lang w:eastAsia="en-GB"/>
              </w:rPr>
              <w:t>GREEN</w:t>
            </w:r>
          </w:p>
        </w:tc>
        <w:tc>
          <w:tcPr>
            <w:tcW w:w="832" w:type="pct"/>
            <w:tcBorders>
              <w:top w:val="nil"/>
              <w:left w:val="nil"/>
              <w:bottom w:val="nil"/>
              <w:right w:val="nil"/>
            </w:tcBorders>
            <w:shd w:val="clear" w:color="000000" w:fill="D0D0D0"/>
            <w:hideMark/>
          </w:tcPr>
          <w:p w14:paraId="0692B765" w14:textId="3A5BD47A"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459252E4" w14:textId="4CD0F96D"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p>
        </w:tc>
        <w:tc>
          <w:tcPr>
            <w:tcW w:w="833" w:type="pct"/>
            <w:tcBorders>
              <w:top w:val="nil"/>
              <w:left w:val="nil"/>
              <w:bottom w:val="nil"/>
              <w:right w:val="nil"/>
            </w:tcBorders>
            <w:shd w:val="clear" w:color="000000" w:fill="D0D0D0"/>
            <w:hideMark/>
          </w:tcPr>
          <w:p w14:paraId="1982CD52" w14:textId="5EACC674"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2336B7">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4A0B8A1F" w14:textId="2F0672A4"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A1261D">
              <w:rPr>
                <w:rFonts w:ascii="Aptos Narrow" w:eastAsia="Times New Roman" w:hAnsi="Aptos Narrow" w:cs="Times New Roman"/>
                <w:color w:val="000000"/>
                <w:sz w:val="22"/>
                <w:lang w:eastAsia="en-GB"/>
              </w:rPr>
              <w:t>-</w:t>
            </w:r>
          </w:p>
        </w:tc>
      </w:tr>
      <w:tr w:rsidR="0072424C" w:rsidRPr="00736017" w14:paraId="3CDD255B" w14:textId="77777777" w:rsidTr="0010312D">
        <w:trPr>
          <w:trHeight w:val="420"/>
        </w:trPr>
        <w:tc>
          <w:tcPr>
            <w:tcW w:w="832" w:type="pct"/>
            <w:tcBorders>
              <w:top w:val="nil"/>
              <w:left w:val="single" w:sz="4" w:space="0" w:color="auto"/>
              <w:bottom w:val="single" w:sz="4" w:space="0" w:color="auto"/>
              <w:right w:val="nil"/>
            </w:tcBorders>
            <w:shd w:val="clear" w:color="auto" w:fill="FFC000"/>
            <w:vAlign w:val="center"/>
            <w:hideMark/>
          </w:tcPr>
          <w:p w14:paraId="26C4394B"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Transform Ag.</w:t>
            </w:r>
          </w:p>
        </w:tc>
        <w:tc>
          <w:tcPr>
            <w:tcW w:w="832" w:type="pct"/>
            <w:tcBorders>
              <w:top w:val="nil"/>
              <w:left w:val="single" w:sz="4" w:space="0" w:color="auto"/>
              <w:bottom w:val="single" w:sz="4" w:space="0" w:color="auto"/>
              <w:right w:val="single" w:sz="4" w:space="0" w:color="auto"/>
            </w:tcBorders>
            <w:shd w:val="clear" w:color="auto" w:fill="FFC000"/>
            <w:hideMark/>
          </w:tcPr>
          <w:p w14:paraId="50D6B0A9" w14:textId="6918142B"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BF36BC">
              <w:rPr>
                <w:rFonts w:ascii="Aptos Narrow" w:eastAsia="Times New Roman" w:hAnsi="Aptos Narrow" w:cs="Times New Roman"/>
                <w:b/>
                <w:bCs/>
                <w:color w:val="000000"/>
                <w:sz w:val="16"/>
                <w:szCs w:val="16"/>
                <w:lang w:eastAsia="en-GB"/>
              </w:rPr>
              <w:t>AMBER</w:t>
            </w:r>
          </w:p>
        </w:tc>
        <w:tc>
          <w:tcPr>
            <w:tcW w:w="832" w:type="pct"/>
            <w:tcBorders>
              <w:top w:val="nil"/>
              <w:left w:val="nil"/>
              <w:bottom w:val="nil"/>
              <w:right w:val="nil"/>
            </w:tcBorders>
            <w:shd w:val="clear" w:color="000000" w:fill="D0D0D0"/>
            <w:hideMark/>
          </w:tcPr>
          <w:p w14:paraId="574428FF" w14:textId="5C3459C6"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6CE5A42A" w14:textId="07FDA6D7"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p>
        </w:tc>
        <w:tc>
          <w:tcPr>
            <w:tcW w:w="833" w:type="pct"/>
            <w:tcBorders>
              <w:top w:val="nil"/>
              <w:left w:val="nil"/>
              <w:bottom w:val="nil"/>
              <w:right w:val="nil"/>
            </w:tcBorders>
            <w:shd w:val="clear" w:color="000000" w:fill="D0D0D0"/>
            <w:hideMark/>
          </w:tcPr>
          <w:p w14:paraId="40D7BDD1" w14:textId="12E46FE8"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2336B7">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2F99DDC2" w14:textId="40036DBA"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A1261D">
              <w:rPr>
                <w:rFonts w:ascii="Aptos Narrow" w:eastAsia="Times New Roman" w:hAnsi="Aptos Narrow" w:cs="Times New Roman"/>
                <w:color w:val="000000"/>
                <w:sz w:val="22"/>
                <w:lang w:eastAsia="en-GB"/>
              </w:rPr>
              <w:t>-</w:t>
            </w:r>
          </w:p>
        </w:tc>
      </w:tr>
      <w:tr w:rsidR="0072424C" w:rsidRPr="00736017" w14:paraId="48FEAB6E" w14:textId="77777777" w:rsidTr="0010312D">
        <w:trPr>
          <w:trHeight w:val="420"/>
        </w:trPr>
        <w:tc>
          <w:tcPr>
            <w:tcW w:w="832" w:type="pct"/>
            <w:tcBorders>
              <w:top w:val="nil"/>
              <w:left w:val="single" w:sz="4" w:space="0" w:color="auto"/>
              <w:bottom w:val="single" w:sz="4" w:space="0" w:color="auto"/>
              <w:right w:val="nil"/>
            </w:tcBorders>
            <w:shd w:val="clear" w:color="auto" w:fill="FF0000"/>
            <w:vAlign w:val="center"/>
            <w:hideMark/>
          </w:tcPr>
          <w:p w14:paraId="0AEEF1A6"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Private sector inv.</w:t>
            </w:r>
          </w:p>
        </w:tc>
        <w:tc>
          <w:tcPr>
            <w:tcW w:w="832" w:type="pct"/>
            <w:tcBorders>
              <w:top w:val="nil"/>
              <w:left w:val="single" w:sz="4" w:space="0" w:color="auto"/>
              <w:bottom w:val="nil"/>
              <w:right w:val="nil"/>
            </w:tcBorders>
            <w:shd w:val="clear" w:color="000000" w:fill="D0D0D0"/>
            <w:hideMark/>
          </w:tcPr>
          <w:p w14:paraId="0BB91BC4" w14:textId="28F62A39"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c>
          <w:tcPr>
            <w:tcW w:w="832" w:type="pct"/>
            <w:tcBorders>
              <w:top w:val="nil"/>
              <w:left w:val="nil"/>
              <w:bottom w:val="nil"/>
              <w:right w:val="nil"/>
            </w:tcBorders>
            <w:shd w:val="clear" w:color="000000" w:fill="D0D0D0"/>
            <w:hideMark/>
          </w:tcPr>
          <w:p w14:paraId="576AD2FE" w14:textId="3EAA60E4"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single" w:sz="4" w:space="0" w:color="auto"/>
              <w:left w:val="single" w:sz="4" w:space="0" w:color="auto"/>
              <w:bottom w:val="single" w:sz="4" w:space="0" w:color="auto"/>
              <w:right w:val="single" w:sz="4" w:space="0" w:color="auto"/>
            </w:tcBorders>
            <w:shd w:val="clear" w:color="auto" w:fill="FF0000"/>
            <w:hideMark/>
          </w:tcPr>
          <w:p w14:paraId="382D3B3B" w14:textId="68548314" w:rsidR="0072424C" w:rsidRPr="0010312D" w:rsidRDefault="0072424C" w:rsidP="0072424C">
            <w:pPr>
              <w:spacing w:after="0" w:line="240" w:lineRule="auto"/>
              <w:jc w:val="center"/>
              <w:rPr>
                <w:rFonts w:ascii="Aptos Narrow" w:eastAsia="Times New Roman" w:hAnsi="Aptos Narrow" w:cs="Times New Roman"/>
                <w:color w:val="FF0000"/>
                <w:sz w:val="16"/>
                <w:szCs w:val="16"/>
                <w:lang w:eastAsia="en-GB"/>
              </w:rPr>
            </w:pPr>
            <w:r>
              <w:rPr>
                <w:rFonts w:ascii="Aptos Narrow" w:eastAsia="Times New Roman" w:hAnsi="Aptos Narrow" w:cs="Times New Roman"/>
                <w:b/>
                <w:bCs/>
                <w:color w:val="000000"/>
                <w:sz w:val="16"/>
                <w:szCs w:val="16"/>
                <w:lang w:eastAsia="en-GB"/>
              </w:rPr>
              <w:t>RED</w:t>
            </w:r>
          </w:p>
        </w:tc>
        <w:tc>
          <w:tcPr>
            <w:tcW w:w="833" w:type="pct"/>
            <w:tcBorders>
              <w:top w:val="nil"/>
              <w:left w:val="nil"/>
              <w:bottom w:val="nil"/>
              <w:right w:val="nil"/>
            </w:tcBorders>
            <w:shd w:val="clear" w:color="000000" w:fill="D0D0D0"/>
            <w:hideMark/>
          </w:tcPr>
          <w:p w14:paraId="3A4621EC" w14:textId="54183DDF"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2336B7">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2F902C42" w14:textId="21F772C6"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A1261D">
              <w:rPr>
                <w:rFonts w:ascii="Aptos Narrow" w:eastAsia="Times New Roman" w:hAnsi="Aptos Narrow" w:cs="Times New Roman"/>
                <w:color w:val="000000"/>
                <w:sz w:val="22"/>
                <w:lang w:eastAsia="en-GB"/>
              </w:rPr>
              <w:t>-</w:t>
            </w:r>
          </w:p>
        </w:tc>
      </w:tr>
      <w:tr w:rsidR="0072424C" w:rsidRPr="00736017" w14:paraId="0E8EF08F" w14:textId="77777777" w:rsidTr="004F4611">
        <w:trPr>
          <w:trHeight w:val="290"/>
        </w:trPr>
        <w:tc>
          <w:tcPr>
            <w:tcW w:w="832" w:type="pct"/>
            <w:tcBorders>
              <w:top w:val="nil"/>
              <w:left w:val="single" w:sz="4" w:space="0" w:color="auto"/>
              <w:bottom w:val="single" w:sz="4" w:space="0" w:color="auto"/>
              <w:right w:val="nil"/>
            </w:tcBorders>
            <w:shd w:val="clear" w:color="auto" w:fill="FFC000"/>
            <w:vAlign w:val="center"/>
            <w:hideMark/>
          </w:tcPr>
          <w:p w14:paraId="6D03716D"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Natural capital</w:t>
            </w:r>
          </w:p>
        </w:tc>
        <w:tc>
          <w:tcPr>
            <w:tcW w:w="832" w:type="pct"/>
            <w:tcBorders>
              <w:top w:val="single" w:sz="4" w:space="0" w:color="auto"/>
              <w:left w:val="single" w:sz="4" w:space="0" w:color="auto"/>
              <w:bottom w:val="single" w:sz="4" w:space="0" w:color="auto"/>
              <w:right w:val="single" w:sz="4" w:space="0" w:color="auto"/>
            </w:tcBorders>
            <w:shd w:val="clear" w:color="auto" w:fill="FFC000"/>
            <w:hideMark/>
          </w:tcPr>
          <w:p w14:paraId="382353F7" w14:textId="5BCAADF4"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BF36BC">
              <w:rPr>
                <w:rFonts w:ascii="Aptos Narrow" w:eastAsia="Times New Roman" w:hAnsi="Aptos Narrow" w:cs="Times New Roman"/>
                <w:b/>
                <w:bCs/>
                <w:color w:val="000000"/>
                <w:sz w:val="16"/>
                <w:szCs w:val="16"/>
                <w:lang w:eastAsia="en-GB"/>
              </w:rPr>
              <w:t>AMBER</w:t>
            </w:r>
          </w:p>
        </w:tc>
        <w:tc>
          <w:tcPr>
            <w:tcW w:w="832" w:type="pct"/>
            <w:tcBorders>
              <w:top w:val="nil"/>
              <w:left w:val="nil"/>
              <w:bottom w:val="nil"/>
              <w:right w:val="nil"/>
            </w:tcBorders>
            <w:shd w:val="clear" w:color="000000" w:fill="D0D0D0"/>
            <w:hideMark/>
          </w:tcPr>
          <w:p w14:paraId="3E58FDD4" w14:textId="0F7028B7"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770E7259" w14:textId="15B357EF"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7A237F">
              <w:rPr>
                <w:rFonts w:ascii="Aptos Narrow" w:eastAsia="Times New Roman" w:hAnsi="Aptos Narrow" w:cs="Times New Roman"/>
                <w:color w:val="000000"/>
                <w:sz w:val="22"/>
                <w:lang w:eastAsia="en-GB"/>
              </w:rPr>
              <w:t>-</w:t>
            </w:r>
          </w:p>
        </w:tc>
        <w:tc>
          <w:tcPr>
            <w:tcW w:w="833" w:type="pct"/>
            <w:tcBorders>
              <w:top w:val="nil"/>
              <w:left w:val="nil"/>
              <w:bottom w:val="nil"/>
              <w:right w:val="nil"/>
            </w:tcBorders>
            <w:shd w:val="clear" w:color="000000" w:fill="D0D0D0"/>
            <w:hideMark/>
          </w:tcPr>
          <w:p w14:paraId="0045B35A" w14:textId="48CBCE5E"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2336B7">
              <w:rPr>
                <w:rFonts w:ascii="Aptos Narrow" w:eastAsia="Times New Roman" w:hAnsi="Aptos Narrow" w:cs="Times New Roman"/>
                <w:color w:val="000000"/>
                <w:sz w:val="22"/>
                <w:lang w:eastAsia="en-GB"/>
              </w:rPr>
              <w:t>-</w:t>
            </w:r>
          </w:p>
        </w:tc>
        <w:tc>
          <w:tcPr>
            <w:tcW w:w="837" w:type="pct"/>
            <w:tcBorders>
              <w:top w:val="nil"/>
              <w:left w:val="nil"/>
              <w:bottom w:val="nil"/>
              <w:right w:val="single" w:sz="4" w:space="0" w:color="auto"/>
            </w:tcBorders>
            <w:shd w:val="clear" w:color="000000" w:fill="D0D0D0"/>
            <w:hideMark/>
          </w:tcPr>
          <w:p w14:paraId="0CFE3048" w14:textId="195744EB" w:rsidR="0072424C" w:rsidRPr="00736017" w:rsidRDefault="003D6FC2"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r>
      <w:tr w:rsidR="0072424C" w:rsidRPr="00736017" w14:paraId="39BF84A4" w14:textId="77777777" w:rsidTr="0010312D">
        <w:trPr>
          <w:trHeight w:val="290"/>
        </w:trPr>
        <w:tc>
          <w:tcPr>
            <w:tcW w:w="832" w:type="pct"/>
            <w:tcBorders>
              <w:top w:val="nil"/>
              <w:left w:val="single" w:sz="4" w:space="0" w:color="auto"/>
              <w:bottom w:val="single" w:sz="4" w:space="0" w:color="auto"/>
              <w:right w:val="nil"/>
            </w:tcBorders>
            <w:shd w:val="clear" w:color="auto" w:fill="FFC000"/>
            <w:vAlign w:val="center"/>
            <w:hideMark/>
          </w:tcPr>
          <w:p w14:paraId="1CAF5ADC" w14:textId="77777777" w:rsidR="0072424C" w:rsidRPr="0072424C" w:rsidRDefault="0072424C" w:rsidP="0072424C">
            <w:pPr>
              <w:spacing w:after="0" w:line="240" w:lineRule="auto"/>
              <w:rPr>
                <w:rFonts w:ascii="Calibri" w:eastAsia="Times New Roman" w:hAnsi="Calibri" w:cs="Calibri"/>
                <w:b/>
                <w:bCs/>
                <w:color w:val="000000"/>
                <w:szCs w:val="24"/>
                <w:lang w:eastAsia="en-GB"/>
              </w:rPr>
            </w:pPr>
            <w:r w:rsidRPr="0072424C">
              <w:rPr>
                <w:rFonts w:ascii="Calibri" w:eastAsia="Times New Roman" w:hAnsi="Calibri" w:cs="Calibri"/>
                <w:b/>
                <w:bCs/>
                <w:color w:val="000000"/>
                <w:szCs w:val="24"/>
                <w:lang w:eastAsia="en-GB"/>
              </w:rPr>
              <w:t>NWW</w:t>
            </w:r>
          </w:p>
        </w:tc>
        <w:tc>
          <w:tcPr>
            <w:tcW w:w="832" w:type="pct"/>
            <w:tcBorders>
              <w:top w:val="nil"/>
              <w:left w:val="single" w:sz="4" w:space="0" w:color="auto"/>
              <w:bottom w:val="single" w:sz="4" w:space="0" w:color="auto"/>
              <w:right w:val="nil"/>
            </w:tcBorders>
            <w:shd w:val="clear" w:color="000000" w:fill="D0D0D0"/>
            <w:hideMark/>
          </w:tcPr>
          <w:p w14:paraId="0E3D6801" w14:textId="5872F846"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Pr>
                <w:rFonts w:ascii="Aptos Narrow" w:eastAsia="Times New Roman" w:hAnsi="Aptos Narrow" w:cs="Times New Roman"/>
                <w:color w:val="000000"/>
                <w:sz w:val="22"/>
                <w:lang w:eastAsia="en-GB"/>
              </w:rPr>
              <w:t>-</w:t>
            </w:r>
          </w:p>
        </w:tc>
        <w:tc>
          <w:tcPr>
            <w:tcW w:w="832" w:type="pct"/>
            <w:tcBorders>
              <w:top w:val="nil"/>
              <w:left w:val="nil"/>
              <w:bottom w:val="single" w:sz="4" w:space="0" w:color="auto"/>
              <w:right w:val="nil"/>
            </w:tcBorders>
            <w:shd w:val="clear" w:color="000000" w:fill="D0D0D0"/>
            <w:hideMark/>
          </w:tcPr>
          <w:p w14:paraId="64CBA16D" w14:textId="31EAB432"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414D0C">
              <w:rPr>
                <w:rFonts w:ascii="Aptos Narrow" w:eastAsia="Times New Roman" w:hAnsi="Aptos Narrow" w:cs="Times New Roman"/>
                <w:color w:val="000000"/>
                <w:sz w:val="22"/>
                <w:lang w:eastAsia="en-GB"/>
              </w:rPr>
              <w:t>-</w:t>
            </w:r>
          </w:p>
        </w:tc>
        <w:tc>
          <w:tcPr>
            <w:tcW w:w="833" w:type="pct"/>
            <w:tcBorders>
              <w:top w:val="nil"/>
              <w:left w:val="nil"/>
              <w:bottom w:val="single" w:sz="4" w:space="0" w:color="auto"/>
              <w:right w:val="nil"/>
            </w:tcBorders>
            <w:shd w:val="clear" w:color="000000" w:fill="D0D0D0"/>
            <w:hideMark/>
          </w:tcPr>
          <w:p w14:paraId="72FCB77C" w14:textId="0C9F1904"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7A237F">
              <w:rPr>
                <w:rFonts w:ascii="Aptos Narrow" w:eastAsia="Times New Roman" w:hAnsi="Aptos Narrow" w:cs="Times New Roman"/>
                <w:color w:val="000000"/>
                <w:sz w:val="22"/>
                <w:lang w:eastAsia="en-GB"/>
              </w:rPr>
              <w:t>-</w:t>
            </w:r>
          </w:p>
        </w:tc>
        <w:tc>
          <w:tcPr>
            <w:tcW w:w="833" w:type="pct"/>
            <w:tcBorders>
              <w:top w:val="nil"/>
              <w:left w:val="nil"/>
              <w:bottom w:val="single" w:sz="4" w:space="0" w:color="auto"/>
              <w:right w:val="nil"/>
            </w:tcBorders>
            <w:shd w:val="clear" w:color="000000" w:fill="D0D0D0"/>
            <w:hideMark/>
          </w:tcPr>
          <w:p w14:paraId="64181352" w14:textId="432BDC9E" w:rsidR="0072424C" w:rsidRPr="00736017" w:rsidRDefault="0072424C" w:rsidP="0072424C">
            <w:pPr>
              <w:spacing w:after="0" w:line="240" w:lineRule="auto"/>
              <w:jc w:val="center"/>
              <w:rPr>
                <w:rFonts w:ascii="Aptos Narrow" w:eastAsia="Times New Roman" w:hAnsi="Aptos Narrow" w:cs="Times New Roman"/>
                <w:color w:val="000000"/>
                <w:sz w:val="22"/>
                <w:lang w:eastAsia="en-GB"/>
              </w:rPr>
            </w:pPr>
            <w:r w:rsidRPr="002336B7">
              <w:rPr>
                <w:rFonts w:ascii="Aptos Narrow" w:eastAsia="Times New Roman" w:hAnsi="Aptos Narrow" w:cs="Times New Roman"/>
                <w:color w:val="000000"/>
                <w:sz w:val="22"/>
                <w:lang w:eastAsia="en-GB"/>
              </w:rPr>
              <w:t>-</w:t>
            </w:r>
          </w:p>
        </w:tc>
        <w:tc>
          <w:tcPr>
            <w:tcW w:w="837" w:type="pct"/>
            <w:tcBorders>
              <w:top w:val="single" w:sz="4" w:space="0" w:color="auto"/>
              <w:left w:val="single" w:sz="4" w:space="0" w:color="auto"/>
              <w:bottom w:val="single" w:sz="4" w:space="0" w:color="auto"/>
              <w:right w:val="single" w:sz="4" w:space="0" w:color="auto"/>
            </w:tcBorders>
            <w:shd w:val="clear" w:color="auto" w:fill="FFC000"/>
            <w:hideMark/>
          </w:tcPr>
          <w:p w14:paraId="0AAA13A0" w14:textId="09805EE8" w:rsidR="0072424C" w:rsidRPr="00736017" w:rsidRDefault="0072424C" w:rsidP="0072424C">
            <w:pPr>
              <w:spacing w:after="0" w:line="240" w:lineRule="auto"/>
              <w:jc w:val="center"/>
              <w:rPr>
                <w:rFonts w:ascii="Aptos Narrow" w:eastAsia="Times New Roman" w:hAnsi="Aptos Narrow" w:cs="Times New Roman"/>
                <w:color w:val="000000"/>
                <w:sz w:val="16"/>
                <w:szCs w:val="16"/>
                <w:lang w:eastAsia="en-GB"/>
              </w:rPr>
            </w:pPr>
            <w:r w:rsidRPr="00BF36BC">
              <w:rPr>
                <w:rFonts w:ascii="Aptos Narrow" w:eastAsia="Times New Roman" w:hAnsi="Aptos Narrow" w:cs="Times New Roman"/>
                <w:b/>
                <w:bCs/>
                <w:color w:val="000000"/>
                <w:sz w:val="16"/>
                <w:szCs w:val="16"/>
                <w:lang w:eastAsia="en-GB"/>
              </w:rPr>
              <w:t>AMBER</w:t>
            </w:r>
          </w:p>
        </w:tc>
      </w:tr>
    </w:tbl>
    <w:p w14:paraId="41EA2DE5" w14:textId="63629ED7" w:rsidR="0010312D" w:rsidRPr="003D6FC2" w:rsidRDefault="00BF36BC">
      <w:pPr>
        <w:rPr>
          <w:sz w:val="22"/>
        </w:rPr>
      </w:pPr>
      <w:r w:rsidRPr="003D6FC2">
        <w:rPr>
          <w:sz w:val="22"/>
        </w:rPr>
        <w:t xml:space="preserve"> (The table gives a </w:t>
      </w:r>
      <w:proofErr w:type="gramStart"/>
      <w:r w:rsidRPr="003D6FC2">
        <w:rPr>
          <w:sz w:val="22"/>
        </w:rPr>
        <w:t>rating  the</w:t>
      </w:r>
      <w:proofErr w:type="gramEnd"/>
      <w:r w:rsidRPr="003D6FC2">
        <w:rPr>
          <w:sz w:val="22"/>
        </w:rPr>
        <w:t xml:space="preserve"> </w:t>
      </w:r>
      <w:r w:rsidR="00A260B6" w:rsidRPr="003D6FC2">
        <w:rPr>
          <w:sz w:val="22"/>
        </w:rPr>
        <w:t>longer-term</w:t>
      </w:r>
      <w:r w:rsidRPr="003D6FC2">
        <w:rPr>
          <w:sz w:val="22"/>
        </w:rPr>
        <w:t xml:space="preserve"> assessment of the likelihood of achieving our key objectives)</w:t>
      </w:r>
    </w:p>
    <w:p w14:paraId="32331DE2" w14:textId="4B45F41C" w:rsidR="0010312D" w:rsidRPr="003D6FC2" w:rsidRDefault="007B724A" w:rsidP="00B564EC">
      <w:pPr>
        <w:pStyle w:val="Heading2"/>
        <w:rPr>
          <w:sz w:val="22"/>
          <w:szCs w:val="22"/>
        </w:rPr>
      </w:pPr>
      <w:r w:rsidRPr="003D6FC2">
        <w:rPr>
          <w:sz w:val="22"/>
          <w:szCs w:val="22"/>
        </w:rPr>
        <w:t>Context for Red RAG ratings:</w:t>
      </w:r>
    </w:p>
    <w:p w14:paraId="2B5BE7E1" w14:textId="52872913" w:rsidR="007B724A" w:rsidRPr="003D6FC2" w:rsidRDefault="007B724A" w:rsidP="007B724A">
      <w:pPr>
        <w:pStyle w:val="ListParagraph"/>
        <w:numPr>
          <w:ilvl w:val="0"/>
          <w:numId w:val="37"/>
        </w:numPr>
        <w:rPr>
          <w:sz w:val="22"/>
        </w:rPr>
      </w:pPr>
      <w:r w:rsidRPr="003D6FC2">
        <w:rPr>
          <w:sz w:val="22"/>
        </w:rPr>
        <w:t xml:space="preserve">30x30 </w:t>
      </w:r>
      <w:r w:rsidR="00D56E75" w:rsidRPr="003D6FC2">
        <w:rPr>
          <w:sz w:val="22"/>
        </w:rPr>
        <w:t>–</w:t>
      </w:r>
      <w:r w:rsidRPr="003D6FC2">
        <w:rPr>
          <w:sz w:val="22"/>
        </w:rPr>
        <w:t xml:space="preserve"> </w:t>
      </w:r>
      <w:r w:rsidR="00D56E75" w:rsidRPr="003D6FC2">
        <w:rPr>
          <w:sz w:val="22"/>
        </w:rPr>
        <w:t xml:space="preserve">coalescing partners around our common goal of 30x30 is proving challenging. Early conversations with </w:t>
      </w:r>
      <w:proofErr w:type="spellStart"/>
      <w:r w:rsidR="00D56E75" w:rsidRPr="003D6FC2">
        <w:rPr>
          <w:sz w:val="22"/>
        </w:rPr>
        <w:t>eNGOs</w:t>
      </w:r>
      <w:proofErr w:type="spellEnd"/>
      <w:r w:rsidR="00D56E75" w:rsidRPr="003D6FC2">
        <w:rPr>
          <w:sz w:val="22"/>
        </w:rPr>
        <w:t xml:space="preserve"> are proving to be </w:t>
      </w:r>
      <w:r w:rsidR="00183F41" w:rsidRPr="003D6FC2">
        <w:rPr>
          <w:sz w:val="22"/>
        </w:rPr>
        <w:t>slower</w:t>
      </w:r>
      <w:r w:rsidR="00D56E75" w:rsidRPr="003D6FC2">
        <w:rPr>
          <w:sz w:val="22"/>
        </w:rPr>
        <w:t xml:space="preserve"> than hoped for.</w:t>
      </w:r>
    </w:p>
    <w:p w14:paraId="13DD76C3" w14:textId="67CD9199" w:rsidR="007B724A" w:rsidRPr="003D6FC2" w:rsidRDefault="007B724A" w:rsidP="007B724A">
      <w:pPr>
        <w:pStyle w:val="ListParagraph"/>
        <w:numPr>
          <w:ilvl w:val="0"/>
          <w:numId w:val="37"/>
        </w:numPr>
        <w:rPr>
          <w:sz w:val="22"/>
        </w:rPr>
      </w:pPr>
      <w:r w:rsidRPr="003D6FC2">
        <w:rPr>
          <w:sz w:val="22"/>
        </w:rPr>
        <w:t xml:space="preserve">Managing deer &amp; wildlife </w:t>
      </w:r>
      <w:r w:rsidR="00D56E75" w:rsidRPr="003D6FC2">
        <w:rPr>
          <w:sz w:val="22"/>
        </w:rPr>
        <w:t>–</w:t>
      </w:r>
      <w:r w:rsidR="00A260B6" w:rsidRPr="003D6FC2">
        <w:rPr>
          <w:sz w:val="22"/>
        </w:rPr>
        <w:t xml:space="preserve"> </w:t>
      </w:r>
      <w:r w:rsidR="00D56E75" w:rsidRPr="003D6FC2">
        <w:rPr>
          <w:sz w:val="22"/>
        </w:rPr>
        <w:t xml:space="preserve">deer </w:t>
      </w:r>
      <w:r w:rsidR="00A260B6" w:rsidRPr="003D6FC2">
        <w:rPr>
          <w:sz w:val="22"/>
        </w:rPr>
        <w:t xml:space="preserve">numbers </w:t>
      </w:r>
      <w:proofErr w:type="gramStart"/>
      <w:r w:rsidR="00D56E75" w:rsidRPr="003D6FC2">
        <w:rPr>
          <w:sz w:val="22"/>
        </w:rPr>
        <w:t>remains</w:t>
      </w:r>
      <w:proofErr w:type="gramEnd"/>
      <w:r w:rsidR="00D56E75" w:rsidRPr="003D6FC2">
        <w:rPr>
          <w:sz w:val="22"/>
        </w:rPr>
        <w:t xml:space="preserve"> a persistent problem</w:t>
      </w:r>
      <w:r w:rsidR="00B564EC" w:rsidRPr="003D6FC2">
        <w:rPr>
          <w:sz w:val="22"/>
        </w:rPr>
        <w:t>. New powers coming to us through the N</w:t>
      </w:r>
      <w:r w:rsidR="00A260B6" w:rsidRPr="003D6FC2">
        <w:rPr>
          <w:sz w:val="22"/>
        </w:rPr>
        <w:t xml:space="preserve">atural </w:t>
      </w:r>
      <w:r w:rsidR="00B564EC" w:rsidRPr="003D6FC2">
        <w:rPr>
          <w:sz w:val="22"/>
        </w:rPr>
        <w:t>E</w:t>
      </w:r>
      <w:r w:rsidR="00A260B6" w:rsidRPr="003D6FC2">
        <w:rPr>
          <w:sz w:val="22"/>
        </w:rPr>
        <w:t xml:space="preserve">nvironment </w:t>
      </w:r>
      <w:r w:rsidR="00B564EC" w:rsidRPr="003D6FC2">
        <w:rPr>
          <w:sz w:val="22"/>
        </w:rPr>
        <w:t>B</w:t>
      </w:r>
      <w:r w:rsidR="00A260B6" w:rsidRPr="003D6FC2">
        <w:rPr>
          <w:sz w:val="22"/>
        </w:rPr>
        <w:t>ill</w:t>
      </w:r>
      <w:r w:rsidR="00B564EC" w:rsidRPr="003D6FC2">
        <w:rPr>
          <w:sz w:val="22"/>
        </w:rPr>
        <w:t xml:space="preserve"> will support progress but there remains a large gap between cull rates and what is required to reduce deer numbers. Although the recent </w:t>
      </w:r>
      <w:r w:rsidR="00A260B6" w:rsidRPr="003D6FC2">
        <w:rPr>
          <w:sz w:val="22"/>
        </w:rPr>
        <w:t>G</w:t>
      </w:r>
      <w:r w:rsidR="00B564EC" w:rsidRPr="003D6FC2">
        <w:rPr>
          <w:sz w:val="22"/>
        </w:rPr>
        <w:t xml:space="preserve">ull </w:t>
      </w:r>
      <w:r w:rsidR="00A260B6" w:rsidRPr="003D6FC2">
        <w:rPr>
          <w:sz w:val="22"/>
        </w:rPr>
        <w:t>S</w:t>
      </w:r>
      <w:r w:rsidR="00B564EC" w:rsidRPr="003D6FC2">
        <w:rPr>
          <w:sz w:val="22"/>
        </w:rPr>
        <w:t xml:space="preserve">ummits have helped </w:t>
      </w:r>
      <w:r w:rsidR="00A260B6" w:rsidRPr="003D6FC2">
        <w:rPr>
          <w:sz w:val="22"/>
        </w:rPr>
        <w:t>tackle</w:t>
      </w:r>
      <w:r w:rsidR="00B564EC" w:rsidRPr="003D6FC2">
        <w:rPr>
          <w:sz w:val="22"/>
        </w:rPr>
        <w:t xml:space="preserve"> the </w:t>
      </w:r>
      <w:r w:rsidR="00183F41" w:rsidRPr="003D6FC2">
        <w:rPr>
          <w:sz w:val="22"/>
        </w:rPr>
        <w:t>issues we were experiencing in Q2</w:t>
      </w:r>
      <w:r w:rsidR="00B564EC" w:rsidRPr="003D6FC2">
        <w:rPr>
          <w:sz w:val="22"/>
        </w:rPr>
        <w:t>, we are still receiving complaints and FOIs about Guga.</w:t>
      </w:r>
    </w:p>
    <w:p w14:paraId="30603772" w14:textId="3700F10E" w:rsidR="0010312D" w:rsidRPr="00183F41" w:rsidRDefault="007B724A" w:rsidP="00300E15">
      <w:pPr>
        <w:pStyle w:val="ListParagraph"/>
        <w:numPr>
          <w:ilvl w:val="0"/>
          <w:numId w:val="37"/>
        </w:numPr>
        <w:rPr>
          <w:szCs w:val="24"/>
        </w:rPr>
      </w:pPr>
      <w:r w:rsidRPr="003D6FC2">
        <w:rPr>
          <w:sz w:val="22"/>
        </w:rPr>
        <w:t xml:space="preserve">Private sector investment </w:t>
      </w:r>
      <w:r w:rsidR="00B564EC" w:rsidRPr="003D6FC2">
        <w:rPr>
          <w:sz w:val="22"/>
        </w:rPr>
        <w:t>–</w:t>
      </w:r>
      <w:r w:rsidRPr="003D6FC2">
        <w:rPr>
          <w:sz w:val="22"/>
        </w:rPr>
        <w:t xml:space="preserve"> </w:t>
      </w:r>
      <w:r w:rsidR="00B564EC" w:rsidRPr="003D6FC2">
        <w:rPr>
          <w:sz w:val="22"/>
        </w:rPr>
        <w:t xml:space="preserve">The level of private investment into nature continues to </w:t>
      </w:r>
      <w:proofErr w:type="gramStart"/>
      <w:r w:rsidR="00A260B6" w:rsidRPr="003D6FC2">
        <w:rPr>
          <w:sz w:val="22"/>
        </w:rPr>
        <w:t>lag behind</w:t>
      </w:r>
      <w:proofErr w:type="gramEnd"/>
      <w:r w:rsidR="00A260B6" w:rsidRPr="003D6FC2">
        <w:rPr>
          <w:sz w:val="22"/>
        </w:rPr>
        <w:t xml:space="preserve"> our ambition</w:t>
      </w:r>
      <w:r w:rsidR="00B564EC" w:rsidRPr="003D6FC2">
        <w:rPr>
          <w:sz w:val="22"/>
        </w:rPr>
        <w:t xml:space="preserve">. The prognosis, against a background of global uncertainty and investors seeking safe havens (notably the record </w:t>
      </w:r>
      <w:proofErr w:type="gramStart"/>
      <w:r w:rsidR="00B564EC" w:rsidRPr="003D6FC2">
        <w:rPr>
          <w:sz w:val="22"/>
        </w:rPr>
        <w:t>increase  in</w:t>
      </w:r>
      <w:proofErr w:type="gramEnd"/>
      <w:r w:rsidR="00B564EC" w:rsidRPr="003D6FC2">
        <w:rPr>
          <w:sz w:val="22"/>
        </w:rPr>
        <w:t xml:space="preserve"> gold prices) is that attracting investments into the relatively risky and untested nature market will continue to be challenging. We have substantial work to do to convince investors of the need to add nature investments as part of their diversified risk portfolio strategies</w:t>
      </w:r>
      <w:r w:rsidR="00221666" w:rsidRPr="003D6FC2">
        <w:rPr>
          <w:sz w:val="22"/>
        </w:rPr>
        <w:t>. The soon to be published investment portfolio will help us make progress.</w:t>
      </w:r>
      <w:r w:rsidR="0010312D" w:rsidRPr="00183F41">
        <w:rPr>
          <w:szCs w:val="24"/>
        </w:rPr>
        <w:br w:type="page"/>
      </w:r>
    </w:p>
    <w:p w14:paraId="79B55A03" w14:textId="7FDAA361" w:rsidR="00957674" w:rsidRPr="009C29B2" w:rsidRDefault="00957674" w:rsidP="00957674">
      <w:pPr>
        <w:pStyle w:val="Heading1"/>
        <w:rPr>
          <w:sz w:val="24"/>
          <w:szCs w:val="24"/>
        </w:rPr>
      </w:pPr>
      <w:r w:rsidRPr="009C29B2">
        <w:rPr>
          <w:sz w:val="24"/>
          <w:szCs w:val="24"/>
        </w:rPr>
        <w:lastRenderedPageBreak/>
        <w:t>Quarterly Commentary</w:t>
      </w:r>
    </w:p>
    <w:p w14:paraId="3D4B2F1C" w14:textId="77777777" w:rsidR="00957674" w:rsidRPr="005B10E7" w:rsidRDefault="00957674" w:rsidP="00957674">
      <w:pPr>
        <w:pStyle w:val="Heading2"/>
        <w:rPr>
          <w:rFonts w:ascii="Calibri" w:eastAsia="Calibri" w:hAnsi="Calibri" w:cs="Calibri"/>
          <w:bCs/>
          <w:szCs w:val="24"/>
        </w:rPr>
      </w:pPr>
      <w:r w:rsidRPr="005B10E7">
        <w:rPr>
          <w:rFonts w:ascii="Calibri" w:eastAsia="Calibri" w:hAnsi="Calibri" w:cs="Calibri"/>
          <w:bCs/>
          <w:szCs w:val="24"/>
        </w:rPr>
        <w:t>Achievements in the Quarter</w:t>
      </w:r>
    </w:p>
    <w:p w14:paraId="6E0C3AE4" w14:textId="7FA939C4" w:rsidR="00C318E7" w:rsidRDefault="00C318E7" w:rsidP="00105CBE">
      <w:pPr>
        <w:pStyle w:val="ListParagraph"/>
        <w:numPr>
          <w:ilvl w:val="0"/>
          <w:numId w:val="1"/>
        </w:numPr>
        <w:spacing w:after="0"/>
        <w:ind w:left="357" w:hanging="357"/>
        <w:rPr>
          <w:rFonts w:ascii="Calibri" w:eastAsia="Calibri" w:hAnsi="Calibri" w:cs="Calibri"/>
          <w:sz w:val="22"/>
        </w:rPr>
      </w:pPr>
      <w:bookmarkStart w:id="8" w:name="_Hlk220486074"/>
      <w:r>
        <w:rPr>
          <w:rFonts w:ascii="Calibri" w:eastAsia="Calibri" w:hAnsi="Calibri" w:cs="Calibri"/>
          <w:sz w:val="22"/>
        </w:rPr>
        <w:t>We had a</w:t>
      </w:r>
      <w:r w:rsidRPr="00C318E7">
        <w:rPr>
          <w:rFonts w:ascii="Calibri" w:eastAsia="Calibri" w:hAnsi="Calibri" w:cs="Calibri"/>
          <w:sz w:val="22"/>
        </w:rPr>
        <w:t xml:space="preserve"> strong start to year 1 of the new SBS Action Plan with close to 50% of NatureScot led or co-led actions either completed or ‘Green’.</w:t>
      </w:r>
    </w:p>
    <w:p w14:paraId="324A6D46" w14:textId="77777777" w:rsidR="00105CBE" w:rsidRPr="00C318E7" w:rsidRDefault="00105CBE" w:rsidP="00105CBE">
      <w:pPr>
        <w:pStyle w:val="ListParagraph"/>
        <w:spacing w:after="0"/>
        <w:ind w:left="357"/>
        <w:rPr>
          <w:rFonts w:ascii="Calibri" w:eastAsia="Calibri" w:hAnsi="Calibri" w:cs="Calibri"/>
          <w:sz w:val="22"/>
        </w:rPr>
      </w:pPr>
    </w:p>
    <w:bookmarkEnd w:id="8"/>
    <w:p w14:paraId="04725F71" w14:textId="10617789" w:rsidR="00105CBE"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We delivered high-quality responses for three complex Accelerated Strategic Transmission Investment (ASTI) energy transmission cases, meeting challenging deadlines set by Energy Consenting Unit (ECU).</w:t>
      </w:r>
    </w:p>
    <w:p w14:paraId="02657CDE" w14:textId="77777777" w:rsidR="00105CBE" w:rsidRPr="00105CBE" w:rsidRDefault="00105CBE" w:rsidP="00105CBE">
      <w:pPr>
        <w:spacing w:after="0"/>
        <w:rPr>
          <w:rFonts w:ascii="Calibri" w:eastAsia="Calibri" w:hAnsi="Calibri" w:cs="Calibri"/>
          <w:sz w:val="22"/>
        </w:rPr>
      </w:pPr>
    </w:p>
    <w:p w14:paraId="2860232E"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We completed the revised Muirburn Code and Muirburn licensing scheme</w:t>
      </w:r>
      <w:r>
        <w:rPr>
          <w:rFonts w:ascii="Calibri" w:eastAsia="Calibri" w:hAnsi="Calibri" w:cs="Calibri"/>
          <w:sz w:val="22"/>
        </w:rPr>
        <w:t xml:space="preserve"> </w:t>
      </w:r>
      <w:r w:rsidRPr="00895AC6">
        <w:rPr>
          <w:rFonts w:ascii="Calibri" w:eastAsia="Calibri" w:hAnsi="Calibri" w:cs="Calibri"/>
          <w:sz w:val="22"/>
        </w:rPr>
        <w:t>ready for launch.</w:t>
      </w:r>
    </w:p>
    <w:p w14:paraId="14C01FF9" w14:textId="77777777" w:rsidR="00105CBE" w:rsidRPr="00105CBE" w:rsidRDefault="00105CBE" w:rsidP="00105CBE">
      <w:pPr>
        <w:spacing w:after="0"/>
        <w:rPr>
          <w:rFonts w:ascii="Calibri" w:eastAsia="Calibri" w:hAnsi="Calibri" w:cs="Calibri"/>
          <w:sz w:val="22"/>
        </w:rPr>
      </w:pPr>
    </w:p>
    <w:p w14:paraId="0B326C6A"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We were granted a highly commended Nature of Scotland Award for our work on increasing workforce capacity for peatland restoration</w:t>
      </w:r>
      <w:r w:rsidRPr="00AC2E4F">
        <w:rPr>
          <w:rFonts w:ascii="Calibri" w:eastAsia="Calibri" w:hAnsi="Calibri" w:cs="Calibri"/>
          <w:sz w:val="22"/>
        </w:rPr>
        <w:t xml:space="preserve"> </w:t>
      </w:r>
    </w:p>
    <w:p w14:paraId="1C1BFCDD" w14:textId="77777777" w:rsidR="00105CBE" w:rsidRPr="00105CBE" w:rsidRDefault="00105CBE" w:rsidP="00105CBE">
      <w:pPr>
        <w:spacing w:after="0"/>
        <w:rPr>
          <w:rFonts w:ascii="Calibri" w:eastAsia="Calibri" w:hAnsi="Calibri" w:cs="Calibri"/>
          <w:sz w:val="22"/>
        </w:rPr>
      </w:pPr>
    </w:p>
    <w:p w14:paraId="2875C3AD"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INNS action plan out for external engagement and successful</w:t>
      </w:r>
      <w:r>
        <w:rPr>
          <w:rFonts w:ascii="Calibri" w:eastAsia="Calibri" w:hAnsi="Calibri" w:cs="Calibri"/>
          <w:sz w:val="22"/>
        </w:rPr>
        <w:t>ly</w:t>
      </w:r>
      <w:r w:rsidRPr="00895AC6">
        <w:rPr>
          <w:rFonts w:ascii="Calibri" w:eastAsia="Calibri" w:hAnsi="Calibri" w:cs="Calibri"/>
          <w:sz w:val="22"/>
        </w:rPr>
        <w:t xml:space="preserve"> r</w:t>
      </w:r>
      <w:r>
        <w:rPr>
          <w:rFonts w:ascii="Calibri" w:eastAsia="Calibri" w:hAnsi="Calibri" w:cs="Calibri"/>
          <w:sz w:val="22"/>
        </w:rPr>
        <w:t>an</w:t>
      </w:r>
      <w:r w:rsidRPr="00895AC6">
        <w:rPr>
          <w:rFonts w:ascii="Calibri" w:eastAsia="Calibri" w:hAnsi="Calibri" w:cs="Calibri"/>
          <w:sz w:val="22"/>
        </w:rPr>
        <w:t xml:space="preserve"> INNS finance summit.</w:t>
      </w:r>
    </w:p>
    <w:p w14:paraId="055291C0" w14:textId="77777777" w:rsidR="00105CBE" w:rsidRPr="00105CBE" w:rsidRDefault="00105CBE" w:rsidP="00105CBE">
      <w:pPr>
        <w:spacing w:after="0"/>
        <w:rPr>
          <w:rFonts w:ascii="Calibri" w:eastAsia="Calibri" w:hAnsi="Calibri" w:cs="Calibri"/>
          <w:sz w:val="22"/>
        </w:rPr>
      </w:pPr>
    </w:p>
    <w:p w14:paraId="20BEF22F" w14:textId="20A487CB" w:rsidR="00105CBE"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 xml:space="preserve">We established an internal project team to deliver cost recovery for offshore wind </w:t>
      </w:r>
      <w:r w:rsidR="00C25232" w:rsidRPr="00895AC6">
        <w:rPr>
          <w:rFonts w:ascii="Calibri" w:eastAsia="Calibri" w:hAnsi="Calibri" w:cs="Calibri"/>
          <w:sz w:val="22"/>
        </w:rPr>
        <w:t>advice</w:t>
      </w:r>
      <w:r w:rsidR="00C25232">
        <w:rPr>
          <w:rFonts w:ascii="Calibri" w:eastAsia="Calibri" w:hAnsi="Calibri" w:cs="Calibri"/>
          <w:sz w:val="22"/>
        </w:rPr>
        <w:t xml:space="preserve">, </w:t>
      </w:r>
      <w:r w:rsidR="00C25232" w:rsidRPr="00895AC6">
        <w:rPr>
          <w:rFonts w:ascii="Calibri" w:eastAsia="Calibri" w:hAnsi="Calibri" w:cs="Calibri"/>
          <w:sz w:val="22"/>
        </w:rPr>
        <w:t>following</w:t>
      </w:r>
      <w:r w:rsidRPr="00895AC6">
        <w:rPr>
          <w:rFonts w:ascii="Calibri" w:eastAsia="Calibri" w:hAnsi="Calibri" w:cs="Calibri"/>
          <w:sz w:val="22"/>
        </w:rPr>
        <w:t xml:space="preserve"> consultation and feedback from industry.</w:t>
      </w:r>
    </w:p>
    <w:p w14:paraId="7D1766C4" w14:textId="77777777" w:rsidR="00105CBE" w:rsidRPr="00105CBE" w:rsidRDefault="00105CBE" w:rsidP="00105CBE">
      <w:pPr>
        <w:spacing w:after="0"/>
        <w:rPr>
          <w:rFonts w:ascii="Calibri" w:eastAsia="Calibri" w:hAnsi="Calibri" w:cs="Calibri"/>
          <w:sz w:val="22"/>
        </w:rPr>
      </w:pPr>
    </w:p>
    <w:p w14:paraId="66D8769D"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 xml:space="preserve">We completed the Scottish Biodiversity List in consultation with </w:t>
      </w:r>
      <w:proofErr w:type="spellStart"/>
      <w:r w:rsidRPr="00895AC6">
        <w:rPr>
          <w:rFonts w:ascii="Calibri" w:eastAsia="Calibri" w:hAnsi="Calibri" w:cs="Calibri"/>
          <w:sz w:val="22"/>
        </w:rPr>
        <w:t>eNGOs</w:t>
      </w:r>
      <w:proofErr w:type="spellEnd"/>
      <w:r w:rsidRPr="00895AC6">
        <w:rPr>
          <w:rFonts w:ascii="Calibri" w:eastAsia="Calibri" w:hAnsi="Calibri" w:cs="Calibri"/>
          <w:sz w:val="22"/>
        </w:rPr>
        <w:t xml:space="preserve"> and partner agencies. The list is </w:t>
      </w:r>
      <w:r>
        <w:rPr>
          <w:rFonts w:ascii="Calibri" w:eastAsia="Calibri" w:hAnsi="Calibri" w:cs="Calibri"/>
          <w:sz w:val="22"/>
        </w:rPr>
        <w:t>now much</w:t>
      </w:r>
      <w:r w:rsidRPr="00895AC6">
        <w:rPr>
          <w:rFonts w:ascii="Calibri" w:eastAsia="Calibri" w:hAnsi="Calibri" w:cs="Calibri"/>
          <w:sz w:val="22"/>
        </w:rPr>
        <w:t xml:space="preserve"> shorter </w:t>
      </w:r>
      <w:r>
        <w:rPr>
          <w:rFonts w:ascii="Calibri" w:eastAsia="Calibri" w:hAnsi="Calibri" w:cs="Calibri"/>
          <w:sz w:val="22"/>
        </w:rPr>
        <w:t>as</w:t>
      </w:r>
      <w:r w:rsidRPr="00895AC6">
        <w:rPr>
          <w:rFonts w:ascii="Calibri" w:eastAsia="Calibri" w:hAnsi="Calibri" w:cs="Calibri"/>
          <w:sz w:val="22"/>
        </w:rPr>
        <w:t xml:space="preserve"> </w:t>
      </w:r>
      <w:r>
        <w:rPr>
          <w:rFonts w:ascii="Calibri" w:eastAsia="Calibri" w:hAnsi="Calibri" w:cs="Calibri"/>
          <w:sz w:val="22"/>
        </w:rPr>
        <w:t xml:space="preserve">we </w:t>
      </w:r>
      <w:r w:rsidRPr="00895AC6">
        <w:rPr>
          <w:rFonts w:ascii="Calibri" w:eastAsia="Calibri" w:hAnsi="Calibri" w:cs="Calibri"/>
          <w:sz w:val="22"/>
        </w:rPr>
        <w:t>started with a different premise (species we can take action to help rather than ones that are exceedingly rare) that has largely been accepted by partners.</w:t>
      </w:r>
    </w:p>
    <w:p w14:paraId="4EC0EC12" w14:textId="77777777" w:rsidR="00105CBE" w:rsidRPr="00105CBE" w:rsidRDefault="00105CBE" w:rsidP="00105CBE">
      <w:pPr>
        <w:spacing w:after="0"/>
        <w:rPr>
          <w:rFonts w:ascii="Calibri" w:eastAsia="Calibri" w:hAnsi="Calibri" w:cs="Calibri"/>
          <w:sz w:val="22"/>
        </w:rPr>
      </w:pPr>
    </w:p>
    <w:p w14:paraId="194B5ECC"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The Cabinet Secretary approved NatureScot’s Corporate Plan for 2022-26.</w:t>
      </w:r>
    </w:p>
    <w:p w14:paraId="1FB6C3AE" w14:textId="77777777" w:rsidR="00105CBE" w:rsidRPr="00105CBE" w:rsidRDefault="00105CBE" w:rsidP="00105CBE">
      <w:pPr>
        <w:spacing w:after="0"/>
        <w:rPr>
          <w:rFonts w:ascii="Calibri" w:eastAsia="Calibri" w:hAnsi="Calibri" w:cs="Calibri"/>
          <w:sz w:val="22"/>
        </w:rPr>
      </w:pPr>
    </w:p>
    <w:p w14:paraId="7B8071F3" w14:textId="77777777" w:rsidR="00957674" w:rsidRPr="00895AC6" w:rsidRDefault="00957674" w:rsidP="00957674">
      <w:pPr>
        <w:pStyle w:val="ListParagraph"/>
        <w:numPr>
          <w:ilvl w:val="0"/>
          <w:numId w:val="1"/>
        </w:numPr>
        <w:rPr>
          <w:rFonts w:ascii="Calibri" w:eastAsia="Calibri" w:hAnsi="Calibri" w:cs="Calibri"/>
          <w:sz w:val="22"/>
        </w:rPr>
      </w:pPr>
      <w:r w:rsidRPr="00895AC6">
        <w:rPr>
          <w:rFonts w:ascii="Calibri" w:eastAsia="Calibri" w:hAnsi="Calibri" w:cs="Calibri"/>
          <w:sz w:val="22"/>
        </w:rPr>
        <w:t>SG signed off the Business case for the Perth office relocation.</w:t>
      </w:r>
    </w:p>
    <w:p w14:paraId="09A0802D" w14:textId="77777777" w:rsidR="00957674" w:rsidRPr="005B10E7" w:rsidRDefault="00957674" w:rsidP="00957674">
      <w:pPr>
        <w:pStyle w:val="Heading2"/>
        <w:rPr>
          <w:rFonts w:ascii="Calibri" w:eastAsia="Calibri" w:hAnsi="Calibri" w:cs="Calibri"/>
          <w:bCs/>
          <w:szCs w:val="24"/>
        </w:rPr>
      </w:pPr>
      <w:r w:rsidRPr="005B10E7">
        <w:rPr>
          <w:rFonts w:ascii="Calibri" w:eastAsia="Calibri" w:hAnsi="Calibri" w:cs="Calibri"/>
          <w:bCs/>
          <w:szCs w:val="24"/>
        </w:rPr>
        <w:t>Challenges in the Quarter</w:t>
      </w:r>
    </w:p>
    <w:p w14:paraId="6D61EC6D"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 xml:space="preserve">Electricity Act energy casework continues to present high demand for individual cases and potential PLIs. We are working closely with ECU and DPEA (Planning </w:t>
      </w:r>
      <w:r>
        <w:rPr>
          <w:rFonts w:ascii="Calibri" w:eastAsia="Calibri" w:hAnsi="Calibri" w:cs="Calibri"/>
          <w:sz w:val="22"/>
        </w:rPr>
        <w:t>and</w:t>
      </w:r>
      <w:r w:rsidRPr="00895AC6">
        <w:rPr>
          <w:rFonts w:ascii="Calibri" w:eastAsia="Calibri" w:hAnsi="Calibri" w:cs="Calibri"/>
          <w:sz w:val="22"/>
        </w:rPr>
        <w:t xml:space="preserve"> Environmental Appeals Division) in SG to better align at a strategic level.</w:t>
      </w:r>
    </w:p>
    <w:p w14:paraId="6559229F" w14:textId="77777777" w:rsidR="00105CBE" w:rsidRPr="00895AC6" w:rsidRDefault="00105CBE" w:rsidP="00105CBE">
      <w:pPr>
        <w:pStyle w:val="ListParagraph"/>
        <w:spacing w:after="0"/>
        <w:ind w:left="357"/>
        <w:rPr>
          <w:rFonts w:ascii="Calibri" w:eastAsia="Calibri" w:hAnsi="Calibri" w:cs="Calibri"/>
          <w:sz w:val="22"/>
        </w:rPr>
      </w:pPr>
    </w:p>
    <w:p w14:paraId="60B806A2"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 xml:space="preserve">We </w:t>
      </w:r>
      <w:r>
        <w:rPr>
          <w:rFonts w:ascii="Calibri" w:eastAsia="Calibri" w:hAnsi="Calibri" w:cs="Calibri"/>
          <w:sz w:val="22"/>
        </w:rPr>
        <w:t>are</w:t>
      </w:r>
      <w:r w:rsidRPr="00895AC6">
        <w:rPr>
          <w:rFonts w:ascii="Calibri" w:eastAsia="Calibri" w:hAnsi="Calibri" w:cs="Calibri"/>
          <w:sz w:val="22"/>
        </w:rPr>
        <w:t xml:space="preserve"> concerned about the lack of pace with Nature Finance work</w:t>
      </w:r>
      <w:r>
        <w:rPr>
          <w:rFonts w:ascii="Calibri" w:eastAsia="Calibri" w:hAnsi="Calibri" w:cs="Calibri"/>
          <w:sz w:val="22"/>
        </w:rPr>
        <w:t xml:space="preserve"> b</w:t>
      </w:r>
      <w:r w:rsidRPr="00895AC6">
        <w:rPr>
          <w:rFonts w:ascii="Calibri" w:eastAsia="Calibri" w:hAnsi="Calibri" w:cs="Calibri"/>
          <w:sz w:val="22"/>
        </w:rPr>
        <w:t>oth in terms of the investor market being slow and cautious demand coming forward from landowners.</w:t>
      </w:r>
    </w:p>
    <w:p w14:paraId="3998107C" w14:textId="77777777" w:rsidR="00105CBE" w:rsidRPr="00105CBE" w:rsidRDefault="00105CBE" w:rsidP="00105CBE">
      <w:pPr>
        <w:spacing w:after="0"/>
        <w:rPr>
          <w:rFonts w:ascii="Calibri" w:eastAsia="Calibri" w:hAnsi="Calibri" w:cs="Calibri"/>
          <w:sz w:val="22"/>
        </w:rPr>
      </w:pPr>
    </w:p>
    <w:p w14:paraId="0EE36A91"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 xml:space="preserve">Work on developing the Investment Prospectus is progressing well towards delivering the MVP. This is a novel area of </w:t>
      </w:r>
      <w:proofErr w:type="gramStart"/>
      <w:r w:rsidRPr="00895AC6">
        <w:rPr>
          <w:rFonts w:ascii="Calibri" w:eastAsia="Calibri" w:hAnsi="Calibri" w:cs="Calibri"/>
          <w:sz w:val="22"/>
        </w:rPr>
        <w:t>work</w:t>
      </w:r>
      <w:proofErr w:type="gramEnd"/>
      <w:r w:rsidRPr="00895AC6">
        <w:rPr>
          <w:rFonts w:ascii="Calibri" w:eastAsia="Calibri" w:hAnsi="Calibri" w:cs="Calibri"/>
          <w:sz w:val="22"/>
        </w:rPr>
        <w:t xml:space="preserve"> and</w:t>
      </w:r>
      <w:r>
        <w:rPr>
          <w:rFonts w:ascii="Calibri" w:eastAsia="Calibri" w:hAnsi="Calibri" w:cs="Calibri"/>
          <w:sz w:val="22"/>
        </w:rPr>
        <w:t xml:space="preserve"> we</w:t>
      </w:r>
      <w:r w:rsidRPr="00895AC6">
        <w:rPr>
          <w:rFonts w:ascii="Calibri" w:eastAsia="Calibri" w:hAnsi="Calibri" w:cs="Calibri"/>
          <w:sz w:val="22"/>
        </w:rPr>
        <w:t xml:space="preserve"> will allow time for testing and</w:t>
      </w:r>
      <w:r>
        <w:rPr>
          <w:rFonts w:ascii="Calibri" w:eastAsia="Calibri" w:hAnsi="Calibri" w:cs="Calibri"/>
          <w:sz w:val="22"/>
        </w:rPr>
        <w:t xml:space="preserve"> contingencies</w:t>
      </w:r>
      <w:r w:rsidRPr="00895AC6">
        <w:rPr>
          <w:rFonts w:ascii="Calibri" w:eastAsia="Calibri" w:hAnsi="Calibri" w:cs="Calibri"/>
          <w:sz w:val="22"/>
        </w:rPr>
        <w:t>.</w:t>
      </w:r>
    </w:p>
    <w:p w14:paraId="53DDE5CD" w14:textId="77777777" w:rsidR="00105CBE" w:rsidRPr="00105CBE" w:rsidRDefault="00105CBE" w:rsidP="00105CBE">
      <w:pPr>
        <w:spacing w:after="0"/>
        <w:rPr>
          <w:rFonts w:ascii="Calibri" w:eastAsia="Calibri" w:hAnsi="Calibri" w:cs="Calibri"/>
          <w:sz w:val="22"/>
        </w:rPr>
      </w:pPr>
    </w:p>
    <w:p w14:paraId="457BFDDD"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The Marine Protection consultation was postponed, affecting our programme of work for staff and engagement with stakeholders.  We are considering next steps with Marine Directorate.</w:t>
      </w:r>
    </w:p>
    <w:p w14:paraId="3FC8C748" w14:textId="77777777" w:rsidR="00105CBE" w:rsidRPr="00105CBE" w:rsidRDefault="00105CBE" w:rsidP="00105CBE">
      <w:pPr>
        <w:spacing w:after="0"/>
        <w:rPr>
          <w:rFonts w:ascii="Calibri" w:eastAsia="Calibri" w:hAnsi="Calibri" w:cs="Calibri"/>
          <w:sz w:val="22"/>
        </w:rPr>
      </w:pPr>
    </w:p>
    <w:p w14:paraId="40C6E22C"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The cancellation of the second SBS Portfolio Board because of lack of availability raises concerns.</w:t>
      </w:r>
    </w:p>
    <w:p w14:paraId="58856F18" w14:textId="77777777" w:rsidR="00105CBE" w:rsidRPr="00105CBE" w:rsidRDefault="00105CBE" w:rsidP="00105CBE">
      <w:pPr>
        <w:spacing w:after="0"/>
        <w:rPr>
          <w:rFonts w:ascii="Calibri" w:eastAsia="Calibri" w:hAnsi="Calibri" w:cs="Calibri"/>
          <w:sz w:val="22"/>
        </w:rPr>
      </w:pPr>
    </w:p>
    <w:p w14:paraId="28DF987D"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lastRenderedPageBreak/>
        <w:t>Amendments passed at Stage 2 of the Natural Environment Bill could be challenging for NatureScot.  We continue to liaise with the Bill team and provide information to support progress.</w:t>
      </w:r>
    </w:p>
    <w:p w14:paraId="41049246" w14:textId="77777777" w:rsidR="00105CBE" w:rsidRPr="00105CBE" w:rsidRDefault="00105CBE" w:rsidP="00105CBE">
      <w:pPr>
        <w:spacing w:after="0"/>
        <w:rPr>
          <w:rFonts w:ascii="Calibri" w:eastAsia="Calibri" w:hAnsi="Calibri" w:cs="Calibri"/>
          <w:sz w:val="22"/>
        </w:rPr>
      </w:pPr>
    </w:p>
    <w:p w14:paraId="24E9B978"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Increase in the volumes of FOI up 27% to 100 received in the quarter. This is causing significant capacity issues and the level still relating to Guga poses a heightened reputational risk.</w:t>
      </w:r>
    </w:p>
    <w:p w14:paraId="41BE9BD5" w14:textId="77777777" w:rsidR="00105CBE" w:rsidRPr="00105CBE" w:rsidRDefault="00105CBE" w:rsidP="00105CBE">
      <w:pPr>
        <w:spacing w:after="0"/>
        <w:rPr>
          <w:rFonts w:ascii="Calibri" w:eastAsia="Calibri" w:hAnsi="Calibri" w:cs="Calibri"/>
          <w:sz w:val="22"/>
        </w:rPr>
      </w:pPr>
    </w:p>
    <w:p w14:paraId="357D0411" w14:textId="77777777"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Slow pace of Single Scottish Estate (Inverness and Dingwall) review</w:t>
      </w:r>
      <w:r>
        <w:rPr>
          <w:rFonts w:ascii="Calibri" w:eastAsia="Calibri" w:hAnsi="Calibri" w:cs="Calibri"/>
          <w:sz w:val="22"/>
        </w:rPr>
        <w:t>.</w:t>
      </w:r>
    </w:p>
    <w:p w14:paraId="67EB9451" w14:textId="77777777" w:rsidR="00105CBE" w:rsidRPr="00105CBE" w:rsidRDefault="00105CBE" w:rsidP="00105CBE">
      <w:pPr>
        <w:spacing w:after="0"/>
        <w:rPr>
          <w:rFonts w:ascii="Calibri" w:eastAsia="Calibri" w:hAnsi="Calibri" w:cs="Calibri"/>
          <w:sz w:val="22"/>
        </w:rPr>
      </w:pPr>
    </w:p>
    <w:p w14:paraId="1811C0FE" w14:textId="0B000423"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 xml:space="preserve">Managing transitions in key </w:t>
      </w:r>
      <w:r>
        <w:rPr>
          <w:rFonts w:ascii="Calibri" w:eastAsia="Calibri" w:hAnsi="Calibri" w:cs="Calibri"/>
          <w:sz w:val="22"/>
        </w:rPr>
        <w:t xml:space="preserve">support services </w:t>
      </w:r>
      <w:r w:rsidRPr="00895AC6">
        <w:rPr>
          <w:rFonts w:ascii="Calibri" w:eastAsia="Calibri" w:hAnsi="Calibri" w:cs="Calibri"/>
          <w:sz w:val="22"/>
        </w:rPr>
        <w:t>posts due to retirements and resignations</w:t>
      </w:r>
      <w:r>
        <w:rPr>
          <w:rFonts w:ascii="Calibri" w:eastAsia="Calibri" w:hAnsi="Calibri" w:cs="Calibri"/>
          <w:sz w:val="22"/>
        </w:rPr>
        <w:t>.</w:t>
      </w:r>
    </w:p>
    <w:p w14:paraId="2D1404FE" w14:textId="77777777" w:rsidR="00105CBE" w:rsidRPr="00105CBE" w:rsidRDefault="00105CBE" w:rsidP="00105CBE">
      <w:pPr>
        <w:spacing w:after="0"/>
        <w:rPr>
          <w:rFonts w:ascii="Calibri" w:eastAsia="Calibri" w:hAnsi="Calibri" w:cs="Calibri"/>
          <w:sz w:val="22"/>
        </w:rPr>
      </w:pPr>
    </w:p>
    <w:p w14:paraId="21927AA2" w14:textId="0F1CF11E" w:rsidR="00EE65FB" w:rsidRPr="00895AC6" w:rsidRDefault="00EE65FB" w:rsidP="00957674">
      <w:pPr>
        <w:pStyle w:val="ListParagraph"/>
        <w:numPr>
          <w:ilvl w:val="0"/>
          <w:numId w:val="1"/>
        </w:numPr>
        <w:rPr>
          <w:rFonts w:ascii="Calibri" w:eastAsia="Calibri" w:hAnsi="Calibri" w:cs="Calibri"/>
          <w:sz w:val="22"/>
        </w:rPr>
      </w:pPr>
      <w:r>
        <w:rPr>
          <w:rFonts w:ascii="Calibri" w:eastAsia="Calibri" w:hAnsi="Calibri" w:cs="Calibri"/>
          <w:sz w:val="22"/>
        </w:rPr>
        <w:t xml:space="preserve">Discussions with </w:t>
      </w:r>
      <w:proofErr w:type="spellStart"/>
      <w:r>
        <w:rPr>
          <w:rFonts w:ascii="Calibri" w:eastAsia="Calibri" w:hAnsi="Calibri" w:cs="Calibri"/>
          <w:sz w:val="22"/>
        </w:rPr>
        <w:t>eNG</w:t>
      </w:r>
      <w:r w:rsidR="00C318E7">
        <w:rPr>
          <w:rFonts w:ascii="Calibri" w:eastAsia="Calibri" w:hAnsi="Calibri" w:cs="Calibri"/>
          <w:sz w:val="22"/>
        </w:rPr>
        <w:t>Os</w:t>
      </w:r>
      <w:proofErr w:type="spellEnd"/>
      <w:r>
        <w:rPr>
          <w:rFonts w:ascii="Calibri" w:eastAsia="Calibri" w:hAnsi="Calibri" w:cs="Calibri"/>
          <w:sz w:val="22"/>
        </w:rPr>
        <w:t xml:space="preserve"> over 30x30 are not progressing as fast </w:t>
      </w:r>
      <w:r w:rsidR="00C318E7">
        <w:rPr>
          <w:rFonts w:ascii="Calibri" w:eastAsia="Calibri" w:hAnsi="Calibri" w:cs="Calibri"/>
          <w:sz w:val="22"/>
        </w:rPr>
        <w:t>as we would like</w:t>
      </w:r>
      <w:r w:rsidR="00105CBE">
        <w:rPr>
          <w:rFonts w:ascii="Calibri" w:eastAsia="Calibri" w:hAnsi="Calibri" w:cs="Calibri"/>
          <w:sz w:val="22"/>
        </w:rPr>
        <w:t>.</w:t>
      </w:r>
    </w:p>
    <w:p w14:paraId="7C258851" w14:textId="77777777" w:rsidR="00957674" w:rsidRPr="005B10E7" w:rsidRDefault="00957674" w:rsidP="00957674">
      <w:pPr>
        <w:pStyle w:val="Heading2"/>
        <w:rPr>
          <w:rFonts w:ascii="Calibri" w:eastAsia="Calibri" w:hAnsi="Calibri" w:cs="Calibri"/>
          <w:bCs/>
          <w:szCs w:val="24"/>
        </w:rPr>
      </w:pPr>
      <w:r w:rsidRPr="005B10E7">
        <w:rPr>
          <w:rFonts w:ascii="Calibri" w:eastAsia="Calibri" w:hAnsi="Calibri" w:cs="Calibri"/>
          <w:bCs/>
          <w:szCs w:val="24"/>
        </w:rPr>
        <w:t>Forward Look</w:t>
      </w:r>
    </w:p>
    <w:p w14:paraId="46EB8688" w14:textId="77777777" w:rsidR="00957674" w:rsidRDefault="00957674" w:rsidP="00105CBE">
      <w:pPr>
        <w:pStyle w:val="ListParagraph"/>
        <w:numPr>
          <w:ilvl w:val="0"/>
          <w:numId w:val="1"/>
        </w:numPr>
        <w:rPr>
          <w:rFonts w:ascii="Calibri" w:eastAsia="Calibri" w:hAnsi="Calibri" w:cs="Calibri"/>
          <w:sz w:val="22"/>
        </w:rPr>
      </w:pPr>
      <w:r w:rsidRPr="00895AC6">
        <w:rPr>
          <w:rFonts w:ascii="Calibri" w:eastAsia="Calibri" w:hAnsi="Calibri" w:cs="Calibri"/>
          <w:sz w:val="22"/>
        </w:rPr>
        <w:t>Following the Gull Summit, we are preparing the Gull Action Plan via 4 regional events and a Local Authority grant scheme to support action on gulls ahead of the breeding season.</w:t>
      </w:r>
    </w:p>
    <w:p w14:paraId="36E98154" w14:textId="77777777" w:rsidR="00105CBE" w:rsidRPr="00895AC6" w:rsidRDefault="00105CBE" w:rsidP="00105CBE">
      <w:pPr>
        <w:pStyle w:val="ListParagraph"/>
        <w:ind w:left="360"/>
        <w:rPr>
          <w:rFonts w:ascii="Calibri" w:eastAsia="Calibri" w:hAnsi="Calibri" w:cs="Calibri"/>
          <w:sz w:val="22"/>
        </w:rPr>
      </w:pPr>
    </w:p>
    <w:p w14:paraId="790FFECC" w14:textId="13A4428A" w:rsidR="00105CBE"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80% of Peatland Action delivery (i.e. c9,000 ha of active restoration project work) will take place in Q4. This is high value, high risk work. We are committed to ensuring that the planned £10m spend is achieved.</w:t>
      </w:r>
    </w:p>
    <w:p w14:paraId="7BD0ACDE" w14:textId="77777777" w:rsidR="00105CBE" w:rsidRPr="00105CBE" w:rsidRDefault="00105CBE" w:rsidP="00105CBE">
      <w:pPr>
        <w:spacing w:after="0"/>
        <w:rPr>
          <w:rFonts w:ascii="Calibri" w:eastAsia="Calibri" w:hAnsi="Calibri" w:cs="Calibri"/>
          <w:sz w:val="22"/>
        </w:rPr>
      </w:pPr>
    </w:p>
    <w:p w14:paraId="4A8278EF" w14:textId="4A824B62" w:rsidR="00105CBE" w:rsidRPr="00105CBE"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We are working to secure SG AO approval to continue funding the Sea Eagle and Goose schemes.</w:t>
      </w:r>
    </w:p>
    <w:p w14:paraId="6D90D9D8" w14:textId="77777777" w:rsidR="00957674" w:rsidRDefault="00957674" w:rsidP="00105CBE">
      <w:pPr>
        <w:pStyle w:val="ListParagraph"/>
        <w:numPr>
          <w:ilvl w:val="0"/>
          <w:numId w:val="1"/>
        </w:numPr>
        <w:rPr>
          <w:rFonts w:ascii="Calibri" w:eastAsia="Calibri" w:hAnsi="Calibri" w:cs="Calibri"/>
          <w:sz w:val="22"/>
        </w:rPr>
      </w:pPr>
      <w:r w:rsidRPr="00895AC6">
        <w:rPr>
          <w:rFonts w:ascii="Calibri" w:eastAsia="Calibri" w:hAnsi="Calibri" w:cs="Calibri"/>
          <w:sz w:val="22"/>
        </w:rPr>
        <w:t>We will finalise charging rates and agreements for offshore wind cost recovery to enable implementation from 1 April 2026.</w:t>
      </w:r>
    </w:p>
    <w:p w14:paraId="5D8AB3F8" w14:textId="77777777" w:rsidR="00105CBE" w:rsidRPr="00895AC6" w:rsidRDefault="00105CBE" w:rsidP="00105CBE">
      <w:pPr>
        <w:pStyle w:val="ListParagraph"/>
        <w:ind w:left="360"/>
        <w:rPr>
          <w:rFonts w:ascii="Calibri" w:eastAsia="Calibri" w:hAnsi="Calibri" w:cs="Calibri"/>
          <w:sz w:val="22"/>
        </w:rPr>
      </w:pPr>
    </w:p>
    <w:p w14:paraId="2B49A6BE" w14:textId="20AA6BF2" w:rsidR="00105CBE"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We will finalise the governance process for Nature30 sites with the Protected Areas Committee (PAC) and rollout training on implementation for lead staff in each Ops area.</w:t>
      </w:r>
    </w:p>
    <w:p w14:paraId="11E7353E" w14:textId="77777777" w:rsidR="00105CBE" w:rsidRPr="00105CBE" w:rsidRDefault="00105CBE" w:rsidP="00105CBE">
      <w:pPr>
        <w:spacing w:after="0"/>
        <w:rPr>
          <w:rFonts w:ascii="Calibri" w:eastAsia="Calibri" w:hAnsi="Calibri" w:cs="Calibri"/>
          <w:sz w:val="22"/>
        </w:rPr>
      </w:pPr>
    </w:p>
    <w:p w14:paraId="13DE66BC" w14:textId="75B074FA"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SLT to review progress on NatureScot led actions in the SBS Delivery plan and consider corrective action for amber/red actions.</w:t>
      </w:r>
      <w:r w:rsidR="00842DBC">
        <w:rPr>
          <w:rFonts w:ascii="Calibri" w:eastAsia="Calibri" w:hAnsi="Calibri" w:cs="Calibri"/>
          <w:sz w:val="22"/>
        </w:rPr>
        <w:t xml:space="preserve"> </w:t>
      </w:r>
      <w:r w:rsidR="00065BA3">
        <w:rPr>
          <w:rFonts w:ascii="Calibri" w:eastAsia="Calibri" w:hAnsi="Calibri" w:cs="Calibri"/>
          <w:sz w:val="22"/>
        </w:rPr>
        <w:t>However,</w:t>
      </w:r>
      <w:r w:rsidR="00842DBC">
        <w:rPr>
          <w:rFonts w:ascii="Calibri" w:eastAsia="Calibri" w:hAnsi="Calibri" w:cs="Calibri"/>
          <w:sz w:val="22"/>
        </w:rPr>
        <w:t xml:space="preserve"> around half of the actions we are responsible for are rated as green.</w:t>
      </w:r>
    </w:p>
    <w:p w14:paraId="3222AD91" w14:textId="77777777" w:rsidR="00105CBE" w:rsidRPr="00105CBE" w:rsidRDefault="00105CBE" w:rsidP="00105CBE">
      <w:pPr>
        <w:spacing w:after="0"/>
        <w:rPr>
          <w:rFonts w:ascii="Calibri" w:eastAsia="Calibri" w:hAnsi="Calibri" w:cs="Calibri"/>
          <w:sz w:val="22"/>
        </w:rPr>
      </w:pPr>
    </w:p>
    <w:p w14:paraId="43C8641C" w14:textId="318C4721" w:rsidR="00957674" w:rsidRDefault="00957674" w:rsidP="00105CBE">
      <w:pPr>
        <w:pStyle w:val="ListParagraph"/>
        <w:numPr>
          <w:ilvl w:val="0"/>
          <w:numId w:val="1"/>
        </w:numPr>
        <w:spacing w:after="0"/>
        <w:ind w:left="357" w:hanging="357"/>
        <w:rPr>
          <w:rFonts w:ascii="Calibri" w:eastAsia="Calibri" w:hAnsi="Calibri" w:cs="Calibri"/>
          <w:sz w:val="22"/>
        </w:rPr>
      </w:pPr>
      <w:r w:rsidRPr="00895AC6">
        <w:rPr>
          <w:rFonts w:ascii="Calibri" w:eastAsia="Calibri" w:hAnsi="Calibri" w:cs="Calibri"/>
          <w:sz w:val="22"/>
        </w:rPr>
        <w:t xml:space="preserve">Preparation of Business Plan for 2026/27 in a very compressed timescale with </w:t>
      </w:r>
      <w:proofErr w:type="gramStart"/>
      <w:r w:rsidRPr="00895AC6">
        <w:rPr>
          <w:rFonts w:ascii="Calibri" w:eastAsia="Calibri" w:hAnsi="Calibri" w:cs="Calibri"/>
          <w:sz w:val="22"/>
        </w:rPr>
        <w:t>a number of</w:t>
      </w:r>
      <w:proofErr w:type="gramEnd"/>
      <w:r w:rsidRPr="00895AC6">
        <w:rPr>
          <w:rFonts w:ascii="Calibri" w:eastAsia="Calibri" w:hAnsi="Calibri" w:cs="Calibri"/>
          <w:sz w:val="22"/>
        </w:rPr>
        <w:t xml:space="preserve"> decisions to be made regarding budgets and delivery models</w:t>
      </w:r>
      <w:r>
        <w:rPr>
          <w:rFonts w:ascii="Calibri" w:eastAsia="Calibri" w:hAnsi="Calibri" w:cs="Calibri"/>
          <w:sz w:val="22"/>
        </w:rPr>
        <w:t>.</w:t>
      </w:r>
      <w:r w:rsidR="003820E6">
        <w:rPr>
          <w:rFonts w:ascii="Calibri" w:eastAsia="Calibri" w:hAnsi="Calibri" w:cs="Calibri"/>
          <w:sz w:val="22"/>
        </w:rPr>
        <w:t xml:space="preserve"> </w:t>
      </w:r>
      <w:r w:rsidRPr="003820E6">
        <w:rPr>
          <w:rFonts w:ascii="Calibri" w:eastAsia="Calibri" w:hAnsi="Calibri" w:cs="Calibri"/>
          <w:sz w:val="22"/>
        </w:rPr>
        <w:t>Launch of new Corporate Plan and refreshed NatureScot Way.</w:t>
      </w:r>
    </w:p>
    <w:p w14:paraId="3486ABE2" w14:textId="77777777" w:rsidR="00105CBE" w:rsidRPr="00105CBE" w:rsidRDefault="00105CBE" w:rsidP="00105CBE">
      <w:pPr>
        <w:spacing w:after="0"/>
        <w:rPr>
          <w:rFonts w:ascii="Calibri" w:eastAsia="Calibri" w:hAnsi="Calibri" w:cs="Calibri"/>
          <w:sz w:val="22"/>
        </w:rPr>
      </w:pPr>
    </w:p>
    <w:p w14:paraId="2E84520D" w14:textId="57878F1A" w:rsidR="00F937EC" w:rsidRPr="003820E6" w:rsidRDefault="00F937EC" w:rsidP="00957674">
      <w:pPr>
        <w:pStyle w:val="ListParagraph"/>
        <w:numPr>
          <w:ilvl w:val="0"/>
          <w:numId w:val="1"/>
        </w:numPr>
        <w:rPr>
          <w:rFonts w:ascii="Calibri" w:eastAsia="Calibri" w:hAnsi="Calibri" w:cs="Calibri"/>
          <w:sz w:val="22"/>
        </w:rPr>
      </w:pPr>
      <w:bookmarkStart w:id="9" w:name="_Hlk220486580"/>
      <w:r>
        <w:rPr>
          <w:rFonts w:ascii="Calibri" w:eastAsia="Calibri" w:hAnsi="Calibri" w:cs="Calibri"/>
          <w:sz w:val="22"/>
        </w:rPr>
        <w:t>As the pre-election period approaches, we are considering the possibility that progress on key nature-based policy initiatives may begin to slow down.</w:t>
      </w:r>
    </w:p>
    <w:bookmarkEnd w:id="9"/>
    <w:p w14:paraId="5DBF24D3" w14:textId="77777777" w:rsidR="00785F52" w:rsidRDefault="00785F52" w:rsidP="00785F52"/>
    <w:p w14:paraId="4C1B7889" w14:textId="3C4A8CC0" w:rsidR="00F937EC" w:rsidRDefault="00F937EC" w:rsidP="00785F52">
      <w:pPr>
        <w:sectPr w:rsidR="00F937EC" w:rsidSect="006B70EE">
          <w:headerReference w:type="default" r:id="rId13"/>
          <w:pgSz w:w="11906" w:h="16838"/>
          <w:pgMar w:top="993" w:right="1440" w:bottom="1440" w:left="1440" w:header="567" w:footer="708" w:gutter="0"/>
          <w:cols w:space="708"/>
          <w:docGrid w:linePitch="360"/>
        </w:sectPr>
      </w:pPr>
    </w:p>
    <w:bookmarkEnd w:id="7"/>
    <w:p w14:paraId="1FED882D" w14:textId="403F9CBA" w:rsidR="00590568" w:rsidRDefault="00B0014B" w:rsidP="00590568">
      <w:pPr>
        <w:pStyle w:val="Heading1"/>
        <w:rPr>
          <w:rFonts w:eastAsiaTheme="minorHAnsi"/>
        </w:rPr>
      </w:pPr>
      <w:r w:rsidRPr="00065524">
        <w:rPr>
          <w:rFonts w:eastAsiaTheme="minorHAnsi"/>
        </w:rPr>
        <w:lastRenderedPageBreak/>
        <w:t>A</w:t>
      </w:r>
      <w:r w:rsidR="00AD2E4D">
        <w:rPr>
          <w:rFonts w:eastAsiaTheme="minorHAnsi"/>
        </w:rPr>
        <w:t>ppendi</w:t>
      </w:r>
      <w:r w:rsidRPr="00065524">
        <w:rPr>
          <w:rFonts w:eastAsiaTheme="minorHAnsi"/>
        </w:rPr>
        <w:t xml:space="preserve">x 1 - </w:t>
      </w:r>
      <w:r w:rsidR="007B5077" w:rsidRPr="00065524">
        <w:rPr>
          <w:rFonts w:eastAsiaTheme="minorHAnsi"/>
        </w:rPr>
        <w:t xml:space="preserve">People </w:t>
      </w:r>
      <w:r w:rsidR="00E81E84">
        <w:rPr>
          <w:rFonts w:eastAsiaTheme="minorHAnsi"/>
        </w:rPr>
        <w:t>Report</w:t>
      </w:r>
    </w:p>
    <w:p w14:paraId="2E2893EE" w14:textId="00C8FD13" w:rsidR="00973CD0" w:rsidRPr="003D6FC2" w:rsidRDefault="00973CD0" w:rsidP="00973CD0">
      <w:pPr>
        <w:rPr>
          <w:sz w:val="22"/>
        </w:rPr>
      </w:pPr>
      <w:r w:rsidRPr="003D6FC2">
        <w:rPr>
          <w:sz w:val="22"/>
        </w:rPr>
        <w:t>Whilst the overall picture in terms of people metrics is positive, the People Programme rated amber due to capacity and skills pressures, alongside demands from transactional, business as usual work. We are investing in support and training to address some of these pressures, alongside refreshing the Programme for 2026/27 in response to the new Corporate Plan.</w:t>
      </w:r>
    </w:p>
    <w:p w14:paraId="14BDF552" w14:textId="77777777" w:rsidR="00590568" w:rsidRPr="004A12AF" w:rsidRDefault="00590568" w:rsidP="00590568">
      <w:pPr>
        <w:pStyle w:val="Heading2"/>
        <w:shd w:val="clear" w:color="auto" w:fill="007DC3"/>
        <w:ind w:left="-142" w:firstLine="142"/>
        <w:jc w:val="center"/>
        <w:rPr>
          <w:rFonts w:ascii="Calibri" w:hAnsi="Calibri" w:cs="Calibri"/>
          <w:szCs w:val="28"/>
        </w:rPr>
      </w:pPr>
    </w:p>
    <w:tbl>
      <w:tblPr>
        <w:tblStyle w:val="TableGridLight"/>
        <w:tblW w:w="5070" w:type="pct"/>
        <w:tblInd w:w="-147" w:type="dxa"/>
        <w:tblLayout w:type="fixed"/>
        <w:tblLook w:val="04A0" w:firstRow="1" w:lastRow="0" w:firstColumn="1" w:lastColumn="0" w:noHBand="0" w:noVBand="1"/>
      </w:tblPr>
      <w:tblGrid>
        <w:gridCol w:w="1557"/>
        <w:gridCol w:w="708"/>
        <w:gridCol w:w="5923"/>
        <w:gridCol w:w="883"/>
        <w:gridCol w:w="3089"/>
        <w:gridCol w:w="1983"/>
      </w:tblGrid>
      <w:tr w:rsidR="00590568" w14:paraId="0A788A74" w14:textId="77777777" w:rsidTr="00590568">
        <w:trPr>
          <w:trHeight w:val="143"/>
        </w:trPr>
        <w:tc>
          <w:tcPr>
            <w:tcW w:w="550" w:type="pct"/>
          </w:tcPr>
          <w:p w14:paraId="5679145E" w14:textId="77777777" w:rsidR="00590568" w:rsidRPr="001927EC" w:rsidRDefault="00590568" w:rsidP="006178AF">
            <w:pPr>
              <w:jc w:val="center"/>
              <w:rPr>
                <w:rFonts w:ascii="Calibri" w:hAnsi="Calibri" w:cs="Calibri"/>
                <w:b/>
                <w:bCs/>
              </w:rPr>
            </w:pPr>
            <w:r w:rsidRPr="001927EC">
              <w:rPr>
                <w:rFonts w:ascii="Calibri" w:hAnsi="Calibri" w:cs="Calibri"/>
                <w:b/>
                <w:bCs/>
              </w:rPr>
              <w:t>Measure</w:t>
            </w:r>
          </w:p>
        </w:tc>
        <w:tc>
          <w:tcPr>
            <w:tcW w:w="250" w:type="pct"/>
          </w:tcPr>
          <w:p w14:paraId="7E0F4238" w14:textId="77777777" w:rsidR="00590568" w:rsidRPr="001927EC" w:rsidRDefault="00590568" w:rsidP="006178AF">
            <w:pPr>
              <w:jc w:val="center"/>
              <w:rPr>
                <w:rFonts w:ascii="Calibri" w:hAnsi="Calibri" w:cs="Calibri"/>
                <w:b/>
                <w:bCs/>
              </w:rPr>
            </w:pPr>
            <w:r>
              <w:rPr>
                <w:rFonts w:ascii="Calibri" w:hAnsi="Calibri" w:cs="Calibri"/>
                <w:b/>
                <w:bCs/>
              </w:rPr>
              <w:t>RAG</w:t>
            </w:r>
          </w:p>
        </w:tc>
        <w:tc>
          <w:tcPr>
            <w:tcW w:w="2094" w:type="pct"/>
          </w:tcPr>
          <w:p w14:paraId="2A6C6A03" w14:textId="77777777" w:rsidR="00590568" w:rsidRPr="001927EC" w:rsidRDefault="00590568" w:rsidP="006178AF">
            <w:pPr>
              <w:jc w:val="center"/>
              <w:rPr>
                <w:rFonts w:ascii="Calibri" w:hAnsi="Calibri" w:cs="Calibri"/>
                <w:b/>
                <w:bCs/>
              </w:rPr>
            </w:pPr>
            <w:r w:rsidRPr="001927EC">
              <w:rPr>
                <w:rFonts w:ascii="Calibri" w:hAnsi="Calibri" w:cs="Calibri"/>
                <w:b/>
                <w:bCs/>
              </w:rPr>
              <w:t>Performance Overview</w:t>
            </w:r>
          </w:p>
        </w:tc>
        <w:tc>
          <w:tcPr>
            <w:tcW w:w="312" w:type="pct"/>
          </w:tcPr>
          <w:p w14:paraId="1C2BBEBF" w14:textId="77777777" w:rsidR="00590568" w:rsidRPr="001927EC" w:rsidRDefault="00590568" w:rsidP="006178AF">
            <w:pPr>
              <w:jc w:val="center"/>
              <w:rPr>
                <w:rFonts w:ascii="Calibri" w:hAnsi="Calibri" w:cs="Calibri"/>
                <w:b/>
                <w:bCs/>
              </w:rPr>
            </w:pPr>
            <w:r w:rsidRPr="001927EC">
              <w:rPr>
                <w:rFonts w:ascii="Calibri" w:hAnsi="Calibri" w:cs="Calibri"/>
                <w:b/>
                <w:bCs/>
              </w:rPr>
              <w:t>Actual</w:t>
            </w:r>
          </w:p>
        </w:tc>
        <w:tc>
          <w:tcPr>
            <w:tcW w:w="1092" w:type="pct"/>
          </w:tcPr>
          <w:p w14:paraId="55416E11" w14:textId="77777777" w:rsidR="00590568" w:rsidRPr="001927EC" w:rsidRDefault="00590568" w:rsidP="006178AF">
            <w:pPr>
              <w:jc w:val="center"/>
              <w:rPr>
                <w:rFonts w:ascii="Calibri" w:hAnsi="Calibri" w:cs="Calibri"/>
                <w:b/>
                <w:bCs/>
              </w:rPr>
            </w:pPr>
            <w:r w:rsidRPr="001927EC">
              <w:rPr>
                <w:rFonts w:ascii="Calibri" w:hAnsi="Calibri" w:cs="Calibri"/>
                <w:b/>
                <w:bCs/>
              </w:rPr>
              <w:t>Analysis</w:t>
            </w:r>
          </w:p>
        </w:tc>
        <w:tc>
          <w:tcPr>
            <w:tcW w:w="701" w:type="pct"/>
          </w:tcPr>
          <w:p w14:paraId="4A28635C" w14:textId="77777777" w:rsidR="00590568" w:rsidRPr="001927EC" w:rsidRDefault="00590568" w:rsidP="006178AF">
            <w:pPr>
              <w:jc w:val="center"/>
              <w:rPr>
                <w:rFonts w:ascii="Calibri" w:hAnsi="Calibri" w:cs="Calibri"/>
                <w:b/>
                <w:bCs/>
              </w:rPr>
            </w:pPr>
            <w:r>
              <w:rPr>
                <w:rFonts w:ascii="Calibri" w:hAnsi="Calibri" w:cs="Calibri"/>
                <w:b/>
                <w:bCs/>
              </w:rPr>
              <w:t>Comment</w:t>
            </w:r>
          </w:p>
        </w:tc>
      </w:tr>
      <w:tr w:rsidR="00590568" w14:paraId="73497195" w14:textId="77777777" w:rsidTr="00590568">
        <w:trPr>
          <w:trHeight w:val="983"/>
        </w:trPr>
        <w:tc>
          <w:tcPr>
            <w:tcW w:w="550" w:type="pct"/>
          </w:tcPr>
          <w:p w14:paraId="4D64494D" w14:textId="77777777" w:rsidR="00590568" w:rsidRPr="00256952" w:rsidRDefault="00590568" w:rsidP="006178AF">
            <w:pPr>
              <w:rPr>
                <w:rFonts w:ascii="Calibri" w:hAnsi="Calibri" w:cs="Calibri"/>
                <w:b/>
                <w:color w:val="808080" w:themeColor="background1" w:themeShade="80"/>
              </w:rPr>
            </w:pPr>
            <w:r>
              <w:rPr>
                <w:rFonts w:ascii="Calibri" w:hAnsi="Calibri" w:cs="Calibri"/>
                <w:b/>
              </w:rPr>
              <w:t xml:space="preserve">Attendance </w:t>
            </w:r>
          </w:p>
        </w:tc>
        <w:tc>
          <w:tcPr>
            <w:tcW w:w="250" w:type="pct"/>
          </w:tcPr>
          <w:p w14:paraId="1B5CDB8D" w14:textId="77777777" w:rsidR="00590568" w:rsidRDefault="00590568" w:rsidP="006178AF">
            <w:pPr>
              <w:rPr>
                <w:noProof/>
              </w:rPr>
            </w:pPr>
            <w:r>
              <w:rPr>
                <w:rFonts w:ascii="Calibri" w:hAnsi="Calibri" w:cs="Calibri"/>
                <w:noProof/>
                <w:color w:val="007DC3"/>
              </w:rPr>
              <mc:AlternateContent>
                <mc:Choice Requires="wps">
                  <w:drawing>
                    <wp:anchor distT="0" distB="0" distL="114300" distR="114300" simplePos="0" relativeHeight="251739136" behindDoc="0" locked="0" layoutInCell="1" allowOverlap="1" wp14:anchorId="4594483E" wp14:editId="64A44252">
                      <wp:simplePos x="0" y="0"/>
                      <wp:positionH relativeFrom="column">
                        <wp:posOffset>48260</wp:posOffset>
                      </wp:positionH>
                      <wp:positionV relativeFrom="paragraph">
                        <wp:posOffset>55245</wp:posOffset>
                      </wp:positionV>
                      <wp:extent cx="161925" cy="152400"/>
                      <wp:effectExtent l="0" t="0" r="9525" b="0"/>
                      <wp:wrapNone/>
                      <wp:docPr id="486179019"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1E3478" id="Flowchart: Connector 1" o:spid="_x0000_s1026" type="#_x0000_t120" style="position:absolute;margin-left:3.8pt;margin-top:4.35pt;width:12.75pt;height:1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" fillcolor="#00b050" stroked="f" strokeweight="2pt"/>
                  </w:pict>
                </mc:Fallback>
              </mc:AlternateContent>
            </w:r>
          </w:p>
          <w:p w14:paraId="545F7C20" w14:textId="77777777" w:rsidR="00590568" w:rsidRDefault="00590568" w:rsidP="006178AF">
            <w:pPr>
              <w:rPr>
                <w:noProof/>
              </w:rPr>
            </w:pPr>
          </w:p>
        </w:tc>
        <w:tc>
          <w:tcPr>
            <w:tcW w:w="2094" w:type="pct"/>
          </w:tcPr>
          <w:p w14:paraId="6E29B189" w14:textId="77777777" w:rsidR="00590568" w:rsidRPr="00895AC6" w:rsidRDefault="00590568" w:rsidP="006178AF">
            <w:pPr>
              <w:rPr>
                <w:noProof/>
                <w:sz w:val="22"/>
              </w:rPr>
            </w:pPr>
            <w:r w:rsidRPr="00895AC6">
              <w:rPr>
                <w:noProof/>
                <w:sz w:val="22"/>
              </w:rPr>
              <w:drawing>
                <wp:inline distT="0" distB="0" distL="0" distR="0" wp14:anchorId="0C912ECA" wp14:editId="353C0DA2">
                  <wp:extent cx="3577590" cy="1706499"/>
                  <wp:effectExtent l="0" t="0" r="3810" b="8255"/>
                  <wp:docPr id="2146189767" name="Picture 2" descr="A graph showing the sick days per person from 2021/22 to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89767" name="Picture 2" descr="A graph showing the sick days per person from 2021/22 to 2025/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06127" cy="1720111"/>
                          </a:xfrm>
                          <a:prstGeom prst="rect">
                            <a:avLst/>
                          </a:prstGeom>
                          <a:noFill/>
                        </pic:spPr>
                      </pic:pic>
                    </a:graphicData>
                  </a:graphic>
                </wp:inline>
              </w:drawing>
            </w:r>
          </w:p>
          <w:p w14:paraId="508CD3C6" w14:textId="77777777" w:rsidR="00590568" w:rsidRPr="00895AC6" w:rsidRDefault="00590568" w:rsidP="006178AF">
            <w:pPr>
              <w:rPr>
                <w:rFonts w:ascii="Calibri" w:hAnsi="Calibri" w:cs="Calibri"/>
                <w:noProof/>
                <w:sz w:val="22"/>
              </w:rPr>
            </w:pPr>
          </w:p>
          <w:p w14:paraId="45A52846" w14:textId="77777777" w:rsidR="00590568" w:rsidRPr="00895AC6" w:rsidRDefault="00590568" w:rsidP="006178AF">
            <w:pPr>
              <w:rPr>
                <w:rFonts w:ascii="Calibri" w:hAnsi="Calibri" w:cs="Calibri"/>
                <w:noProof/>
                <w:sz w:val="22"/>
              </w:rPr>
            </w:pPr>
            <w:r w:rsidRPr="00895AC6">
              <w:rPr>
                <w:rFonts w:ascii="Calibri" w:hAnsi="Calibri" w:cs="Calibri"/>
                <w:noProof/>
                <w:sz w:val="22"/>
              </w:rPr>
              <w:t>(This graph shows the number of sick days taken each quarter per employee from 2020 to date)</w:t>
            </w:r>
          </w:p>
        </w:tc>
        <w:tc>
          <w:tcPr>
            <w:tcW w:w="312" w:type="pct"/>
          </w:tcPr>
          <w:p w14:paraId="6C06DAFF" w14:textId="77777777" w:rsidR="00590568" w:rsidRPr="00895AC6" w:rsidRDefault="00590568" w:rsidP="006178AF">
            <w:pPr>
              <w:rPr>
                <w:rFonts w:ascii="Calibri" w:hAnsi="Calibri" w:cs="Calibri"/>
                <w:sz w:val="22"/>
              </w:rPr>
            </w:pPr>
            <w:r w:rsidRPr="00895AC6">
              <w:rPr>
                <w:rFonts w:ascii="Calibri" w:hAnsi="Calibri" w:cs="Calibri"/>
                <w:sz w:val="22"/>
              </w:rPr>
              <w:t xml:space="preserve">1.66 ↑ days </w:t>
            </w:r>
          </w:p>
        </w:tc>
        <w:tc>
          <w:tcPr>
            <w:tcW w:w="1092" w:type="pct"/>
          </w:tcPr>
          <w:p w14:paraId="5E0C531C" w14:textId="3CBC2860" w:rsidR="00590568" w:rsidRPr="00895AC6" w:rsidRDefault="003820E6" w:rsidP="006178AF">
            <w:pPr>
              <w:spacing w:after="200"/>
              <w:rPr>
                <w:rFonts w:ascii="Calibri" w:hAnsi="Calibri" w:cs="Calibri"/>
                <w:sz w:val="22"/>
              </w:rPr>
            </w:pPr>
            <w:r>
              <w:rPr>
                <w:rFonts w:ascii="Calibri" w:hAnsi="Calibri" w:cs="Calibri"/>
                <w:sz w:val="22"/>
              </w:rPr>
              <w:t>T</w:t>
            </w:r>
            <w:r w:rsidR="00590568" w:rsidRPr="00895AC6">
              <w:rPr>
                <w:rFonts w:ascii="Calibri" w:hAnsi="Calibri" w:cs="Calibri"/>
                <w:sz w:val="22"/>
              </w:rPr>
              <w:t xml:space="preserve">here has been a slight increase in our sick days per person from 1.64 days to 1.66 days (↑0.02days). </w:t>
            </w:r>
          </w:p>
          <w:p w14:paraId="19DD375C" w14:textId="1965B3B5" w:rsidR="00590568" w:rsidRPr="00895AC6" w:rsidRDefault="00590568" w:rsidP="006178AF">
            <w:pPr>
              <w:spacing w:after="200"/>
              <w:rPr>
                <w:rFonts w:ascii="Calibri" w:hAnsi="Calibri" w:cs="Calibri"/>
                <w:sz w:val="22"/>
              </w:rPr>
            </w:pPr>
            <w:r w:rsidRPr="00895AC6">
              <w:rPr>
                <w:rFonts w:ascii="Calibri" w:hAnsi="Calibri" w:cs="Calibri"/>
                <w:sz w:val="22"/>
              </w:rPr>
              <w:t xml:space="preserve">Cold </w:t>
            </w:r>
            <w:r w:rsidR="00B244B8">
              <w:rPr>
                <w:rFonts w:ascii="Calibri" w:hAnsi="Calibri" w:cs="Calibri"/>
                <w:sz w:val="22"/>
              </w:rPr>
              <w:t>and</w:t>
            </w:r>
            <w:r w:rsidRPr="00895AC6">
              <w:rPr>
                <w:rFonts w:ascii="Calibri" w:hAnsi="Calibri" w:cs="Calibri"/>
                <w:sz w:val="22"/>
              </w:rPr>
              <w:t xml:space="preserve"> flu absences are the bulk of lost time with 309 days </w:t>
            </w:r>
            <w:proofErr w:type="gramStart"/>
            <w:r w:rsidRPr="00895AC6">
              <w:rPr>
                <w:rFonts w:ascii="Calibri" w:hAnsi="Calibri" w:cs="Calibri"/>
                <w:sz w:val="22"/>
              </w:rPr>
              <w:t>lost,</w:t>
            </w:r>
            <w:proofErr w:type="gramEnd"/>
            <w:r w:rsidRPr="00895AC6">
              <w:rPr>
                <w:rFonts w:ascii="Calibri" w:hAnsi="Calibri" w:cs="Calibri"/>
                <w:sz w:val="22"/>
              </w:rPr>
              <w:t xml:space="preserve"> this is a significant increase from Q2 (↑125 days). </w:t>
            </w:r>
          </w:p>
          <w:p w14:paraId="56A18442" w14:textId="78103660" w:rsidR="00590568" w:rsidRPr="00895AC6" w:rsidRDefault="00590568" w:rsidP="006178AF">
            <w:pPr>
              <w:spacing w:after="200"/>
              <w:rPr>
                <w:rFonts w:ascii="Calibri" w:hAnsi="Calibri" w:cs="Calibri"/>
                <w:sz w:val="22"/>
              </w:rPr>
            </w:pPr>
            <w:r w:rsidRPr="00895AC6">
              <w:rPr>
                <w:rFonts w:ascii="Calibri" w:hAnsi="Calibri" w:cs="Calibri"/>
                <w:sz w:val="22"/>
              </w:rPr>
              <w:t>Mental health continues to be high (306 days), although the number of days lost has reduced (↓138 days). There has been a 6% increase in work-related stress absences.</w:t>
            </w:r>
          </w:p>
          <w:p w14:paraId="0D5BCEE4" w14:textId="77777777" w:rsidR="00590568" w:rsidRPr="00895AC6" w:rsidRDefault="00590568" w:rsidP="006178AF">
            <w:pPr>
              <w:spacing w:after="200"/>
              <w:rPr>
                <w:rFonts w:ascii="Calibri" w:hAnsi="Calibri" w:cs="Calibri"/>
                <w:sz w:val="22"/>
              </w:rPr>
            </w:pPr>
          </w:p>
        </w:tc>
        <w:tc>
          <w:tcPr>
            <w:tcW w:w="701" w:type="pct"/>
          </w:tcPr>
          <w:p w14:paraId="161CBE6C" w14:textId="6DABEF82" w:rsidR="00590568" w:rsidRPr="00895AC6" w:rsidRDefault="00590568" w:rsidP="006178AF">
            <w:pPr>
              <w:spacing w:after="200"/>
              <w:rPr>
                <w:rFonts w:ascii="Calibri" w:hAnsi="Calibri" w:cs="Calibri"/>
                <w:sz w:val="22"/>
              </w:rPr>
            </w:pPr>
            <w:r w:rsidRPr="00895AC6">
              <w:rPr>
                <w:rFonts w:ascii="Calibri" w:hAnsi="Calibri" w:cs="Calibri"/>
                <w:sz w:val="22"/>
              </w:rPr>
              <w:t>The increase in absence levels due to cold/flu is consistent with the increase in cold &amp; flu cases reported in Scotland.</w:t>
            </w:r>
          </w:p>
          <w:p w14:paraId="67C1F48C" w14:textId="77777777" w:rsidR="00590568" w:rsidRPr="00895AC6" w:rsidRDefault="00590568" w:rsidP="006178AF">
            <w:pPr>
              <w:rPr>
                <w:rStyle w:val="cf01"/>
                <w:rFonts w:ascii="Calibri" w:hAnsi="Calibri" w:cs="Calibri"/>
                <w:sz w:val="22"/>
                <w:szCs w:val="22"/>
              </w:rPr>
            </w:pPr>
          </w:p>
          <w:p w14:paraId="16CF8B5C" w14:textId="77777777" w:rsidR="00590568" w:rsidRPr="00895AC6" w:rsidRDefault="00590568" w:rsidP="006178AF">
            <w:pPr>
              <w:rPr>
                <w:rStyle w:val="cf01"/>
                <w:rFonts w:ascii="Calibri" w:hAnsi="Calibri" w:cs="Calibri"/>
                <w:sz w:val="22"/>
                <w:szCs w:val="22"/>
              </w:rPr>
            </w:pPr>
          </w:p>
          <w:p w14:paraId="3321FC80" w14:textId="77777777" w:rsidR="00590568" w:rsidRPr="00895AC6" w:rsidRDefault="00590568" w:rsidP="006178AF">
            <w:pPr>
              <w:rPr>
                <w:rFonts w:ascii="Calibri" w:eastAsia="Times New Roman" w:hAnsi="Calibri" w:cs="Calibri"/>
                <w:sz w:val="22"/>
                <w:lang w:eastAsia="en-GB"/>
              </w:rPr>
            </w:pPr>
            <w:r w:rsidRPr="00895AC6">
              <w:rPr>
                <w:rStyle w:val="cf01"/>
                <w:rFonts w:ascii="Calibri" w:hAnsi="Calibri" w:cs="Calibri"/>
                <w:sz w:val="22"/>
                <w:szCs w:val="22"/>
              </w:rPr>
              <w:t>P&amp;OD will continue to work with team managers where workplace stress has been identified as an absence reason.</w:t>
            </w:r>
            <w:r w:rsidRPr="00895AC6">
              <w:rPr>
                <w:rStyle w:val="cf01"/>
                <w:rFonts w:ascii="Calibri" w:eastAsiaTheme="majorEastAsia" w:hAnsi="Calibri" w:cs="Calibri"/>
                <w:sz w:val="22"/>
                <w:szCs w:val="22"/>
              </w:rPr>
              <w:t xml:space="preserve"> </w:t>
            </w:r>
          </w:p>
          <w:p w14:paraId="39E07731" w14:textId="77777777" w:rsidR="00590568" w:rsidRPr="00895AC6" w:rsidRDefault="00590568" w:rsidP="006178AF">
            <w:pPr>
              <w:rPr>
                <w:rFonts w:ascii="Calibri" w:hAnsi="Calibri" w:cs="Calibri"/>
                <w:sz w:val="22"/>
              </w:rPr>
            </w:pPr>
          </w:p>
        </w:tc>
      </w:tr>
      <w:tr w:rsidR="00590568" w14:paraId="0D3B1D22" w14:textId="77777777" w:rsidTr="00590568">
        <w:trPr>
          <w:trHeight w:val="737"/>
        </w:trPr>
        <w:tc>
          <w:tcPr>
            <w:tcW w:w="550" w:type="pct"/>
          </w:tcPr>
          <w:p w14:paraId="639758B6" w14:textId="77777777" w:rsidR="00590568" w:rsidRPr="0042244B" w:rsidRDefault="00590568" w:rsidP="006178AF">
            <w:pPr>
              <w:rPr>
                <w:rFonts w:ascii="Calibri" w:hAnsi="Calibri" w:cs="Calibri"/>
                <w:b/>
                <w:color w:val="808080" w:themeColor="background1" w:themeShade="80"/>
              </w:rPr>
            </w:pPr>
            <w:r>
              <w:rPr>
                <w:rFonts w:ascii="Calibri" w:hAnsi="Calibri" w:cs="Calibri"/>
                <w:b/>
              </w:rPr>
              <w:lastRenderedPageBreak/>
              <w:t>Workforce Profile</w:t>
            </w:r>
          </w:p>
        </w:tc>
        <w:tc>
          <w:tcPr>
            <w:tcW w:w="250" w:type="pct"/>
          </w:tcPr>
          <w:p w14:paraId="40333A6C" w14:textId="77777777" w:rsidR="00590568" w:rsidRDefault="00590568" w:rsidP="006178AF">
            <w:pPr>
              <w:rPr>
                <w:noProof/>
              </w:rPr>
            </w:pPr>
            <w:r>
              <w:rPr>
                <w:rFonts w:ascii="Calibri" w:hAnsi="Calibri" w:cs="Calibri"/>
                <w:noProof/>
                <w:color w:val="007DC3"/>
              </w:rPr>
              <mc:AlternateContent>
                <mc:Choice Requires="wps">
                  <w:drawing>
                    <wp:anchor distT="0" distB="0" distL="114300" distR="114300" simplePos="0" relativeHeight="251740160" behindDoc="0" locked="0" layoutInCell="1" allowOverlap="1" wp14:anchorId="3BC0663F" wp14:editId="5F1F562D">
                      <wp:simplePos x="0" y="0"/>
                      <wp:positionH relativeFrom="column">
                        <wp:posOffset>57785</wp:posOffset>
                      </wp:positionH>
                      <wp:positionV relativeFrom="paragraph">
                        <wp:posOffset>64770</wp:posOffset>
                      </wp:positionV>
                      <wp:extent cx="161925" cy="152400"/>
                      <wp:effectExtent l="0" t="0" r="9525" b="0"/>
                      <wp:wrapNone/>
                      <wp:docPr id="501213351"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22D49E" id="Flowchart: Connector 1" o:spid="_x0000_s1026" type="#_x0000_t120" style="position:absolute;margin-left:4.55pt;margin-top:5.1pt;width:12.75pt;height:12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" fillcolor="#00b050" stroked="f" strokeweight="2pt"/>
                  </w:pict>
                </mc:Fallback>
              </mc:AlternateContent>
            </w:r>
          </w:p>
          <w:p w14:paraId="08552831" w14:textId="77777777" w:rsidR="00590568" w:rsidRDefault="00590568" w:rsidP="006178AF">
            <w:pPr>
              <w:rPr>
                <w:noProof/>
              </w:rPr>
            </w:pPr>
          </w:p>
        </w:tc>
        <w:tc>
          <w:tcPr>
            <w:tcW w:w="2094" w:type="pct"/>
          </w:tcPr>
          <w:p w14:paraId="45F382F1" w14:textId="77777777" w:rsidR="00590568" w:rsidRPr="00895AC6" w:rsidRDefault="00590568" w:rsidP="006178AF">
            <w:pPr>
              <w:rPr>
                <w:noProof/>
                <w:sz w:val="22"/>
              </w:rPr>
            </w:pPr>
            <w:r w:rsidRPr="00895AC6">
              <w:rPr>
                <w:noProof/>
                <w:sz w:val="22"/>
              </w:rPr>
              <w:drawing>
                <wp:inline distT="0" distB="0" distL="0" distR="0" wp14:anchorId="5039EDA3" wp14:editId="26C02AF0">
                  <wp:extent cx="3660479" cy="2289371"/>
                  <wp:effectExtent l="0" t="0" r="0" b="0"/>
                  <wp:docPr id="206715347" name="Picture 1" descr="A graph of employee turnover from 2020/21 to 2025/26&#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15347" name="Picture 1" descr="A graph of employee turnover from 2020/21 to 2025/26&#10;&#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03895" cy="2316525"/>
                          </a:xfrm>
                          <a:prstGeom prst="rect">
                            <a:avLst/>
                          </a:prstGeom>
                          <a:noFill/>
                        </pic:spPr>
                      </pic:pic>
                    </a:graphicData>
                  </a:graphic>
                </wp:inline>
              </w:drawing>
            </w:r>
          </w:p>
          <w:p w14:paraId="29F338A9" w14:textId="77777777"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lang w:eastAsia="en-GB"/>
              </w:rPr>
              <w:t>(This graph shows the pattern of employee turnover)</w:t>
            </w:r>
          </w:p>
        </w:tc>
        <w:tc>
          <w:tcPr>
            <w:tcW w:w="312" w:type="pct"/>
          </w:tcPr>
          <w:p w14:paraId="72D16E74" w14:textId="77777777" w:rsidR="00590568" w:rsidRPr="00895AC6" w:rsidRDefault="00590568" w:rsidP="006178AF">
            <w:pPr>
              <w:rPr>
                <w:rFonts w:ascii="Calibri" w:hAnsi="Calibri" w:cs="Calibri"/>
                <w:color w:val="808080" w:themeColor="background1" w:themeShade="80"/>
                <w:sz w:val="22"/>
              </w:rPr>
            </w:pPr>
            <w:r w:rsidRPr="00895AC6">
              <w:rPr>
                <w:rFonts w:ascii="Calibri" w:hAnsi="Calibri" w:cs="Calibri"/>
                <w:sz w:val="22"/>
              </w:rPr>
              <w:t>11%↑</w:t>
            </w:r>
          </w:p>
        </w:tc>
        <w:tc>
          <w:tcPr>
            <w:tcW w:w="1092" w:type="pct"/>
          </w:tcPr>
          <w:p w14:paraId="678747C8" w14:textId="77777777" w:rsidR="00590568" w:rsidRPr="00895AC6" w:rsidRDefault="00590568" w:rsidP="006178AF">
            <w:pPr>
              <w:spacing w:after="200"/>
              <w:rPr>
                <w:rFonts w:ascii="Calibri" w:hAnsi="Calibri" w:cs="Calibri"/>
                <w:sz w:val="22"/>
              </w:rPr>
            </w:pPr>
            <w:r w:rsidRPr="00895AC6">
              <w:rPr>
                <w:rFonts w:ascii="Calibri" w:hAnsi="Calibri" w:cs="Calibri"/>
                <w:sz w:val="22"/>
              </w:rPr>
              <w:t xml:space="preserve">Turnover has increased to 11% since Q3 24/25. </w:t>
            </w:r>
          </w:p>
          <w:p w14:paraId="4BD9B65F" w14:textId="77777777" w:rsidR="00590568" w:rsidRPr="00895AC6" w:rsidRDefault="00590568" w:rsidP="006178AF">
            <w:pPr>
              <w:spacing w:after="200"/>
              <w:rPr>
                <w:rFonts w:ascii="Calibri" w:hAnsi="Calibri" w:cs="Calibri"/>
                <w:sz w:val="22"/>
              </w:rPr>
            </w:pPr>
            <w:r w:rsidRPr="00895AC6">
              <w:rPr>
                <w:rFonts w:ascii="Calibri" w:hAnsi="Calibri" w:cs="Calibri"/>
                <w:sz w:val="22"/>
              </w:rPr>
              <w:t>Our annual turnover by contract type is:</w:t>
            </w:r>
          </w:p>
          <w:p w14:paraId="7A3637DF" w14:textId="77777777" w:rsidR="00590568" w:rsidRPr="00895AC6" w:rsidRDefault="00590568" w:rsidP="006178AF">
            <w:pPr>
              <w:spacing w:after="200"/>
              <w:rPr>
                <w:rFonts w:ascii="Calibri" w:hAnsi="Calibri" w:cs="Calibri"/>
                <w:sz w:val="22"/>
              </w:rPr>
            </w:pPr>
            <w:r w:rsidRPr="00895AC6">
              <w:rPr>
                <w:rFonts w:ascii="Calibri" w:hAnsi="Calibri" w:cs="Calibri"/>
                <w:sz w:val="22"/>
              </w:rPr>
              <w:t>5% - Fixed Term Employees</w:t>
            </w:r>
          </w:p>
          <w:p w14:paraId="0D0A4C4B" w14:textId="77777777" w:rsidR="00590568" w:rsidRPr="00895AC6" w:rsidRDefault="00590568" w:rsidP="006178AF">
            <w:pPr>
              <w:spacing w:after="200"/>
              <w:rPr>
                <w:rFonts w:ascii="Calibri" w:hAnsi="Calibri" w:cs="Calibri"/>
                <w:sz w:val="22"/>
              </w:rPr>
            </w:pPr>
            <w:r w:rsidRPr="00895AC6">
              <w:rPr>
                <w:rFonts w:ascii="Calibri" w:hAnsi="Calibri" w:cs="Calibri"/>
                <w:sz w:val="22"/>
              </w:rPr>
              <w:t>6% - Permanent Employees.</w:t>
            </w:r>
          </w:p>
          <w:p w14:paraId="5F1D8A79" w14:textId="08565028" w:rsidR="00590568" w:rsidRPr="00895AC6" w:rsidRDefault="00590568" w:rsidP="006178AF">
            <w:pPr>
              <w:spacing w:after="200"/>
              <w:rPr>
                <w:rFonts w:ascii="Calibri" w:hAnsi="Calibri" w:cs="Calibri"/>
                <w:sz w:val="22"/>
              </w:rPr>
            </w:pPr>
            <w:r w:rsidRPr="00895AC6">
              <w:rPr>
                <w:rFonts w:ascii="Calibri" w:hAnsi="Calibri" w:cs="Calibri"/>
                <w:sz w:val="22"/>
              </w:rPr>
              <w:t xml:space="preserve">There were 13 leavers, of which 15% were retirements, 39% left at the end of their contract and 46% were for personal reasons. </w:t>
            </w:r>
          </w:p>
        </w:tc>
        <w:tc>
          <w:tcPr>
            <w:tcW w:w="701" w:type="pct"/>
          </w:tcPr>
          <w:p w14:paraId="0B562AC3" w14:textId="77777777" w:rsidR="00590568" w:rsidRPr="00895AC6" w:rsidRDefault="00590568" w:rsidP="006178AF">
            <w:pPr>
              <w:rPr>
                <w:rFonts w:ascii="Calibri" w:hAnsi="Calibri" w:cs="Calibri"/>
                <w:sz w:val="22"/>
              </w:rPr>
            </w:pPr>
            <w:r w:rsidRPr="00895AC6">
              <w:rPr>
                <w:rFonts w:ascii="Calibri" w:hAnsi="Calibri" w:cs="Calibri"/>
                <w:sz w:val="22"/>
              </w:rPr>
              <w:t>11% is a healthy level of turnover. The national average annual turnover rate in the UK is 15%.</w:t>
            </w:r>
          </w:p>
          <w:p w14:paraId="03B33669" w14:textId="2102ED4C" w:rsidR="00590568" w:rsidRPr="00895AC6" w:rsidRDefault="00590568" w:rsidP="006178AF">
            <w:pPr>
              <w:rPr>
                <w:rFonts w:ascii="Calibri" w:hAnsi="Calibri" w:cs="Calibri"/>
                <w:sz w:val="22"/>
              </w:rPr>
            </w:pPr>
            <w:r w:rsidRPr="00895AC6">
              <w:rPr>
                <w:rFonts w:ascii="Calibri" w:hAnsi="Calibri" w:cs="Calibri"/>
                <w:sz w:val="22"/>
              </w:rPr>
              <w:t>Although the number of retirements has reduced, it is predicted that these will exceed the forecast of 23 for 2026.</w:t>
            </w:r>
          </w:p>
        </w:tc>
      </w:tr>
      <w:tr w:rsidR="00590568" w14:paraId="16BE79BA" w14:textId="77777777" w:rsidTr="00590568">
        <w:trPr>
          <w:trHeight w:val="677"/>
        </w:trPr>
        <w:tc>
          <w:tcPr>
            <w:tcW w:w="550" w:type="pct"/>
          </w:tcPr>
          <w:p w14:paraId="2FD963AA" w14:textId="77777777" w:rsidR="00590568" w:rsidRPr="009A671A" w:rsidRDefault="00590568" w:rsidP="006178AF">
            <w:pPr>
              <w:rPr>
                <w:rFonts w:ascii="Calibri" w:hAnsi="Calibri" w:cs="Calibri"/>
                <w:b/>
                <w:color w:val="808080" w:themeColor="background1" w:themeShade="80"/>
              </w:rPr>
            </w:pPr>
            <w:r>
              <w:rPr>
                <w:rFonts w:ascii="Calibri" w:hAnsi="Calibri" w:cs="Calibri"/>
                <w:b/>
              </w:rPr>
              <w:t>Employee Relations</w:t>
            </w:r>
          </w:p>
        </w:tc>
        <w:tc>
          <w:tcPr>
            <w:tcW w:w="250" w:type="pct"/>
          </w:tcPr>
          <w:p w14:paraId="41D14115" w14:textId="77777777" w:rsidR="00590568" w:rsidRDefault="00590568" w:rsidP="006178AF">
            <w:pPr>
              <w:rPr>
                <w:noProof/>
              </w:rPr>
            </w:pPr>
            <w:r>
              <w:rPr>
                <w:rFonts w:ascii="Calibri" w:hAnsi="Calibri" w:cs="Calibri"/>
                <w:noProof/>
                <w:color w:val="007DC3"/>
              </w:rPr>
              <mc:AlternateContent>
                <mc:Choice Requires="wps">
                  <w:drawing>
                    <wp:anchor distT="0" distB="0" distL="114300" distR="114300" simplePos="0" relativeHeight="251741184" behindDoc="0" locked="0" layoutInCell="1" allowOverlap="1" wp14:anchorId="1846A057" wp14:editId="6881FA00">
                      <wp:simplePos x="0" y="0"/>
                      <wp:positionH relativeFrom="column">
                        <wp:posOffset>57785</wp:posOffset>
                      </wp:positionH>
                      <wp:positionV relativeFrom="paragraph">
                        <wp:posOffset>91440</wp:posOffset>
                      </wp:positionV>
                      <wp:extent cx="161925" cy="152400"/>
                      <wp:effectExtent l="0" t="0" r="9525" b="0"/>
                      <wp:wrapNone/>
                      <wp:docPr id="75720616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2BD1B5" id="Flowchart: Connector 1" o:spid="_x0000_s1026" type="#_x0000_t120" style="position:absolute;margin-left:4.55pt;margin-top:7.2pt;width:12.75pt;height:12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" fillcolor="#00b050" stroked="f" strokeweight="2pt"/>
                  </w:pict>
                </mc:Fallback>
              </mc:AlternateContent>
            </w:r>
          </w:p>
          <w:p w14:paraId="13BA91AE" w14:textId="77777777" w:rsidR="00590568" w:rsidRDefault="00590568" w:rsidP="006178AF">
            <w:pPr>
              <w:rPr>
                <w:noProof/>
              </w:rPr>
            </w:pPr>
          </w:p>
          <w:p w14:paraId="77738BE3" w14:textId="77777777" w:rsidR="00590568" w:rsidRDefault="00590568" w:rsidP="006178AF">
            <w:pPr>
              <w:rPr>
                <w:noProof/>
              </w:rPr>
            </w:pPr>
          </w:p>
          <w:p w14:paraId="26CA6ED7" w14:textId="77777777" w:rsidR="00590568" w:rsidRDefault="00590568" w:rsidP="006178AF">
            <w:pPr>
              <w:rPr>
                <w:noProof/>
              </w:rPr>
            </w:pPr>
          </w:p>
          <w:p w14:paraId="3F0AECD2" w14:textId="77777777" w:rsidR="00590568" w:rsidRDefault="00590568" w:rsidP="006178AF">
            <w:pPr>
              <w:rPr>
                <w:noProof/>
              </w:rPr>
            </w:pPr>
          </w:p>
          <w:p w14:paraId="212C0F67" w14:textId="77777777" w:rsidR="00590568" w:rsidRDefault="00590568" w:rsidP="006178AF">
            <w:pPr>
              <w:rPr>
                <w:noProof/>
              </w:rPr>
            </w:pPr>
          </w:p>
          <w:p w14:paraId="3257B776" w14:textId="77777777" w:rsidR="00590568" w:rsidRDefault="00590568" w:rsidP="006178AF">
            <w:pPr>
              <w:rPr>
                <w:noProof/>
              </w:rPr>
            </w:pPr>
          </w:p>
          <w:p w14:paraId="6A2609EC" w14:textId="77777777" w:rsidR="00590568" w:rsidRDefault="00590568" w:rsidP="006178AF">
            <w:pPr>
              <w:rPr>
                <w:noProof/>
              </w:rPr>
            </w:pPr>
          </w:p>
          <w:p w14:paraId="50579DB1" w14:textId="77777777" w:rsidR="00590568" w:rsidRDefault="00590568" w:rsidP="006178AF">
            <w:pPr>
              <w:rPr>
                <w:noProof/>
              </w:rPr>
            </w:pPr>
          </w:p>
          <w:p w14:paraId="4C496BE9" w14:textId="77777777" w:rsidR="00590568" w:rsidRDefault="00590568" w:rsidP="006178AF">
            <w:pPr>
              <w:rPr>
                <w:noProof/>
              </w:rPr>
            </w:pPr>
          </w:p>
          <w:p w14:paraId="37BDB6F7" w14:textId="77777777" w:rsidR="00590568" w:rsidRDefault="00590568" w:rsidP="006178AF">
            <w:pPr>
              <w:rPr>
                <w:noProof/>
              </w:rPr>
            </w:pPr>
          </w:p>
          <w:p w14:paraId="0420FC19" w14:textId="77777777" w:rsidR="00590568" w:rsidRDefault="00590568" w:rsidP="006178AF">
            <w:pPr>
              <w:rPr>
                <w:noProof/>
              </w:rPr>
            </w:pPr>
          </w:p>
          <w:p w14:paraId="007400CF" w14:textId="77777777" w:rsidR="00590568" w:rsidRDefault="00590568" w:rsidP="006178AF">
            <w:pPr>
              <w:rPr>
                <w:noProof/>
              </w:rPr>
            </w:pPr>
          </w:p>
          <w:p w14:paraId="7D4FC1BD" w14:textId="77777777" w:rsidR="00590568" w:rsidRDefault="00590568" w:rsidP="006178AF">
            <w:pPr>
              <w:rPr>
                <w:noProof/>
              </w:rPr>
            </w:pPr>
          </w:p>
          <w:p w14:paraId="77C866DF" w14:textId="77777777" w:rsidR="00590568" w:rsidRDefault="00590568" w:rsidP="006178AF">
            <w:pPr>
              <w:rPr>
                <w:noProof/>
              </w:rPr>
            </w:pPr>
          </w:p>
          <w:p w14:paraId="5E1F5E17" w14:textId="77777777" w:rsidR="00590568" w:rsidRDefault="00590568" w:rsidP="006178AF">
            <w:pPr>
              <w:rPr>
                <w:noProof/>
              </w:rPr>
            </w:pPr>
          </w:p>
          <w:p w14:paraId="7469738A" w14:textId="77777777" w:rsidR="00590568" w:rsidRDefault="00590568" w:rsidP="006178AF">
            <w:pPr>
              <w:rPr>
                <w:noProof/>
              </w:rPr>
            </w:pPr>
          </w:p>
          <w:p w14:paraId="0C827783" w14:textId="77777777" w:rsidR="00590568" w:rsidRDefault="00590568" w:rsidP="006178AF">
            <w:pPr>
              <w:rPr>
                <w:noProof/>
              </w:rPr>
            </w:pPr>
          </w:p>
          <w:p w14:paraId="042F922B" w14:textId="77777777" w:rsidR="00590568" w:rsidRDefault="00590568" w:rsidP="006178AF">
            <w:pPr>
              <w:rPr>
                <w:noProof/>
              </w:rPr>
            </w:pPr>
          </w:p>
          <w:p w14:paraId="30072A3A" w14:textId="77777777" w:rsidR="00590568" w:rsidRDefault="00590568" w:rsidP="006178AF">
            <w:pPr>
              <w:rPr>
                <w:noProof/>
              </w:rPr>
            </w:pPr>
          </w:p>
          <w:p w14:paraId="1DEBCC2A" w14:textId="77777777" w:rsidR="00590568" w:rsidRDefault="00590568" w:rsidP="006178AF">
            <w:pPr>
              <w:rPr>
                <w:noProof/>
              </w:rPr>
            </w:pPr>
          </w:p>
          <w:p w14:paraId="7A04199B" w14:textId="77777777" w:rsidR="00590568" w:rsidRDefault="00590568" w:rsidP="006178AF">
            <w:pPr>
              <w:rPr>
                <w:noProof/>
              </w:rPr>
            </w:pPr>
          </w:p>
          <w:p w14:paraId="0A5751EA" w14:textId="77777777" w:rsidR="00590568" w:rsidRDefault="00590568" w:rsidP="006178AF">
            <w:pPr>
              <w:rPr>
                <w:noProof/>
              </w:rPr>
            </w:pPr>
          </w:p>
          <w:p w14:paraId="52EE2233" w14:textId="77777777" w:rsidR="00590568" w:rsidRDefault="00590568" w:rsidP="006178AF">
            <w:pPr>
              <w:rPr>
                <w:noProof/>
              </w:rPr>
            </w:pPr>
            <w:r>
              <w:rPr>
                <w:rFonts w:ascii="Calibri" w:hAnsi="Calibri" w:cs="Calibri"/>
                <w:noProof/>
                <w:color w:val="007DC3"/>
              </w:rPr>
              <mc:AlternateContent>
                <mc:Choice Requires="wps">
                  <w:drawing>
                    <wp:anchor distT="0" distB="0" distL="114300" distR="114300" simplePos="0" relativeHeight="251742208" behindDoc="0" locked="0" layoutInCell="1" allowOverlap="1" wp14:anchorId="5D60CE61" wp14:editId="65DA4D28">
                      <wp:simplePos x="0" y="0"/>
                      <wp:positionH relativeFrom="column">
                        <wp:posOffset>57785</wp:posOffset>
                      </wp:positionH>
                      <wp:positionV relativeFrom="paragraph">
                        <wp:posOffset>99060</wp:posOffset>
                      </wp:positionV>
                      <wp:extent cx="161925" cy="152400"/>
                      <wp:effectExtent l="0" t="0" r="9525" b="0"/>
                      <wp:wrapNone/>
                      <wp:docPr id="1451033478"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830CB4" id="Flowchart: Connector 1" o:spid="_x0000_s1026" type="#_x0000_t120" style="position:absolute;margin-left:4.55pt;margin-top:7.8pt;width:12.75pt;height:12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" fillcolor="#00b050" stroked="f" strokeweight="2pt"/>
                  </w:pict>
                </mc:Fallback>
              </mc:AlternateContent>
            </w:r>
          </w:p>
          <w:p w14:paraId="14A2CE1B" w14:textId="77777777" w:rsidR="00590568" w:rsidRDefault="00590568" w:rsidP="006178AF">
            <w:pPr>
              <w:rPr>
                <w:noProof/>
              </w:rPr>
            </w:pPr>
          </w:p>
          <w:p w14:paraId="44C9918A" w14:textId="77777777" w:rsidR="00590568" w:rsidRDefault="00590568" w:rsidP="006178AF">
            <w:pPr>
              <w:rPr>
                <w:noProof/>
              </w:rPr>
            </w:pPr>
          </w:p>
        </w:tc>
        <w:tc>
          <w:tcPr>
            <w:tcW w:w="2094" w:type="pct"/>
          </w:tcPr>
          <w:p w14:paraId="03E129A9" w14:textId="77777777" w:rsidR="00590568" w:rsidRPr="00895AC6" w:rsidRDefault="00590568" w:rsidP="006178AF">
            <w:pPr>
              <w:rPr>
                <w:noProof/>
                <w:sz w:val="22"/>
              </w:rPr>
            </w:pPr>
            <w:r w:rsidRPr="00895AC6">
              <w:rPr>
                <w:noProof/>
                <w:sz w:val="22"/>
              </w:rPr>
              <w:lastRenderedPageBreak/>
              <w:drawing>
                <wp:inline distT="0" distB="0" distL="0" distR="0" wp14:anchorId="02CEE348" wp14:editId="76A80476">
                  <wp:extent cx="3609975" cy="2266950"/>
                  <wp:effectExtent l="0" t="0" r="9525" b="0"/>
                  <wp:docPr id="1856750251" name="Picture 3" descr="A graph showing levels of formal HR casework from 2019/20 to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750251" name="Picture 3" descr="A graph showing levels of formal HR casework from 2019/20 to 2025/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1656" cy="2293124"/>
                          </a:xfrm>
                          <a:prstGeom prst="rect">
                            <a:avLst/>
                          </a:prstGeom>
                          <a:noFill/>
                        </pic:spPr>
                      </pic:pic>
                    </a:graphicData>
                  </a:graphic>
                </wp:inline>
              </w:drawing>
            </w:r>
          </w:p>
          <w:p w14:paraId="7007F9A8" w14:textId="77777777" w:rsidR="00590568" w:rsidRPr="00895AC6" w:rsidRDefault="00590568" w:rsidP="006178AF">
            <w:pPr>
              <w:rPr>
                <w:rFonts w:ascii="Calibri" w:hAnsi="Calibri" w:cs="Calibri"/>
                <w:noProof/>
                <w:sz w:val="22"/>
              </w:rPr>
            </w:pPr>
            <w:r w:rsidRPr="00895AC6">
              <w:rPr>
                <w:rFonts w:ascii="Calibri" w:hAnsi="Calibri" w:cs="Calibri"/>
                <w:noProof/>
                <w:sz w:val="22"/>
              </w:rPr>
              <w:t>(This graph shows the number of formal employee relations cases raised)</w:t>
            </w:r>
          </w:p>
          <w:p w14:paraId="7D0183E2" w14:textId="77777777" w:rsidR="00590568" w:rsidRPr="00895AC6" w:rsidRDefault="00590568" w:rsidP="006178AF">
            <w:pPr>
              <w:rPr>
                <w:noProof/>
                <w:sz w:val="22"/>
              </w:rPr>
            </w:pPr>
          </w:p>
          <w:p w14:paraId="3E2D7DFF" w14:textId="77777777" w:rsidR="00590568" w:rsidRPr="00895AC6" w:rsidRDefault="00590568" w:rsidP="006178AF">
            <w:pPr>
              <w:rPr>
                <w:rFonts w:ascii="Calibri" w:hAnsi="Calibri" w:cs="Calibri"/>
                <w:noProof/>
                <w:sz w:val="22"/>
              </w:rPr>
            </w:pPr>
            <w:r w:rsidRPr="00895AC6">
              <w:rPr>
                <w:rFonts w:ascii="Calibri" w:hAnsi="Calibri" w:cs="Calibri"/>
                <w:noProof/>
                <w:sz w:val="22"/>
              </w:rPr>
              <w:lastRenderedPageBreak/>
              <w:drawing>
                <wp:inline distT="0" distB="0" distL="0" distR="0" wp14:anchorId="3F67EF56" wp14:editId="7AD3CB34">
                  <wp:extent cx="3623905" cy="1971675"/>
                  <wp:effectExtent l="0" t="0" r="0" b="0"/>
                  <wp:docPr id="236588519" name="Picture 4" descr="A graphshowing levels of Informal HR casework from 2019/20 to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588519" name="Picture 4" descr="A graphshowing levels of Informal HR casework from 2019/20 to 2025/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5038" cy="1988614"/>
                          </a:xfrm>
                          <a:prstGeom prst="rect">
                            <a:avLst/>
                          </a:prstGeom>
                          <a:noFill/>
                        </pic:spPr>
                      </pic:pic>
                    </a:graphicData>
                  </a:graphic>
                </wp:inline>
              </w:drawing>
            </w:r>
          </w:p>
          <w:p w14:paraId="72477414" w14:textId="77777777" w:rsidR="00590568" w:rsidRPr="00895AC6" w:rsidRDefault="00590568" w:rsidP="006178AF">
            <w:pPr>
              <w:rPr>
                <w:rFonts w:ascii="Calibri" w:hAnsi="Calibri" w:cs="Calibri"/>
                <w:noProof/>
                <w:sz w:val="22"/>
              </w:rPr>
            </w:pPr>
            <w:r w:rsidRPr="00895AC6">
              <w:rPr>
                <w:rFonts w:ascii="Calibri" w:hAnsi="Calibri" w:cs="Calibri"/>
                <w:noProof/>
                <w:sz w:val="22"/>
              </w:rPr>
              <w:t>(This graph shows the number of informal employee relations cases raised)</w:t>
            </w:r>
          </w:p>
        </w:tc>
        <w:tc>
          <w:tcPr>
            <w:tcW w:w="312" w:type="pct"/>
          </w:tcPr>
          <w:p w14:paraId="3A3D184E" w14:textId="77777777" w:rsidR="00590568" w:rsidRPr="00895AC6" w:rsidRDefault="00590568" w:rsidP="006178AF">
            <w:pPr>
              <w:rPr>
                <w:rFonts w:ascii="Calibri" w:hAnsi="Calibri" w:cs="Calibri"/>
                <w:sz w:val="22"/>
              </w:rPr>
            </w:pPr>
            <w:r w:rsidRPr="00895AC6">
              <w:rPr>
                <w:rFonts w:ascii="Calibri" w:hAnsi="Calibri" w:cs="Calibri"/>
                <w:sz w:val="22"/>
              </w:rPr>
              <w:lastRenderedPageBreak/>
              <w:t>3 ↔</w:t>
            </w:r>
          </w:p>
          <w:p w14:paraId="54DA37AF" w14:textId="77777777" w:rsidR="00590568" w:rsidRPr="00895AC6" w:rsidRDefault="00590568" w:rsidP="006178AF">
            <w:pPr>
              <w:rPr>
                <w:rFonts w:ascii="Calibri" w:hAnsi="Calibri" w:cs="Calibri"/>
                <w:color w:val="808080" w:themeColor="background1" w:themeShade="80"/>
                <w:sz w:val="22"/>
              </w:rPr>
            </w:pPr>
          </w:p>
          <w:p w14:paraId="52971C20" w14:textId="77777777" w:rsidR="00590568" w:rsidRPr="00895AC6" w:rsidRDefault="00590568" w:rsidP="006178AF">
            <w:pPr>
              <w:rPr>
                <w:rFonts w:ascii="Calibri" w:hAnsi="Calibri" w:cs="Calibri"/>
                <w:color w:val="808080" w:themeColor="background1" w:themeShade="80"/>
                <w:sz w:val="22"/>
              </w:rPr>
            </w:pPr>
          </w:p>
          <w:p w14:paraId="0A1ED284" w14:textId="77777777" w:rsidR="00590568" w:rsidRPr="00895AC6" w:rsidRDefault="00590568" w:rsidP="006178AF">
            <w:pPr>
              <w:rPr>
                <w:rFonts w:ascii="Calibri" w:hAnsi="Calibri" w:cs="Calibri"/>
                <w:sz w:val="22"/>
              </w:rPr>
            </w:pPr>
          </w:p>
          <w:p w14:paraId="5B7ED217" w14:textId="77777777" w:rsidR="00590568" w:rsidRPr="00895AC6" w:rsidRDefault="00590568" w:rsidP="006178AF">
            <w:pPr>
              <w:rPr>
                <w:rFonts w:ascii="Calibri" w:hAnsi="Calibri" w:cs="Calibri"/>
                <w:sz w:val="22"/>
              </w:rPr>
            </w:pPr>
          </w:p>
          <w:p w14:paraId="2B4EA8C7" w14:textId="77777777" w:rsidR="00590568" w:rsidRPr="00895AC6" w:rsidRDefault="00590568" w:rsidP="006178AF">
            <w:pPr>
              <w:rPr>
                <w:rFonts w:ascii="Calibri" w:hAnsi="Calibri" w:cs="Calibri"/>
                <w:sz w:val="22"/>
              </w:rPr>
            </w:pPr>
          </w:p>
          <w:p w14:paraId="03ADADC4" w14:textId="77777777" w:rsidR="00590568" w:rsidRPr="00895AC6" w:rsidRDefault="00590568" w:rsidP="006178AF">
            <w:pPr>
              <w:rPr>
                <w:rFonts w:ascii="Calibri" w:hAnsi="Calibri" w:cs="Calibri"/>
                <w:color w:val="808080" w:themeColor="background1" w:themeShade="80"/>
                <w:sz w:val="22"/>
              </w:rPr>
            </w:pPr>
            <w:r w:rsidRPr="00895AC6">
              <w:rPr>
                <w:rFonts w:ascii="Calibri" w:hAnsi="Calibri" w:cs="Calibri"/>
                <w:sz w:val="22"/>
              </w:rPr>
              <w:t>40↑</w:t>
            </w:r>
          </w:p>
          <w:p w14:paraId="38EFF904" w14:textId="77777777" w:rsidR="00590568" w:rsidRPr="00895AC6" w:rsidRDefault="00590568" w:rsidP="006178AF">
            <w:pPr>
              <w:rPr>
                <w:rFonts w:ascii="Calibri" w:hAnsi="Calibri" w:cs="Calibri"/>
                <w:color w:val="808080" w:themeColor="background1" w:themeShade="80"/>
                <w:sz w:val="22"/>
              </w:rPr>
            </w:pPr>
          </w:p>
          <w:p w14:paraId="6930ECDC" w14:textId="77777777" w:rsidR="00590568" w:rsidRPr="00895AC6" w:rsidRDefault="00590568" w:rsidP="006178AF">
            <w:pPr>
              <w:rPr>
                <w:rFonts w:ascii="Calibri" w:hAnsi="Calibri" w:cs="Calibri"/>
                <w:color w:val="808080" w:themeColor="background1" w:themeShade="80"/>
                <w:sz w:val="22"/>
              </w:rPr>
            </w:pPr>
          </w:p>
          <w:p w14:paraId="14FBAF08" w14:textId="77777777" w:rsidR="00590568" w:rsidRPr="00895AC6" w:rsidRDefault="00590568" w:rsidP="006178AF">
            <w:pPr>
              <w:rPr>
                <w:rFonts w:ascii="Calibri" w:hAnsi="Calibri" w:cs="Calibri"/>
                <w:color w:val="808080" w:themeColor="background1" w:themeShade="80"/>
                <w:sz w:val="22"/>
              </w:rPr>
            </w:pPr>
          </w:p>
          <w:p w14:paraId="16768A18" w14:textId="77777777" w:rsidR="00590568" w:rsidRPr="00895AC6" w:rsidRDefault="00590568" w:rsidP="006178AF">
            <w:pPr>
              <w:rPr>
                <w:rFonts w:ascii="Calibri" w:hAnsi="Calibri" w:cs="Calibri"/>
                <w:color w:val="808080" w:themeColor="background1" w:themeShade="80"/>
                <w:sz w:val="22"/>
              </w:rPr>
            </w:pPr>
          </w:p>
          <w:p w14:paraId="5C9C796F" w14:textId="77777777" w:rsidR="00590568" w:rsidRPr="00895AC6" w:rsidRDefault="00590568" w:rsidP="006178AF">
            <w:pPr>
              <w:rPr>
                <w:rFonts w:ascii="Calibri" w:hAnsi="Calibri" w:cs="Calibri"/>
                <w:sz w:val="22"/>
              </w:rPr>
            </w:pPr>
          </w:p>
          <w:p w14:paraId="79EB726F" w14:textId="77777777" w:rsidR="00590568" w:rsidRPr="00895AC6" w:rsidRDefault="00590568" w:rsidP="006178AF">
            <w:pPr>
              <w:rPr>
                <w:rFonts w:ascii="Calibri" w:hAnsi="Calibri" w:cs="Calibri"/>
                <w:color w:val="808080" w:themeColor="background1" w:themeShade="80"/>
                <w:sz w:val="22"/>
              </w:rPr>
            </w:pPr>
          </w:p>
          <w:p w14:paraId="589207BB" w14:textId="77777777" w:rsidR="00590568" w:rsidRPr="00895AC6" w:rsidRDefault="00590568" w:rsidP="006178AF">
            <w:pPr>
              <w:rPr>
                <w:rFonts w:ascii="Calibri" w:hAnsi="Calibri" w:cs="Calibri"/>
                <w:color w:val="808080" w:themeColor="background1" w:themeShade="80"/>
                <w:sz w:val="22"/>
              </w:rPr>
            </w:pPr>
          </w:p>
          <w:p w14:paraId="753F7110" w14:textId="77777777" w:rsidR="00590568" w:rsidRPr="00895AC6" w:rsidRDefault="00590568" w:rsidP="006178AF">
            <w:pPr>
              <w:rPr>
                <w:rFonts w:ascii="Calibri" w:hAnsi="Calibri" w:cs="Calibri"/>
                <w:color w:val="808080" w:themeColor="background1" w:themeShade="80"/>
                <w:sz w:val="22"/>
              </w:rPr>
            </w:pPr>
          </w:p>
          <w:p w14:paraId="1DE174BE" w14:textId="77777777" w:rsidR="00590568" w:rsidRPr="00895AC6" w:rsidRDefault="00590568" w:rsidP="006178AF">
            <w:pPr>
              <w:rPr>
                <w:rFonts w:ascii="Calibri" w:hAnsi="Calibri" w:cs="Calibri"/>
                <w:color w:val="808080" w:themeColor="background1" w:themeShade="80"/>
                <w:sz w:val="22"/>
              </w:rPr>
            </w:pPr>
          </w:p>
          <w:p w14:paraId="6D484F4C" w14:textId="77777777" w:rsidR="00590568" w:rsidRPr="00895AC6" w:rsidRDefault="00590568" w:rsidP="006178AF">
            <w:pPr>
              <w:rPr>
                <w:rFonts w:ascii="Calibri" w:hAnsi="Calibri" w:cs="Calibri"/>
                <w:color w:val="808080" w:themeColor="background1" w:themeShade="80"/>
                <w:sz w:val="22"/>
              </w:rPr>
            </w:pPr>
          </w:p>
          <w:p w14:paraId="0A17123F" w14:textId="77777777" w:rsidR="00590568" w:rsidRPr="00895AC6" w:rsidRDefault="00590568" w:rsidP="006178AF">
            <w:pPr>
              <w:rPr>
                <w:rFonts w:ascii="Calibri" w:hAnsi="Calibri" w:cs="Calibri"/>
                <w:color w:val="808080" w:themeColor="background1" w:themeShade="80"/>
                <w:sz w:val="22"/>
              </w:rPr>
            </w:pPr>
          </w:p>
          <w:p w14:paraId="3223A346" w14:textId="77777777" w:rsidR="00590568" w:rsidRPr="00895AC6" w:rsidRDefault="00590568" w:rsidP="006178AF">
            <w:pPr>
              <w:rPr>
                <w:rFonts w:ascii="Calibri" w:hAnsi="Calibri" w:cs="Calibri"/>
                <w:color w:val="808080" w:themeColor="background1" w:themeShade="80"/>
                <w:sz w:val="22"/>
              </w:rPr>
            </w:pPr>
          </w:p>
          <w:p w14:paraId="1C3B8A9A" w14:textId="77777777" w:rsidR="00590568" w:rsidRPr="00895AC6" w:rsidRDefault="00590568" w:rsidP="006178AF">
            <w:pPr>
              <w:rPr>
                <w:rFonts w:ascii="Calibri" w:hAnsi="Calibri" w:cs="Calibri"/>
                <w:color w:val="808080" w:themeColor="background1" w:themeShade="80"/>
                <w:sz w:val="22"/>
              </w:rPr>
            </w:pPr>
          </w:p>
          <w:p w14:paraId="3340E514" w14:textId="77777777" w:rsidR="00590568" w:rsidRPr="00895AC6" w:rsidRDefault="00590568" w:rsidP="006178AF">
            <w:pPr>
              <w:rPr>
                <w:rFonts w:ascii="Calibri" w:hAnsi="Calibri" w:cs="Calibri"/>
                <w:color w:val="808080" w:themeColor="background1" w:themeShade="80"/>
                <w:sz w:val="22"/>
              </w:rPr>
            </w:pPr>
          </w:p>
        </w:tc>
        <w:tc>
          <w:tcPr>
            <w:tcW w:w="1092" w:type="pct"/>
          </w:tcPr>
          <w:p w14:paraId="5BA0ED68" w14:textId="724DD64F" w:rsidR="00590568" w:rsidRPr="00895AC6" w:rsidRDefault="00590568" w:rsidP="006178AF">
            <w:pPr>
              <w:spacing w:after="200"/>
              <w:rPr>
                <w:rFonts w:ascii="Calibri" w:hAnsi="Calibri" w:cs="Calibri"/>
                <w:sz w:val="22"/>
              </w:rPr>
            </w:pPr>
            <w:r w:rsidRPr="00895AC6">
              <w:rPr>
                <w:rFonts w:ascii="Calibri" w:hAnsi="Calibri" w:cs="Calibri"/>
                <w:sz w:val="22"/>
              </w:rPr>
              <w:lastRenderedPageBreak/>
              <w:t xml:space="preserve">Formal casework remained static from Q1 with 3 open cases, ranging from misconduct, performance, and grievance. </w:t>
            </w:r>
          </w:p>
          <w:p w14:paraId="47C09103" w14:textId="77777777" w:rsidR="00590568" w:rsidRPr="00895AC6" w:rsidRDefault="00590568" w:rsidP="006178AF">
            <w:pPr>
              <w:spacing w:after="200"/>
              <w:rPr>
                <w:rFonts w:ascii="Calibri" w:hAnsi="Calibri" w:cs="Calibri"/>
                <w:sz w:val="22"/>
              </w:rPr>
            </w:pPr>
            <w:r w:rsidRPr="00895AC6">
              <w:rPr>
                <w:rFonts w:ascii="Calibri" w:hAnsi="Calibri" w:cs="Calibri"/>
                <w:sz w:val="22"/>
              </w:rPr>
              <w:t>Informal casework has increased from 31 to 40 open cases. 16 new cases (37.5%) are short-term absence, 50% are miscellaneous as there are multiple reasons for the casework.</w:t>
            </w:r>
          </w:p>
          <w:p w14:paraId="4187FEF3" w14:textId="4A23417F" w:rsidR="00590568" w:rsidRPr="00895AC6" w:rsidRDefault="00590568" w:rsidP="006178AF">
            <w:pPr>
              <w:spacing w:after="200"/>
              <w:rPr>
                <w:rFonts w:ascii="Calibri" w:hAnsi="Calibri" w:cs="Calibri"/>
                <w:sz w:val="22"/>
              </w:rPr>
            </w:pPr>
            <w:r w:rsidRPr="00895AC6">
              <w:rPr>
                <w:rFonts w:ascii="Calibri" w:hAnsi="Calibri" w:cs="Calibri"/>
                <w:sz w:val="22"/>
              </w:rPr>
              <w:t xml:space="preserve">The average time to close cases was 3.4 weeks (68 working days). This is a significant reduction from Q2 by 21.6 weeks. This reduction may </w:t>
            </w:r>
            <w:r w:rsidR="00B244B8" w:rsidRPr="00895AC6">
              <w:rPr>
                <w:rFonts w:ascii="Calibri" w:hAnsi="Calibri" w:cs="Calibri"/>
                <w:sz w:val="22"/>
              </w:rPr>
              <w:lastRenderedPageBreak/>
              <w:t>reflect</w:t>
            </w:r>
            <w:r w:rsidRPr="00895AC6">
              <w:rPr>
                <w:rFonts w:ascii="Calibri" w:hAnsi="Calibri" w:cs="Calibri"/>
                <w:sz w:val="22"/>
              </w:rPr>
              <w:t xml:space="preserve"> the early intervention in cases by the P&amp;OD team and managers.</w:t>
            </w:r>
          </w:p>
        </w:tc>
        <w:tc>
          <w:tcPr>
            <w:tcW w:w="701" w:type="pct"/>
          </w:tcPr>
          <w:p w14:paraId="194C8878" w14:textId="77777777" w:rsidR="00590568" w:rsidRPr="00895AC6" w:rsidRDefault="00590568" w:rsidP="006178AF">
            <w:pPr>
              <w:rPr>
                <w:rFonts w:ascii="Calibri" w:hAnsi="Calibri" w:cs="Calibri"/>
                <w:sz w:val="22"/>
              </w:rPr>
            </w:pPr>
            <w:r w:rsidRPr="00895AC6">
              <w:rPr>
                <w:rFonts w:ascii="Calibri" w:hAnsi="Calibri" w:cs="Calibri"/>
                <w:sz w:val="22"/>
              </w:rPr>
              <w:lastRenderedPageBreak/>
              <w:t>P&amp;OD are working with managers to be proactive in managing long term absences and encouraging referrals to Occupational Health as soon as triggers are hit.</w:t>
            </w:r>
          </w:p>
          <w:p w14:paraId="281C356B" w14:textId="77777777" w:rsidR="00590568" w:rsidRPr="00895AC6" w:rsidRDefault="00590568" w:rsidP="006178AF">
            <w:pPr>
              <w:rPr>
                <w:rFonts w:ascii="Calibri" w:hAnsi="Calibri" w:cs="Calibri"/>
                <w:sz w:val="22"/>
              </w:rPr>
            </w:pPr>
          </w:p>
          <w:p w14:paraId="5D3A0AD5" w14:textId="77777777" w:rsidR="00590568" w:rsidRPr="00895AC6" w:rsidRDefault="00590568" w:rsidP="006178AF">
            <w:pPr>
              <w:rPr>
                <w:rFonts w:ascii="Calibri" w:hAnsi="Calibri" w:cs="Calibri"/>
                <w:sz w:val="22"/>
              </w:rPr>
            </w:pPr>
            <w:r w:rsidRPr="00895AC6">
              <w:rPr>
                <w:rFonts w:ascii="Calibri" w:hAnsi="Calibri" w:cs="Calibri"/>
                <w:sz w:val="22"/>
              </w:rPr>
              <w:t xml:space="preserve">The number of informal cases is increasing, which is reflective of the proactive approach being taken. </w:t>
            </w:r>
          </w:p>
        </w:tc>
      </w:tr>
      <w:tr w:rsidR="00590568" w14:paraId="1A6DD0F9" w14:textId="77777777" w:rsidTr="00590568">
        <w:trPr>
          <w:trHeight w:val="696"/>
        </w:trPr>
        <w:tc>
          <w:tcPr>
            <w:tcW w:w="550" w:type="pct"/>
          </w:tcPr>
          <w:p w14:paraId="2450A113" w14:textId="77777777" w:rsidR="00590568" w:rsidRPr="009A671A" w:rsidRDefault="00590568" w:rsidP="006178AF">
            <w:pPr>
              <w:rPr>
                <w:rFonts w:ascii="Calibri" w:hAnsi="Calibri" w:cs="Calibri"/>
                <w:b/>
                <w:color w:val="808080" w:themeColor="background1" w:themeShade="80"/>
              </w:rPr>
            </w:pPr>
            <w:r>
              <w:rPr>
                <w:rFonts w:ascii="Calibri" w:hAnsi="Calibri" w:cs="Calibri"/>
                <w:b/>
              </w:rPr>
              <w:t xml:space="preserve">Internal Movement </w:t>
            </w:r>
          </w:p>
        </w:tc>
        <w:tc>
          <w:tcPr>
            <w:tcW w:w="250" w:type="pct"/>
          </w:tcPr>
          <w:p w14:paraId="44401AD6" w14:textId="77777777" w:rsidR="00590568" w:rsidRDefault="00590568" w:rsidP="006178AF">
            <w:pPr>
              <w:rPr>
                <w:noProof/>
              </w:rPr>
            </w:pPr>
            <w:r>
              <w:rPr>
                <w:rFonts w:ascii="Calibri" w:hAnsi="Calibri" w:cs="Calibri"/>
                <w:noProof/>
                <w:color w:val="007DC3"/>
              </w:rPr>
              <mc:AlternateContent>
                <mc:Choice Requires="wps">
                  <w:drawing>
                    <wp:anchor distT="0" distB="0" distL="114300" distR="114300" simplePos="0" relativeHeight="251743232" behindDoc="0" locked="0" layoutInCell="1" allowOverlap="1" wp14:anchorId="1865FFBF" wp14:editId="1C110107">
                      <wp:simplePos x="0" y="0"/>
                      <wp:positionH relativeFrom="column">
                        <wp:posOffset>57785</wp:posOffset>
                      </wp:positionH>
                      <wp:positionV relativeFrom="paragraph">
                        <wp:posOffset>69850</wp:posOffset>
                      </wp:positionV>
                      <wp:extent cx="161925" cy="152400"/>
                      <wp:effectExtent l="0" t="0" r="9525" b="0"/>
                      <wp:wrapNone/>
                      <wp:docPr id="1070180513"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BEE2AA" id="Flowchart: Connector 1" o:spid="_x0000_s1026" type="#_x0000_t120" style="position:absolute;margin-left:4.55pt;margin-top:5.5pt;width:12.75pt;height:12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" fillcolor="#00b050" stroked="f" strokeweight="2pt"/>
                  </w:pict>
                </mc:Fallback>
              </mc:AlternateContent>
            </w:r>
          </w:p>
        </w:tc>
        <w:tc>
          <w:tcPr>
            <w:tcW w:w="2094" w:type="pct"/>
          </w:tcPr>
          <w:p w14:paraId="6A5261C6" w14:textId="77777777" w:rsidR="00590568" w:rsidRPr="00895AC6" w:rsidRDefault="00590568" w:rsidP="006178AF">
            <w:pPr>
              <w:rPr>
                <w:noProof/>
                <w:sz w:val="22"/>
              </w:rPr>
            </w:pPr>
            <w:r w:rsidRPr="00895AC6">
              <w:rPr>
                <w:noProof/>
                <w:sz w:val="22"/>
              </w:rPr>
              <w:drawing>
                <wp:inline distT="0" distB="0" distL="0" distR="0" wp14:anchorId="53613DB0" wp14:editId="11876E86">
                  <wp:extent cx="3531207" cy="1866900"/>
                  <wp:effectExtent l="0" t="0" r="0" b="0"/>
                  <wp:docPr id="426024750" name="Picture 1" descr="A graph showing the Headcount and Full Time Equivalent for the last 9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24750" name="Picture 1" descr="A graph showing the Headcount and Full Time Equivalent for the last 9 yea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60043" cy="1882145"/>
                          </a:xfrm>
                          <a:prstGeom prst="rect">
                            <a:avLst/>
                          </a:prstGeom>
                          <a:noFill/>
                        </pic:spPr>
                      </pic:pic>
                    </a:graphicData>
                  </a:graphic>
                </wp:inline>
              </w:drawing>
            </w:r>
          </w:p>
          <w:p w14:paraId="757DE78E" w14:textId="77777777"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lang w:eastAsia="en-GB"/>
              </w:rPr>
              <w:t>(This graph shows the trend of the organisations headcount and FTE to date)</w:t>
            </w:r>
          </w:p>
          <w:p w14:paraId="7A2931BC" w14:textId="77777777" w:rsidR="00590568" w:rsidRPr="00895AC6" w:rsidRDefault="00590568" w:rsidP="006178AF">
            <w:pPr>
              <w:rPr>
                <w:noProof/>
                <w:sz w:val="22"/>
              </w:rPr>
            </w:pPr>
          </w:p>
        </w:tc>
        <w:tc>
          <w:tcPr>
            <w:tcW w:w="312" w:type="pct"/>
          </w:tcPr>
          <w:p w14:paraId="196602F1" w14:textId="77777777" w:rsidR="00590568" w:rsidRPr="00895AC6" w:rsidRDefault="00590568" w:rsidP="006178AF">
            <w:pPr>
              <w:rPr>
                <w:rFonts w:ascii="Calibri" w:hAnsi="Calibri" w:cs="Calibri"/>
                <w:color w:val="808080" w:themeColor="background1" w:themeShade="80"/>
                <w:sz w:val="22"/>
              </w:rPr>
            </w:pPr>
            <w:r w:rsidRPr="00895AC6">
              <w:rPr>
                <w:rFonts w:ascii="Calibri" w:hAnsi="Calibri" w:cs="Calibri"/>
                <w:sz w:val="22"/>
              </w:rPr>
              <w:t xml:space="preserve">817↓ and 757↓   </w:t>
            </w:r>
          </w:p>
        </w:tc>
        <w:tc>
          <w:tcPr>
            <w:tcW w:w="1092" w:type="pct"/>
          </w:tcPr>
          <w:p w14:paraId="798BA4F3" w14:textId="3978981F" w:rsidR="00590568" w:rsidRPr="00895AC6" w:rsidRDefault="00590568" w:rsidP="006178AF">
            <w:pPr>
              <w:spacing w:after="200"/>
              <w:rPr>
                <w:rFonts w:ascii="Calibri" w:hAnsi="Calibri" w:cs="Calibri"/>
                <w:sz w:val="22"/>
              </w:rPr>
            </w:pPr>
            <w:r w:rsidRPr="00895AC6">
              <w:rPr>
                <w:rFonts w:ascii="Calibri" w:hAnsi="Calibri" w:cs="Calibri"/>
                <w:sz w:val="22"/>
              </w:rPr>
              <w:t>Headcount is 817(↓5) and FTE is 757 (↓1). There were 10 new starters (6 on permanent contracts, 4 on FTAs).</w:t>
            </w:r>
          </w:p>
          <w:p w14:paraId="7D43F077" w14:textId="6DFA616E" w:rsidR="00590568" w:rsidRPr="00895AC6" w:rsidRDefault="00590568" w:rsidP="006178AF">
            <w:pPr>
              <w:spacing w:after="200"/>
              <w:rPr>
                <w:rFonts w:ascii="Calibri" w:hAnsi="Calibri" w:cs="Calibri"/>
                <w:color w:val="808080" w:themeColor="background1" w:themeShade="80"/>
                <w:sz w:val="22"/>
              </w:rPr>
            </w:pPr>
            <w:r w:rsidRPr="00895AC6">
              <w:rPr>
                <w:rFonts w:ascii="Calibri" w:hAnsi="Calibri" w:cs="Calibri"/>
                <w:sz w:val="22"/>
              </w:rPr>
              <w:t xml:space="preserve">The FTA headcount continues to reduce (↓13), with only a slight increase in the Permanent headcount (↑6) </w:t>
            </w:r>
          </w:p>
        </w:tc>
        <w:tc>
          <w:tcPr>
            <w:tcW w:w="701" w:type="pct"/>
          </w:tcPr>
          <w:p w14:paraId="326CFE8A" w14:textId="77777777" w:rsidR="00590568" w:rsidRPr="00895AC6" w:rsidRDefault="00590568" w:rsidP="006178AF">
            <w:pPr>
              <w:rPr>
                <w:rFonts w:ascii="Calibri" w:hAnsi="Calibri" w:cs="Calibri"/>
                <w:sz w:val="22"/>
              </w:rPr>
            </w:pPr>
            <w:r w:rsidRPr="00895AC6">
              <w:rPr>
                <w:rFonts w:ascii="Calibri" w:hAnsi="Calibri" w:cs="Calibri"/>
                <w:sz w:val="22"/>
              </w:rPr>
              <w:t xml:space="preserve">The FTA review continues to raise awareness of the appropriate use of FTAs. </w:t>
            </w:r>
          </w:p>
        </w:tc>
      </w:tr>
      <w:tr w:rsidR="00590568" w14:paraId="7CED73E9" w14:textId="77777777" w:rsidTr="00590568">
        <w:trPr>
          <w:trHeight w:val="1757"/>
        </w:trPr>
        <w:tc>
          <w:tcPr>
            <w:tcW w:w="550" w:type="pct"/>
          </w:tcPr>
          <w:p w14:paraId="01F695F6" w14:textId="77777777" w:rsidR="00590568" w:rsidRPr="009A671A" w:rsidRDefault="00590568" w:rsidP="006178AF">
            <w:pPr>
              <w:rPr>
                <w:rFonts w:ascii="Calibri" w:hAnsi="Calibri" w:cs="Calibri"/>
                <w:b/>
              </w:rPr>
            </w:pPr>
            <w:r>
              <w:rPr>
                <w:rFonts w:ascii="Calibri" w:hAnsi="Calibri" w:cs="Calibri"/>
                <w:b/>
              </w:rPr>
              <w:lastRenderedPageBreak/>
              <w:t>Retirement Profile</w:t>
            </w:r>
          </w:p>
        </w:tc>
        <w:tc>
          <w:tcPr>
            <w:tcW w:w="250" w:type="pct"/>
          </w:tcPr>
          <w:p w14:paraId="6BE3A600" w14:textId="77777777" w:rsidR="00590568" w:rsidRDefault="00590568" w:rsidP="006178AF">
            <w:pPr>
              <w:rPr>
                <w:noProof/>
              </w:rPr>
            </w:pPr>
            <w:r>
              <w:rPr>
                <w:rFonts w:ascii="Calibri" w:hAnsi="Calibri" w:cs="Calibri"/>
                <w:noProof/>
                <w:color w:val="007DC3"/>
              </w:rPr>
              <mc:AlternateContent>
                <mc:Choice Requires="wps">
                  <w:drawing>
                    <wp:anchor distT="0" distB="0" distL="114300" distR="114300" simplePos="0" relativeHeight="251744256" behindDoc="0" locked="0" layoutInCell="1" allowOverlap="1" wp14:anchorId="0F285F22" wp14:editId="1AD64D1B">
                      <wp:simplePos x="0" y="0"/>
                      <wp:positionH relativeFrom="column">
                        <wp:posOffset>48260</wp:posOffset>
                      </wp:positionH>
                      <wp:positionV relativeFrom="paragraph">
                        <wp:posOffset>47625</wp:posOffset>
                      </wp:positionV>
                      <wp:extent cx="161925" cy="152400"/>
                      <wp:effectExtent l="0" t="0" r="9525" b="0"/>
                      <wp:wrapNone/>
                      <wp:docPr id="1465585030" name="Flowchart: Connector 1"/>
                      <wp:cNvGraphicFramePr/>
                      <a:graphic xmlns:a="http://schemas.openxmlformats.org/drawingml/2006/main">
                        <a:graphicData uri="http://schemas.microsoft.com/office/word/2010/wordprocessingShape">
                          <wps:wsp>
                            <wps:cNvSpPr/>
                            <wps:spPr>
                              <a:xfrm>
                                <a:off x="0" y="0"/>
                                <a:ext cx="161925" cy="152400"/>
                              </a:xfrm>
                              <a:prstGeom prst="flowChartConnector">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DF4B2A" id="Flowchart: Connector 1" o:spid="_x0000_s1026" type="#_x0000_t120" style="position:absolute;margin-left:3.8pt;margin-top:3.75pt;width:12.75pt;height:1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" fillcolor="#00b050" stroked="f" strokeweight="2pt"/>
                  </w:pict>
                </mc:Fallback>
              </mc:AlternateContent>
            </w:r>
          </w:p>
        </w:tc>
        <w:tc>
          <w:tcPr>
            <w:tcW w:w="2094" w:type="pct"/>
          </w:tcPr>
          <w:p w14:paraId="17645194" w14:textId="77777777" w:rsidR="00590568" w:rsidRPr="00895AC6" w:rsidRDefault="00590568" w:rsidP="006178AF">
            <w:pPr>
              <w:rPr>
                <w:noProof/>
                <w:sz w:val="22"/>
              </w:rPr>
            </w:pPr>
            <w:r w:rsidRPr="00895AC6">
              <w:rPr>
                <w:noProof/>
                <w:sz w:val="22"/>
              </w:rPr>
              <w:drawing>
                <wp:inline distT="0" distB="0" distL="0" distR="0" wp14:anchorId="2A58CFAA" wp14:editId="3DD17BE0">
                  <wp:extent cx="3488055" cy="2000250"/>
                  <wp:effectExtent l="0" t="0" r="0" b="0"/>
                  <wp:docPr id="917295857" name="Picture 2" descr="A graph showing the average number of retirements since 2017 and the forecasts for 2025/27 and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95857" name="Picture 2" descr="A graph showing the average number of retirements since 2017 and the forecasts for 2025/27 and 2026/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97981" cy="2005942"/>
                          </a:xfrm>
                          <a:prstGeom prst="rect">
                            <a:avLst/>
                          </a:prstGeom>
                          <a:noFill/>
                        </pic:spPr>
                      </pic:pic>
                    </a:graphicData>
                  </a:graphic>
                </wp:inline>
              </w:drawing>
            </w:r>
          </w:p>
          <w:p w14:paraId="7E9A63D1" w14:textId="55C98DFE" w:rsidR="00590568" w:rsidRPr="00895AC6" w:rsidRDefault="00590568" w:rsidP="006178AF">
            <w:pPr>
              <w:rPr>
                <w:noProof/>
                <w:sz w:val="22"/>
              </w:rPr>
            </w:pPr>
            <w:r w:rsidRPr="00895AC6">
              <w:rPr>
                <w:rFonts w:ascii="Calibri" w:eastAsia="Times New Roman" w:hAnsi="Calibri" w:cs="Calibri"/>
                <w:bCs/>
                <w:sz w:val="22"/>
                <w:lang w:eastAsia="en-GB"/>
              </w:rPr>
              <w:t xml:space="preserve"> (This graph shows number of retirees and our forecasted retirements) </w:t>
            </w:r>
          </w:p>
        </w:tc>
        <w:tc>
          <w:tcPr>
            <w:tcW w:w="312" w:type="pct"/>
          </w:tcPr>
          <w:p w14:paraId="03F44CF4" w14:textId="77777777" w:rsidR="00590568" w:rsidRPr="00895AC6" w:rsidRDefault="00590568" w:rsidP="006178AF">
            <w:pPr>
              <w:rPr>
                <w:rFonts w:ascii="Calibri" w:hAnsi="Calibri" w:cs="Calibri"/>
                <w:b/>
                <w:bCs/>
                <w:sz w:val="22"/>
              </w:rPr>
            </w:pPr>
          </w:p>
        </w:tc>
        <w:tc>
          <w:tcPr>
            <w:tcW w:w="1092" w:type="pct"/>
          </w:tcPr>
          <w:p w14:paraId="4E38E237" w14:textId="6270AB1C"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shd w:val="clear" w:color="auto" w:fill="FFFFFF" w:themeFill="background1"/>
                <w:lang w:eastAsia="en-GB"/>
              </w:rPr>
              <w:t>189 employees are aged 57+</w:t>
            </w:r>
            <w:r w:rsidRPr="00895AC6">
              <w:rPr>
                <w:rFonts w:ascii="Calibri" w:eastAsia="Times New Roman" w:hAnsi="Calibri" w:cs="Calibri"/>
                <w:bCs/>
                <w:sz w:val="22"/>
                <w:lang w:eastAsia="en-GB"/>
              </w:rPr>
              <w:t xml:space="preserve"> (23% of Q3 headcount). </w:t>
            </w:r>
          </w:p>
          <w:p w14:paraId="774B2CF2" w14:textId="77777777" w:rsidR="00590568" w:rsidRPr="00895AC6" w:rsidRDefault="00590568" w:rsidP="006178AF">
            <w:pPr>
              <w:textAlignment w:val="baseline"/>
              <w:rPr>
                <w:rFonts w:ascii="Calibri" w:eastAsia="Times New Roman" w:hAnsi="Calibri" w:cs="Calibri"/>
                <w:bCs/>
                <w:sz w:val="22"/>
                <w:lang w:eastAsia="en-GB"/>
              </w:rPr>
            </w:pPr>
          </w:p>
          <w:p w14:paraId="1A083F5F" w14:textId="77777777"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lang w:eastAsia="en-GB"/>
              </w:rPr>
              <w:t xml:space="preserve">This is predicted to reduce to 187 in Q1 2026/27. </w:t>
            </w:r>
          </w:p>
          <w:p w14:paraId="4973D1F0" w14:textId="77777777" w:rsidR="00590568" w:rsidRPr="00895AC6" w:rsidRDefault="00590568" w:rsidP="006178AF">
            <w:pPr>
              <w:textAlignment w:val="baseline"/>
              <w:rPr>
                <w:rFonts w:ascii="Times New Roman" w:eastAsia="Times New Roman" w:hAnsi="Times New Roman" w:cs="Times New Roman"/>
                <w:bCs/>
                <w:sz w:val="22"/>
                <w:lang w:eastAsia="en-GB"/>
              </w:rPr>
            </w:pPr>
          </w:p>
          <w:p w14:paraId="7B49C764" w14:textId="176146D0"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lang w:eastAsia="en-GB"/>
              </w:rPr>
              <w:t xml:space="preserve">2 employees retired (15% of Q3 leavers). </w:t>
            </w:r>
          </w:p>
          <w:p w14:paraId="5873340C" w14:textId="77777777" w:rsidR="00590568" w:rsidRPr="00895AC6" w:rsidRDefault="00590568" w:rsidP="006178AF">
            <w:pPr>
              <w:textAlignment w:val="baseline"/>
              <w:rPr>
                <w:rFonts w:ascii="Calibri" w:eastAsia="Times New Roman" w:hAnsi="Calibri" w:cs="Calibri"/>
                <w:bCs/>
                <w:sz w:val="22"/>
                <w:lang w:eastAsia="en-GB"/>
              </w:rPr>
            </w:pPr>
          </w:p>
          <w:p w14:paraId="56A09FC7" w14:textId="09E653C9" w:rsidR="00590568" w:rsidRPr="00895AC6" w:rsidRDefault="00590568" w:rsidP="006178AF">
            <w:pPr>
              <w:textAlignment w:val="baseline"/>
              <w:rPr>
                <w:rFonts w:ascii="Calibri" w:eastAsia="Times New Roman" w:hAnsi="Calibri" w:cs="Calibri"/>
                <w:bCs/>
                <w:i/>
                <w:iCs/>
                <w:sz w:val="22"/>
                <w:lang w:eastAsia="en-GB"/>
              </w:rPr>
            </w:pPr>
            <w:r w:rsidRPr="00895AC6">
              <w:rPr>
                <w:rFonts w:ascii="Calibri" w:eastAsia="Times New Roman" w:hAnsi="Calibri" w:cs="Calibri"/>
                <w:bCs/>
                <w:sz w:val="22"/>
                <w:lang w:eastAsia="en-GB"/>
              </w:rPr>
              <w:t xml:space="preserve">The average retirement age for is 67. </w:t>
            </w:r>
          </w:p>
          <w:p w14:paraId="6B1E72F3" w14:textId="6428FEAA" w:rsidR="00590568" w:rsidRPr="00895AC6" w:rsidRDefault="00590568" w:rsidP="006178AF">
            <w:pPr>
              <w:textAlignment w:val="baseline"/>
              <w:rPr>
                <w:rFonts w:ascii="Calibri" w:hAnsi="Calibri" w:cs="Calibri"/>
                <w:sz w:val="22"/>
              </w:rPr>
            </w:pPr>
          </w:p>
        </w:tc>
        <w:tc>
          <w:tcPr>
            <w:tcW w:w="701" w:type="pct"/>
          </w:tcPr>
          <w:p w14:paraId="0A2CD66E" w14:textId="13BEA5E3"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lang w:eastAsia="en-GB"/>
              </w:rPr>
              <w:t>The retirement forecast is on track (74%).</w:t>
            </w:r>
          </w:p>
          <w:p w14:paraId="752B0111" w14:textId="77777777" w:rsidR="00590568" w:rsidRPr="00895AC6" w:rsidRDefault="00590568" w:rsidP="006178AF">
            <w:pPr>
              <w:textAlignment w:val="baseline"/>
              <w:rPr>
                <w:rFonts w:ascii="Calibri" w:eastAsia="Times New Roman" w:hAnsi="Calibri" w:cs="Calibri"/>
                <w:bCs/>
                <w:sz w:val="22"/>
                <w:lang w:eastAsia="en-GB"/>
              </w:rPr>
            </w:pPr>
          </w:p>
          <w:p w14:paraId="0DD4D17B" w14:textId="77777777"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lang w:eastAsia="en-GB"/>
              </w:rPr>
              <w:t>The target for 2026 is</w:t>
            </w:r>
            <w:r w:rsidRPr="00895AC6">
              <w:rPr>
                <w:rFonts w:eastAsia="Times New Roman"/>
                <w:bCs/>
                <w:sz w:val="22"/>
                <w:lang w:eastAsia="en-GB"/>
              </w:rPr>
              <w:t xml:space="preserve"> </w:t>
            </w:r>
            <w:r w:rsidRPr="00895AC6">
              <w:rPr>
                <w:rFonts w:ascii="Calibri" w:eastAsia="Times New Roman" w:hAnsi="Calibri" w:cs="Calibri"/>
                <w:bCs/>
                <w:sz w:val="22"/>
                <w:lang w:eastAsia="en-GB"/>
              </w:rPr>
              <w:t xml:space="preserve">now forecasted to be 23 retirements. P&amp;OD will work with team managers to update retirement profiles in Q4. This information will support succession planning, to mitigate the risk of losing corporate knowledge. </w:t>
            </w:r>
          </w:p>
          <w:p w14:paraId="3875092A" w14:textId="77777777" w:rsidR="00590568" w:rsidRPr="00895AC6" w:rsidRDefault="00590568" w:rsidP="006178AF">
            <w:pPr>
              <w:textAlignment w:val="baseline"/>
              <w:rPr>
                <w:rFonts w:ascii="Times New Roman" w:eastAsia="Times New Roman" w:hAnsi="Times New Roman" w:cs="Times New Roman"/>
                <w:bCs/>
                <w:sz w:val="22"/>
                <w:lang w:eastAsia="en-GB"/>
              </w:rPr>
            </w:pPr>
          </w:p>
        </w:tc>
      </w:tr>
      <w:tr w:rsidR="00590568" w14:paraId="00317201" w14:textId="77777777" w:rsidTr="00590568">
        <w:trPr>
          <w:trHeight w:val="1757"/>
        </w:trPr>
        <w:tc>
          <w:tcPr>
            <w:tcW w:w="550" w:type="pct"/>
          </w:tcPr>
          <w:p w14:paraId="3C84A1D0" w14:textId="77777777" w:rsidR="00590568" w:rsidRDefault="00590568" w:rsidP="006178AF">
            <w:pPr>
              <w:rPr>
                <w:rFonts w:ascii="Calibri" w:hAnsi="Calibri" w:cs="Calibri"/>
                <w:b/>
              </w:rPr>
            </w:pPr>
            <w:bookmarkStart w:id="10" w:name="_Hlk210315477"/>
            <w:r>
              <w:rPr>
                <w:rFonts w:ascii="Calibri" w:hAnsi="Calibri" w:cs="Calibri"/>
                <w:b/>
              </w:rPr>
              <w:t xml:space="preserve">Recruitment </w:t>
            </w:r>
          </w:p>
        </w:tc>
        <w:tc>
          <w:tcPr>
            <w:tcW w:w="250" w:type="pct"/>
          </w:tcPr>
          <w:p w14:paraId="47407F41" w14:textId="77777777" w:rsidR="00590568" w:rsidRDefault="00590568" w:rsidP="006178AF">
            <w:pPr>
              <w:rPr>
                <w:rFonts w:ascii="Calibri" w:hAnsi="Calibri" w:cs="Calibri"/>
                <w:noProof/>
                <w:color w:val="007DC3"/>
              </w:rPr>
            </w:pPr>
            <w:r>
              <w:rPr>
                <w:rFonts w:ascii="Calibri" w:hAnsi="Calibri" w:cs="Calibri"/>
                <w:noProof/>
                <w:color w:val="007DC3"/>
              </w:rPr>
              <w:drawing>
                <wp:inline distT="0" distB="0" distL="0" distR="0" wp14:anchorId="66D33113" wp14:editId="5F461FFA">
                  <wp:extent cx="158750" cy="152400"/>
                  <wp:effectExtent l="0" t="0" r="0" b="0"/>
                  <wp:docPr id="629487490" name="Picture 10" descr="A pie chart showing the number of job applicants who would reapply to NatureScot in the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487490" name="Picture 10" descr="A pie chart showing the number of job applicants who would reapply to NatureScot in the fu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p>
        </w:tc>
        <w:tc>
          <w:tcPr>
            <w:tcW w:w="2094" w:type="pct"/>
          </w:tcPr>
          <w:p w14:paraId="105EC086" w14:textId="77777777" w:rsidR="00590568" w:rsidRPr="00895AC6" w:rsidRDefault="00590568" w:rsidP="006178AF">
            <w:pPr>
              <w:rPr>
                <w:noProof/>
                <w:sz w:val="22"/>
              </w:rPr>
            </w:pPr>
            <w:r w:rsidRPr="00895AC6">
              <w:rPr>
                <w:noProof/>
                <w:sz w:val="22"/>
              </w:rPr>
              <w:drawing>
                <wp:inline distT="0" distB="0" distL="0" distR="0" wp14:anchorId="7E8E9C6B" wp14:editId="0419E762">
                  <wp:extent cx="3623945" cy="2209800"/>
                  <wp:effectExtent l="0" t="0" r="14605" b="0"/>
                  <wp:docPr id="241852598" name="Chart 1" descr="A pie chart showing the number of job applicants who would apply to NatureScot in the future">
                    <a:extLst xmlns:a="http://schemas.openxmlformats.org/drawingml/2006/main">
                      <a:ext uri="{FF2B5EF4-FFF2-40B4-BE49-F238E27FC236}">
                        <a16:creationId xmlns:a16="http://schemas.microsoft.com/office/drawing/2014/main" id="{82224895-1585-8A4C-7E27-6208622AB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E0C9B57" w14:textId="77777777" w:rsidR="00590568" w:rsidRPr="00895AC6" w:rsidRDefault="00590568" w:rsidP="006178AF">
            <w:pPr>
              <w:rPr>
                <w:noProof/>
                <w:sz w:val="22"/>
              </w:rPr>
            </w:pPr>
          </w:p>
          <w:p w14:paraId="64B01718" w14:textId="77777777" w:rsidR="00590568" w:rsidRPr="00895AC6" w:rsidRDefault="00590568" w:rsidP="006178AF">
            <w:pPr>
              <w:rPr>
                <w:rFonts w:ascii="Calibri" w:hAnsi="Calibri" w:cs="Calibri"/>
                <w:noProof/>
                <w:sz w:val="22"/>
              </w:rPr>
            </w:pPr>
            <w:r w:rsidRPr="00895AC6">
              <w:rPr>
                <w:rFonts w:ascii="Calibri" w:hAnsi="Calibri" w:cs="Calibri"/>
                <w:noProof/>
                <w:sz w:val="22"/>
              </w:rPr>
              <w:lastRenderedPageBreak/>
              <w:t>(This graph shows the number of candidates who would consider applying for roles with NatureScot in the future)</w:t>
            </w:r>
          </w:p>
        </w:tc>
        <w:tc>
          <w:tcPr>
            <w:tcW w:w="312" w:type="pct"/>
          </w:tcPr>
          <w:p w14:paraId="5272E04A" w14:textId="77777777" w:rsidR="00590568" w:rsidRPr="00895AC6" w:rsidRDefault="00590568" w:rsidP="006178AF">
            <w:pPr>
              <w:rPr>
                <w:rFonts w:ascii="Calibri" w:hAnsi="Calibri" w:cs="Calibri"/>
                <w:b/>
                <w:bCs/>
                <w:sz w:val="22"/>
              </w:rPr>
            </w:pPr>
          </w:p>
        </w:tc>
        <w:tc>
          <w:tcPr>
            <w:tcW w:w="1092" w:type="pct"/>
          </w:tcPr>
          <w:p w14:paraId="1C13584B" w14:textId="7BC290F3" w:rsidR="00590568" w:rsidRPr="00895AC6" w:rsidRDefault="00590568" w:rsidP="006178AF">
            <w:pPr>
              <w:textAlignment w:val="baseline"/>
              <w:rPr>
                <w:rFonts w:ascii="Calibri" w:eastAsia="Times New Roman" w:hAnsi="Calibri" w:cs="Calibri"/>
                <w:bCs/>
                <w:sz w:val="22"/>
                <w:shd w:val="clear" w:color="auto" w:fill="FFFFFF" w:themeFill="background1"/>
                <w:lang w:eastAsia="en-GB"/>
              </w:rPr>
            </w:pPr>
            <w:r w:rsidRPr="00895AC6">
              <w:rPr>
                <w:rFonts w:ascii="Calibri" w:eastAsia="Times New Roman" w:hAnsi="Calibri" w:cs="Calibri"/>
                <w:bCs/>
                <w:sz w:val="22"/>
                <w:shd w:val="clear" w:color="auto" w:fill="FFFFFF" w:themeFill="background1"/>
                <w:lang w:eastAsia="en-GB"/>
              </w:rPr>
              <w:t>On average the time to hire has slightly increased to 54 days (</w:t>
            </w:r>
            <w:r w:rsidRPr="00895AC6">
              <w:rPr>
                <w:rFonts w:ascii="Calibri" w:hAnsi="Calibri" w:cs="Calibri"/>
                <w:sz w:val="22"/>
              </w:rPr>
              <w:t xml:space="preserve">↑0.2) which is </w:t>
            </w:r>
            <w:r w:rsidRPr="00895AC6">
              <w:rPr>
                <w:rFonts w:ascii="Calibri" w:eastAsia="Times New Roman" w:hAnsi="Calibri" w:cs="Calibri"/>
                <w:bCs/>
                <w:sz w:val="22"/>
                <w:shd w:val="clear" w:color="auto" w:fill="FFFFFF" w:themeFill="background1"/>
                <w:lang w:eastAsia="en-GB"/>
              </w:rPr>
              <w:t xml:space="preserve">above the trend analysis across all </w:t>
            </w:r>
            <w:proofErr w:type="gramStart"/>
            <w:r w:rsidRPr="00895AC6">
              <w:rPr>
                <w:rFonts w:ascii="Calibri" w:eastAsia="Times New Roman" w:hAnsi="Calibri" w:cs="Calibri"/>
                <w:bCs/>
                <w:sz w:val="22"/>
                <w:shd w:val="clear" w:color="auto" w:fill="FFFFFF" w:themeFill="background1"/>
                <w:lang w:eastAsia="en-GB"/>
              </w:rPr>
              <w:t>sectors  for</w:t>
            </w:r>
            <w:proofErr w:type="gramEnd"/>
            <w:r w:rsidRPr="00895AC6">
              <w:rPr>
                <w:rFonts w:ascii="Calibri" w:eastAsia="Times New Roman" w:hAnsi="Calibri" w:cs="Calibri"/>
                <w:bCs/>
                <w:sz w:val="22"/>
                <w:shd w:val="clear" w:color="auto" w:fill="FFFFFF" w:themeFill="background1"/>
                <w:lang w:eastAsia="en-GB"/>
              </w:rPr>
              <w:t xml:space="preserve"> which the average number of days to hire is 40 days. </w:t>
            </w:r>
          </w:p>
          <w:p w14:paraId="2D2EEDD2" w14:textId="77777777" w:rsidR="00590568" w:rsidRPr="00895AC6" w:rsidRDefault="00590568" w:rsidP="006178AF">
            <w:pPr>
              <w:textAlignment w:val="baseline"/>
              <w:rPr>
                <w:rFonts w:ascii="Calibri" w:eastAsia="Times New Roman" w:hAnsi="Calibri" w:cs="Calibri"/>
                <w:bCs/>
                <w:sz w:val="22"/>
                <w:shd w:val="clear" w:color="auto" w:fill="FFFFFF" w:themeFill="background1"/>
                <w:lang w:eastAsia="en-GB"/>
              </w:rPr>
            </w:pPr>
          </w:p>
          <w:p w14:paraId="7C664A15" w14:textId="23343364" w:rsidR="00590568" w:rsidRPr="00895AC6" w:rsidRDefault="00590568" w:rsidP="006178AF">
            <w:pPr>
              <w:textAlignment w:val="baseline"/>
              <w:rPr>
                <w:rFonts w:ascii="Calibri" w:eastAsia="Times New Roman" w:hAnsi="Calibri" w:cs="Calibri"/>
                <w:bCs/>
                <w:sz w:val="22"/>
                <w:shd w:val="clear" w:color="auto" w:fill="FFFFFF" w:themeFill="background1"/>
                <w:lang w:eastAsia="en-GB"/>
              </w:rPr>
            </w:pPr>
            <w:r w:rsidRPr="00895AC6">
              <w:rPr>
                <w:rFonts w:ascii="Calibri" w:eastAsia="Times New Roman" w:hAnsi="Calibri" w:cs="Calibri"/>
                <w:bCs/>
                <w:sz w:val="22"/>
                <w:shd w:val="clear" w:color="auto" w:fill="FFFFFF" w:themeFill="background1"/>
                <w:lang w:eastAsia="en-GB"/>
              </w:rPr>
              <w:t>A total of 26 candidates were interviewed, 3 internal and 23 external candidates.</w:t>
            </w:r>
          </w:p>
          <w:p w14:paraId="7B34FBB1" w14:textId="77777777" w:rsidR="00590568" w:rsidRPr="00895AC6" w:rsidRDefault="00590568" w:rsidP="006178AF">
            <w:pPr>
              <w:textAlignment w:val="baseline"/>
              <w:rPr>
                <w:rFonts w:ascii="Calibri" w:eastAsia="Times New Roman" w:hAnsi="Calibri" w:cs="Calibri"/>
                <w:bCs/>
                <w:sz w:val="22"/>
                <w:shd w:val="clear" w:color="auto" w:fill="FFFFFF" w:themeFill="background1"/>
                <w:lang w:eastAsia="en-GB"/>
              </w:rPr>
            </w:pPr>
          </w:p>
          <w:p w14:paraId="3AA89D14" w14:textId="77777777" w:rsidR="00590568" w:rsidRPr="00895AC6" w:rsidRDefault="00590568" w:rsidP="006178AF">
            <w:pPr>
              <w:textAlignment w:val="baseline"/>
              <w:rPr>
                <w:rFonts w:ascii="Calibri" w:eastAsia="Times New Roman" w:hAnsi="Calibri" w:cs="Calibri"/>
                <w:bCs/>
                <w:sz w:val="22"/>
                <w:shd w:val="clear" w:color="auto" w:fill="FFFFFF" w:themeFill="background1"/>
                <w:lang w:eastAsia="en-GB"/>
              </w:rPr>
            </w:pPr>
          </w:p>
        </w:tc>
        <w:tc>
          <w:tcPr>
            <w:tcW w:w="701" w:type="pct"/>
          </w:tcPr>
          <w:p w14:paraId="719ED1C5" w14:textId="4B33F469" w:rsidR="00590568" w:rsidRPr="00895AC6" w:rsidRDefault="00590568" w:rsidP="006178AF">
            <w:pPr>
              <w:textAlignment w:val="baseline"/>
              <w:rPr>
                <w:rFonts w:ascii="Calibri" w:eastAsia="Times New Roman" w:hAnsi="Calibri" w:cs="Calibri"/>
                <w:bCs/>
                <w:sz w:val="22"/>
                <w:lang w:eastAsia="en-GB"/>
              </w:rPr>
            </w:pPr>
            <w:r w:rsidRPr="00895AC6">
              <w:rPr>
                <w:rFonts w:ascii="Calibri" w:eastAsia="Times New Roman" w:hAnsi="Calibri" w:cs="Calibri"/>
                <w:bCs/>
                <w:sz w:val="22"/>
                <w:lang w:eastAsia="en-GB"/>
              </w:rPr>
              <w:t xml:space="preserve">88% of applicants would apply for future roles at NatureScot, and 81% are content with the overall recruitment process. The offer process was launched in Fusion. This will improve time to hire and provide efficiencies </w:t>
            </w:r>
            <w:r w:rsidRPr="00895AC6">
              <w:rPr>
                <w:rFonts w:ascii="Calibri" w:eastAsia="Times New Roman" w:hAnsi="Calibri" w:cs="Calibri"/>
                <w:bCs/>
                <w:sz w:val="22"/>
                <w:lang w:eastAsia="en-GB"/>
              </w:rPr>
              <w:lastRenderedPageBreak/>
              <w:t xml:space="preserve">in the onboarding process. </w:t>
            </w:r>
          </w:p>
          <w:p w14:paraId="74E253AC" w14:textId="77777777" w:rsidR="00590568" w:rsidRPr="00895AC6" w:rsidRDefault="00590568" w:rsidP="006178AF">
            <w:pPr>
              <w:textAlignment w:val="baseline"/>
              <w:rPr>
                <w:rFonts w:ascii="Calibri" w:eastAsia="Times New Roman" w:hAnsi="Calibri" w:cs="Calibri"/>
                <w:bCs/>
                <w:sz w:val="22"/>
                <w:lang w:eastAsia="en-GB"/>
              </w:rPr>
            </w:pPr>
          </w:p>
          <w:p w14:paraId="29B0D6E9" w14:textId="77777777" w:rsidR="00590568" w:rsidRPr="00895AC6" w:rsidRDefault="00590568" w:rsidP="006178AF">
            <w:pPr>
              <w:textAlignment w:val="baseline"/>
              <w:rPr>
                <w:rFonts w:ascii="Calibri" w:eastAsia="Times New Roman" w:hAnsi="Calibri" w:cs="Calibri"/>
                <w:bCs/>
                <w:sz w:val="22"/>
                <w:lang w:eastAsia="en-GB"/>
              </w:rPr>
            </w:pPr>
          </w:p>
        </w:tc>
      </w:tr>
      <w:bookmarkEnd w:id="10"/>
    </w:tbl>
    <w:p w14:paraId="03EF3D2D" w14:textId="77777777" w:rsidR="00590568" w:rsidRDefault="00590568" w:rsidP="009C29B2"/>
    <w:p w14:paraId="3B0CC3C6" w14:textId="77777777" w:rsidR="00590568" w:rsidRPr="00901781" w:rsidRDefault="00590568" w:rsidP="00E1547F">
      <w:pPr>
        <w:tabs>
          <w:tab w:val="left" w:pos="2406"/>
        </w:tabs>
        <w:rPr>
          <w:rFonts w:ascii="Calibri" w:hAnsi="Calibri" w:cs="Calibri"/>
        </w:rPr>
      </w:pPr>
    </w:p>
    <w:p w14:paraId="2101D572" w14:textId="41CAD1E5" w:rsidR="006B4F97" w:rsidRDefault="006B4F97" w:rsidP="008D20BE">
      <w:pPr>
        <w:keepNext/>
        <w:keepLines/>
        <w:spacing w:before="40" w:after="0" w:line="259" w:lineRule="auto"/>
        <w:outlineLvl w:val="1"/>
        <w:rPr>
          <w:rFonts w:ascii="Calibri" w:eastAsiaTheme="majorEastAsia" w:hAnsi="Calibri" w:cs="Calibri"/>
          <w:b/>
          <w:color w:val="007DC3"/>
          <w:sz w:val="28"/>
          <w:szCs w:val="28"/>
        </w:rPr>
        <w:sectPr w:rsidR="006B4F97" w:rsidSect="000820AF">
          <w:pgSz w:w="16838" w:h="11906" w:orient="landscape" w:code="9"/>
          <w:pgMar w:top="1440" w:right="1440" w:bottom="1440" w:left="1440" w:header="567" w:footer="709" w:gutter="0"/>
          <w:cols w:space="708"/>
          <w:docGrid w:linePitch="360"/>
        </w:sectPr>
      </w:pPr>
    </w:p>
    <w:p w14:paraId="43D845D3" w14:textId="28D75DA3" w:rsidR="006B4F97" w:rsidRPr="007F243D" w:rsidRDefault="00B0014B" w:rsidP="00E1547F">
      <w:pPr>
        <w:pStyle w:val="Heading1"/>
        <w:rPr>
          <w:rFonts w:eastAsiaTheme="minorHAnsi"/>
        </w:rPr>
      </w:pPr>
      <w:r w:rsidRPr="007F243D">
        <w:rPr>
          <w:rFonts w:eastAsiaTheme="minorHAnsi"/>
        </w:rPr>
        <w:lastRenderedPageBreak/>
        <w:t>A</w:t>
      </w:r>
      <w:r w:rsidR="00AD2E4D" w:rsidRPr="007F243D">
        <w:rPr>
          <w:rFonts w:eastAsiaTheme="minorHAnsi"/>
        </w:rPr>
        <w:t>ppendi</w:t>
      </w:r>
      <w:r w:rsidRPr="007F243D">
        <w:rPr>
          <w:rFonts w:eastAsiaTheme="minorHAnsi"/>
        </w:rPr>
        <w:t xml:space="preserve">x 2 – </w:t>
      </w:r>
      <w:r w:rsidR="007B5077" w:rsidRPr="007F243D">
        <w:rPr>
          <w:rFonts w:eastAsiaTheme="minorHAnsi"/>
        </w:rPr>
        <w:t xml:space="preserve">Finance </w:t>
      </w:r>
      <w:r w:rsidR="00E81E84" w:rsidRPr="007F243D">
        <w:rPr>
          <w:rFonts w:eastAsiaTheme="minorHAnsi"/>
        </w:rPr>
        <w:t xml:space="preserve">Report - </w:t>
      </w:r>
      <w:r w:rsidR="007B5077" w:rsidRPr="007F243D">
        <w:rPr>
          <w:rFonts w:eastAsiaTheme="minorHAnsi"/>
        </w:rPr>
        <w:t>Performance Detail</w:t>
      </w:r>
    </w:p>
    <w:p w14:paraId="4EB4F80B" w14:textId="77777777" w:rsidR="00A479D5" w:rsidRPr="00895AC6" w:rsidRDefault="00A479D5" w:rsidP="00A479D5">
      <w:pPr>
        <w:pStyle w:val="Heading2"/>
        <w:rPr>
          <w:rFonts w:ascii="Calibri" w:eastAsia="Times New Roman" w:hAnsi="Calibri" w:cs="Calibri"/>
          <w:szCs w:val="24"/>
        </w:rPr>
      </w:pPr>
      <w:r w:rsidRPr="00895AC6">
        <w:rPr>
          <w:rFonts w:ascii="Calibri" w:eastAsia="Times New Roman" w:hAnsi="Calibri" w:cs="Calibri"/>
          <w:szCs w:val="24"/>
        </w:rPr>
        <w:t xml:space="preserve">Resource Budget Performance </w:t>
      </w:r>
    </w:p>
    <w:p w14:paraId="0F9C8A93"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An overspend of £1.1m is currently forecast on the resource budget.  This assumes £0.8m of surrenders will be achieved from the Objectives.  To come in on budget, we would need to achieve £1.9m of surrenders.  </w:t>
      </w:r>
    </w:p>
    <w:p w14:paraId="1800E370" w14:textId="77777777" w:rsidR="00D220F2" w:rsidRPr="00895AC6" w:rsidRDefault="00D220F2" w:rsidP="00D220F2">
      <w:pPr>
        <w:pStyle w:val="ListParagraph"/>
        <w:spacing w:after="0"/>
        <w:ind w:left="357"/>
        <w:rPr>
          <w:rFonts w:ascii="Calibri" w:hAnsi="Calibri" w:cs="Calibri"/>
          <w:sz w:val="22"/>
        </w:rPr>
      </w:pPr>
    </w:p>
    <w:p w14:paraId="037CF54F"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The current 4-year average level of surrenders is £1.7m and the 2024/25 value of surrenders received was £1.8m in Q4.  </w:t>
      </w:r>
    </w:p>
    <w:p w14:paraId="362099E6" w14:textId="77777777" w:rsidR="00D220F2" w:rsidRPr="00D220F2" w:rsidRDefault="00D220F2" w:rsidP="00D220F2">
      <w:pPr>
        <w:spacing w:after="0"/>
        <w:rPr>
          <w:rFonts w:ascii="Calibri" w:hAnsi="Calibri" w:cs="Calibri"/>
          <w:sz w:val="22"/>
        </w:rPr>
      </w:pPr>
    </w:p>
    <w:p w14:paraId="6BDB8B3F"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At the same point in 2024/25 an overspend of £0.9m was forecast.  </w:t>
      </w:r>
    </w:p>
    <w:p w14:paraId="14E034F7" w14:textId="77777777" w:rsidR="00D220F2" w:rsidRPr="00D220F2" w:rsidRDefault="00D220F2" w:rsidP="00D220F2">
      <w:pPr>
        <w:spacing w:after="0"/>
        <w:rPr>
          <w:rFonts w:ascii="Calibri" w:hAnsi="Calibri" w:cs="Calibri"/>
          <w:sz w:val="22"/>
        </w:rPr>
      </w:pPr>
    </w:p>
    <w:p w14:paraId="6079EEE3"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current Paybill forecast is £45.9m</w:t>
      </w:r>
      <w:r w:rsidRPr="00895AC6">
        <w:rPr>
          <w:sz w:val="22"/>
        </w:rPr>
        <w:t xml:space="preserve"> based on the agreed pay settlement of 4%</w:t>
      </w:r>
      <w:r w:rsidRPr="00895AC6">
        <w:rPr>
          <w:rFonts w:ascii="Calibri" w:hAnsi="Calibri" w:cs="Calibri"/>
          <w:sz w:val="22"/>
        </w:rPr>
        <w:t xml:space="preserve">.  </w:t>
      </w:r>
    </w:p>
    <w:p w14:paraId="1B8BC20B" w14:textId="77777777" w:rsidR="00D220F2" w:rsidRPr="00D220F2" w:rsidRDefault="00D220F2" w:rsidP="00D220F2">
      <w:pPr>
        <w:spacing w:after="0"/>
        <w:rPr>
          <w:rFonts w:ascii="Calibri" w:hAnsi="Calibri" w:cs="Calibri"/>
          <w:sz w:val="22"/>
        </w:rPr>
      </w:pPr>
    </w:p>
    <w:p w14:paraId="40CE762C" w14:textId="77777777" w:rsidR="00A479D5" w:rsidRPr="00D220F2" w:rsidRDefault="00A479D5" w:rsidP="00105CBE">
      <w:pPr>
        <w:pStyle w:val="ListParagraph"/>
        <w:numPr>
          <w:ilvl w:val="0"/>
          <w:numId w:val="35"/>
        </w:numPr>
        <w:spacing w:after="0"/>
        <w:ind w:left="357" w:hanging="357"/>
        <w:rPr>
          <w:sz w:val="22"/>
        </w:rPr>
      </w:pPr>
      <w:r w:rsidRPr="00895AC6">
        <w:rPr>
          <w:rFonts w:ascii="Calibri" w:hAnsi="Calibri" w:cs="Calibri"/>
          <w:sz w:val="22"/>
        </w:rPr>
        <w:t>Finance team colleagues engage with Objective Leads monthly to review progress and financial performance for their objectives, advising them to make changes to the confidence level as commitments, spend and surrenders are progressed.</w:t>
      </w:r>
    </w:p>
    <w:p w14:paraId="1BE001E9" w14:textId="77777777" w:rsidR="00D220F2" w:rsidRPr="00D220F2" w:rsidRDefault="00D220F2" w:rsidP="00D220F2">
      <w:pPr>
        <w:spacing w:after="0"/>
        <w:rPr>
          <w:sz w:val="22"/>
        </w:rPr>
      </w:pPr>
    </w:p>
    <w:p w14:paraId="61056F77" w14:textId="2539307D" w:rsidR="00D220F2"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The project budget and target are £17.8m with a current expected outturn of £18.5m.  The Project Allocation Forecast Tracker does not include any ring-fenced funds, therefore NRF, Peatlands, FIRNS, SMEEF, RRF and </w:t>
      </w:r>
      <w:proofErr w:type="spellStart"/>
      <w:r w:rsidRPr="00895AC6">
        <w:rPr>
          <w:rFonts w:ascii="Calibri" w:hAnsi="Calibri" w:cs="Calibri"/>
          <w:sz w:val="22"/>
        </w:rPr>
        <w:t>FwN</w:t>
      </w:r>
      <w:proofErr w:type="spellEnd"/>
      <w:r w:rsidRPr="00895AC6">
        <w:rPr>
          <w:rFonts w:ascii="Calibri" w:hAnsi="Calibri" w:cs="Calibri"/>
          <w:sz w:val="22"/>
        </w:rPr>
        <w:t xml:space="preserve"> are excluded.  The JNCC contribution is also not included.</w:t>
      </w:r>
    </w:p>
    <w:p w14:paraId="6404E7F6" w14:textId="77777777" w:rsidR="00D220F2" w:rsidRPr="00D220F2" w:rsidRDefault="00D220F2" w:rsidP="00D220F2">
      <w:pPr>
        <w:spacing w:after="0"/>
        <w:rPr>
          <w:rFonts w:ascii="Calibri" w:hAnsi="Calibri" w:cs="Calibri"/>
          <w:sz w:val="22"/>
        </w:rPr>
      </w:pPr>
    </w:p>
    <w:p w14:paraId="2C974AB3" w14:textId="4ECABC9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Farming with Nature budget is £0.8m.  We are currently forecasting full spend on this programm</w:t>
      </w:r>
      <w:r w:rsidR="00D220F2">
        <w:rPr>
          <w:rFonts w:ascii="Calibri" w:hAnsi="Calibri" w:cs="Calibri"/>
          <w:sz w:val="22"/>
        </w:rPr>
        <w:t xml:space="preserve">e. </w:t>
      </w:r>
    </w:p>
    <w:p w14:paraId="09E103AD" w14:textId="77777777" w:rsidR="00D220F2" w:rsidRPr="00D220F2" w:rsidRDefault="00D220F2" w:rsidP="00D220F2">
      <w:pPr>
        <w:spacing w:after="0"/>
        <w:rPr>
          <w:rFonts w:ascii="Calibri" w:hAnsi="Calibri" w:cs="Calibri"/>
          <w:sz w:val="22"/>
        </w:rPr>
      </w:pPr>
    </w:p>
    <w:p w14:paraId="43196CC6"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Facility for Investment Ready Nature in Scotland (FIRNS) budget is £1.6m, £1.2m from SG and £0.4m transferred from NRF.  We are forecasting £1.6m on this programme.</w:t>
      </w:r>
    </w:p>
    <w:p w14:paraId="1C7C6417" w14:textId="77777777" w:rsidR="00D220F2" w:rsidRPr="00D220F2" w:rsidRDefault="00D220F2" w:rsidP="00D220F2">
      <w:pPr>
        <w:spacing w:after="0"/>
        <w:rPr>
          <w:rFonts w:ascii="Calibri" w:hAnsi="Calibri" w:cs="Calibri"/>
          <w:sz w:val="22"/>
        </w:rPr>
      </w:pPr>
    </w:p>
    <w:p w14:paraId="416EC72A" w14:textId="01ADEE58" w:rsidR="00A479D5" w:rsidRPr="00895AC6"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We have </w:t>
      </w:r>
      <w:r w:rsidRPr="00895AC6">
        <w:rPr>
          <w:sz w:val="22"/>
        </w:rPr>
        <w:t xml:space="preserve">received </w:t>
      </w:r>
      <w:r w:rsidRPr="00895AC6">
        <w:rPr>
          <w:rFonts w:ascii="Calibri" w:hAnsi="Calibri" w:cs="Calibri"/>
          <w:sz w:val="22"/>
        </w:rPr>
        <w:t xml:space="preserve">£3.3m of income to date.  Our current income budget is £6.2m. which includes the £0.6m </w:t>
      </w:r>
      <w:r w:rsidR="00600E73" w:rsidRPr="00895AC6">
        <w:rPr>
          <w:rFonts w:ascii="Calibri" w:hAnsi="Calibri" w:cs="Calibri"/>
          <w:sz w:val="22"/>
        </w:rPr>
        <w:t>Peatland Shared Island Fund income which</w:t>
      </w:r>
      <w:r w:rsidRPr="00895AC6">
        <w:rPr>
          <w:rFonts w:ascii="Calibri" w:hAnsi="Calibri" w:cs="Calibri"/>
          <w:sz w:val="22"/>
        </w:rPr>
        <w:t xml:space="preserve"> we are to transfer to Scottish Water.  We are behind with our anticipated income compared to last year (54% v 69%)</w:t>
      </w:r>
      <w:r w:rsidR="004D3ACB" w:rsidRPr="00895AC6">
        <w:rPr>
          <w:rFonts w:ascii="Calibri" w:hAnsi="Calibri" w:cs="Calibri"/>
          <w:sz w:val="22"/>
        </w:rPr>
        <w:t xml:space="preserve"> but confident of achieving budget in Q4</w:t>
      </w:r>
      <w:r w:rsidR="00600E73" w:rsidRPr="00895AC6">
        <w:rPr>
          <w:rFonts w:ascii="Calibri" w:hAnsi="Calibri" w:cs="Calibri"/>
          <w:sz w:val="22"/>
        </w:rPr>
        <w:t xml:space="preserve"> (with the £600k Peatland income causing the skewed percentage attainment.)</w:t>
      </w:r>
      <w:r w:rsidRPr="00895AC6">
        <w:rPr>
          <w:rFonts w:ascii="Calibri" w:hAnsi="Calibri" w:cs="Calibri"/>
          <w:sz w:val="22"/>
        </w:rPr>
        <w:t xml:space="preserve"> </w:t>
      </w:r>
    </w:p>
    <w:p w14:paraId="51DB6AED" w14:textId="77777777" w:rsidR="00A479D5" w:rsidRPr="00895AC6" w:rsidRDefault="00A479D5" w:rsidP="00A479D5">
      <w:pPr>
        <w:pStyle w:val="ListParagraph"/>
        <w:spacing w:after="0" w:line="120" w:lineRule="auto"/>
        <w:ind w:left="357"/>
        <w:jc w:val="both"/>
        <w:rPr>
          <w:rFonts w:ascii="Calibri" w:hAnsi="Calibri" w:cs="Calibri"/>
          <w:sz w:val="22"/>
        </w:rPr>
      </w:pPr>
    </w:p>
    <w:p w14:paraId="69A1E9AD" w14:textId="77777777" w:rsidR="00A479D5" w:rsidRPr="00895AC6" w:rsidRDefault="00A479D5" w:rsidP="00A479D5">
      <w:pPr>
        <w:pStyle w:val="Heading2"/>
        <w:rPr>
          <w:rFonts w:ascii="Calibri" w:eastAsia="Times New Roman" w:hAnsi="Calibri" w:cs="Calibri"/>
          <w:szCs w:val="24"/>
        </w:rPr>
      </w:pPr>
      <w:r w:rsidRPr="00895AC6">
        <w:rPr>
          <w:rFonts w:ascii="Calibri" w:eastAsia="Times New Roman" w:hAnsi="Calibri" w:cs="Calibri"/>
          <w:szCs w:val="24"/>
        </w:rPr>
        <w:t>Indirect Capital Performance</w:t>
      </w:r>
    </w:p>
    <w:p w14:paraId="038E7B0D"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Following the hand-back of £1.2m at SBR, the indirect capital budget is now £24.3m.  It is made up of £15.9m for Peatland Action, £7.3m for Nature Restoration, £1m for Rainforest Restoration, and £0.1m for SAOS Deer Larders.  </w:t>
      </w:r>
    </w:p>
    <w:p w14:paraId="2C037028" w14:textId="77777777" w:rsidR="00D220F2" w:rsidRPr="00895AC6" w:rsidRDefault="00D220F2" w:rsidP="00D220F2">
      <w:pPr>
        <w:pStyle w:val="ListParagraph"/>
        <w:spacing w:after="0"/>
        <w:ind w:left="357"/>
        <w:rPr>
          <w:rFonts w:ascii="Calibri" w:hAnsi="Calibri" w:cs="Calibri"/>
          <w:sz w:val="22"/>
        </w:rPr>
      </w:pPr>
    </w:p>
    <w:p w14:paraId="0C13561A" w14:textId="77777777" w:rsidR="00A479D5" w:rsidRPr="00895AC6"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At the end of Q3, we are forecasting an underspend of £0.2m, made up of an underspend of £0.4m from Nature Restoration and £0.1m from Rainforest Restoration and an overspend of £0.3m from Peatland Action. </w:t>
      </w:r>
    </w:p>
    <w:p w14:paraId="5CDAD5A5" w14:textId="77777777" w:rsidR="00A479D5" w:rsidRPr="00895AC6" w:rsidRDefault="00A479D5" w:rsidP="00A479D5">
      <w:pPr>
        <w:spacing w:after="0" w:line="120" w:lineRule="auto"/>
        <w:jc w:val="both"/>
        <w:rPr>
          <w:rFonts w:ascii="Calibri" w:hAnsi="Calibri" w:cs="Calibri"/>
          <w:sz w:val="22"/>
        </w:rPr>
      </w:pPr>
    </w:p>
    <w:p w14:paraId="52430F9B" w14:textId="77777777" w:rsidR="00A479D5" w:rsidRPr="00895AC6" w:rsidRDefault="00A479D5" w:rsidP="00A479D5">
      <w:pPr>
        <w:pStyle w:val="Heading2"/>
        <w:rPr>
          <w:rFonts w:ascii="Calibri" w:eastAsia="Times New Roman" w:hAnsi="Calibri" w:cs="Calibri"/>
          <w:szCs w:val="24"/>
        </w:rPr>
      </w:pPr>
      <w:r w:rsidRPr="00895AC6">
        <w:rPr>
          <w:rFonts w:ascii="Calibri" w:eastAsia="Times New Roman" w:hAnsi="Calibri" w:cs="Calibri"/>
          <w:szCs w:val="24"/>
        </w:rPr>
        <w:t>Peatland Action</w:t>
      </w:r>
    </w:p>
    <w:p w14:paraId="71BA8007"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Peatland Action has a resource budget for the year of £4.2m.  We are currently forecasting an underspend of £56k, however this is after allowing for 10% slippage on the paybill forecast due </w:t>
      </w:r>
      <w:r w:rsidRPr="00895AC6">
        <w:rPr>
          <w:rFonts w:ascii="Calibri" w:hAnsi="Calibri" w:cs="Calibri"/>
          <w:sz w:val="22"/>
        </w:rPr>
        <w:lastRenderedPageBreak/>
        <w:t xml:space="preserve">to staff turnover which </w:t>
      </w:r>
      <w:proofErr w:type="gramStart"/>
      <w:r w:rsidRPr="00895AC6">
        <w:rPr>
          <w:rFonts w:ascii="Calibri" w:hAnsi="Calibri" w:cs="Calibri"/>
          <w:sz w:val="22"/>
        </w:rPr>
        <w:t>is considered to be</w:t>
      </w:r>
      <w:proofErr w:type="gramEnd"/>
      <w:r w:rsidRPr="00895AC6">
        <w:rPr>
          <w:rFonts w:ascii="Calibri" w:hAnsi="Calibri" w:cs="Calibri"/>
          <w:sz w:val="22"/>
        </w:rPr>
        <w:t xml:space="preserve"> very prudent.  It is expected to finish the financial year on budget.</w:t>
      </w:r>
    </w:p>
    <w:p w14:paraId="6369AD13" w14:textId="77777777" w:rsidR="00D220F2" w:rsidRPr="00895AC6" w:rsidRDefault="00D220F2" w:rsidP="00D220F2">
      <w:pPr>
        <w:pStyle w:val="ListParagraph"/>
        <w:spacing w:after="0"/>
        <w:ind w:left="357"/>
        <w:rPr>
          <w:rFonts w:ascii="Calibri" w:hAnsi="Calibri" w:cs="Calibri"/>
          <w:sz w:val="22"/>
        </w:rPr>
      </w:pPr>
    </w:p>
    <w:p w14:paraId="1ACE7AC4" w14:textId="77777777" w:rsidR="00A479D5"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The indirect capital budget is £15.9m after a hand back of £1m in November.  The current forecast is £16.2m, being an overspend of £0.3m.  Since the contract offers went out in August, </w:t>
      </w:r>
      <w:proofErr w:type="gramStart"/>
      <w:r w:rsidRPr="00895AC6">
        <w:rPr>
          <w:rFonts w:ascii="Calibri" w:hAnsi="Calibri" w:cs="Calibri"/>
          <w:sz w:val="22"/>
        </w:rPr>
        <w:t>the majority of</w:t>
      </w:r>
      <w:proofErr w:type="gramEnd"/>
      <w:r w:rsidRPr="00895AC6">
        <w:rPr>
          <w:rFonts w:ascii="Calibri" w:hAnsi="Calibri" w:cs="Calibri"/>
          <w:sz w:val="22"/>
        </w:rPr>
        <w:t xml:space="preserve"> projects have started on the ground. Spend has picked up as a result. In December actual spend was £1.7m which is approximately £0.5m higher than previous month which indicates that spend is speeding up as we enter Q4, however there is still £10m indirect capital to be spent.  </w:t>
      </w:r>
    </w:p>
    <w:p w14:paraId="69FDA990" w14:textId="77777777" w:rsidR="00D220F2" w:rsidRPr="00D220F2" w:rsidRDefault="00D220F2" w:rsidP="00D220F2">
      <w:pPr>
        <w:spacing w:after="0"/>
        <w:rPr>
          <w:rFonts w:ascii="Calibri" w:hAnsi="Calibri" w:cs="Calibri"/>
          <w:sz w:val="22"/>
        </w:rPr>
      </w:pPr>
    </w:p>
    <w:p w14:paraId="7E486C2B" w14:textId="77777777" w:rsidR="00A479D5" w:rsidRPr="00895AC6" w:rsidRDefault="00A479D5" w:rsidP="00105CBE">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forecast is made with the expectation that spend on restoration projects will suffer from 20% slippage which is in line with the rate of slippage in the prior year therefore it should be sufficiently prudent.  This stage of the year is unpredictable due to the weather with further delays to projects likely, therefore we consider final outturn likely to be closer to the allocation of £15.9m.</w:t>
      </w:r>
    </w:p>
    <w:tbl>
      <w:tblPr>
        <w:tblStyle w:val="TableGrid"/>
        <w:tblW w:w="0" w:type="auto"/>
        <w:jc w:val="center"/>
        <w:tblLook w:val="04A0" w:firstRow="1" w:lastRow="0" w:firstColumn="1" w:lastColumn="0" w:noHBand="0" w:noVBand="1"/>
      </w:tblPr>
      <w:tblGrid>
        <w:gridCol w:w="2861"/>
        <w:gridCol w:w="1212"/>
        <w:gridCol w:w="1909"/>
        <w:gridCol w:w="2512"/>
      </w:tblGrid>
      <w:tr w:rsidR="00A479D5" w:rsidRPr="00895AC6" w14:paraId="5B1FB524" w14:textId="77777777" w:rsidTr="002431C5">
        <w:trPr>
          <w:jc w:val="center"/>
        </w:trPr>
        <w:tc>
          <w:tcPr>
            <w:tcW w:w="2861" w:type="dxa"/>
          </w:tcPr>
          <w:p w14:paraId="3B6AABF3" w14:textId="77777777" w:rsidR="00A479D5" w:rsidRPr="00895AC6" w:rsidRDefault="00A479D5" w:rsidP="002431C5">
            <w:pPr>
              <w:jc w:val="both"/>
              <w:rPr>
                <w:rFonts w:ascii="Calibri" w:hAnsi="Calibri" w:cs="Calibri"/>
                <w:sz w:val="22"/>
              </w:rPr>
            </w:pPr>
          </w:p>
        </w:tc>
        <w:tc>
          <w:tcPr>
            <w:tcW w:w="1212" w:type="dxa"/>
          </w:tcPr>
          <w:p w14:paraId="06536CB6" w14:textId="77777777" w:rsidR="00A479D5" w:rsidRPr="00895AC6" w:rsidRDefault="00A479D5" w:rsidP="002431C5">
            <w:pPr>
              <w:jc w:val="center"/>
              <w:rPr>
                <w:rFonts w:ascii="Calibri" w:hAnsi="Calibri" w:cs="Calibri"/>
                <w:b/>
                <w:bCs/>
                <w:sz w:val="22"/>
              </w:rPr>
            </w:pPr>
            <w:r w:rsidRPr="00895AC6">
              <w:rPr>
                <w:rFonts w:ascii="Calibri" w:hAnsi="Calibri" w:cs="Calibri"/>
                <w:b/>
                <w:bCs/>
                <w:sz w:val="22"/>
              </w:rPr>
              <w:t>Hectares</w:t>
            </w:r>
          </w:p>
        </w:tc>
        <w:tc>
          <w:tcPr>
            <w:tcW w:w="1909" w:type="dxa"/>
          </w:tcPr>
          <w:p w14:paraId="497E3704" w14:textId="77777777" w:rsidR="00A479D5" w:rsidRPr="00895AC6" w:rsidRDefault="00A479D5" w:rsidP="002431C5">
            <w:pPr>
              <w:jc w:val="center"/>
              <w:rPr>
                <w:rFonts w:ascii="Calibri" w:hAnsi="Calibri" w:cs="Calibri"/>
                <w:b/>
                <w:bCs/>
                <w:sz w:val="22"/>
              </w:rPr>
            </w:pPr>
            <w:r w:rsidRPr="00895AC6">
              <w:rPr>
                <w:rFonts w:ascii="Calibri" w:hAnsi="Calibri" w:cs="Calibri"/>
                <w:b/>
                <w:bCs/>
                <w:sz w:val="22"/>
              </w:rPr>
              <w:t xml:space="preserve">Resource </w:t>
            </w:r>
            <w:proofErr w:type="gramStart"/>
            <w:r w:rsidRPr="00895AC6">
              <w:rPr>
                <w:rFonts w:ascii="Calibri" w:hAnsi="Calibri" w:cs="Calibri"/>
                <w:b/>
                <w:bCs/>
                <w:sz w:val="22"/>
              </w:rPr>
              <w:t>spend</w:t>
            </w:r>
            <w:proofErr w:type="gramEnd"/>
          </w:p>
        </w:tc>
        <w:tc>
          <w:tcPr>
            <w:tcW w:w="2512" w:type="dxa"/>
          </w:tcPr>
          <w:p w14:paraId="0A117770" w14:textId="77777777" w:rsidR="00A479D5" w:rsidRPr="00895AC6" w:rsidRDefault="00A479D5" w:rsidP="002431C5">
            <w:pPr>
              <w:jc w:val="center"/>
              <w:rPr>
                <w:rFonts w:ascii="Calibri" w:hAnsi="Calibri" w:cs="Calibri"/>
                <w:b/>
                <w:bCs/>
                <w:sz w:val="22"/>
              </w:rPr>
            </w:pPr>
            <w:r w:rsidRPr="00895AC6">
              <w:rPr>
                <w:rFonts w:ascii="Calibri" w:hAnsi="Calibri" w:cs="Calibri"/>
                <w:b/>
                <w:bCs/>
                <w:sz w:val="22"/>
              </w:rPr>
              <w:t>Indirect Capital spend</w:t>
            </w:r>
          </w:p>
        </w:tc>
      </w:tr>
      <w:tr w:rsidR="00A479D5" w:rsidRPr="00895AC6" w14:paraId="09FE506B" w14:textId="77777777" w:rsidTr="002431C5">
        <w:trPr>
          <w:jc w:val="center"/>
        </w:trPr>
        <w:tc>
          <w:tcPr>
            <w:tcW w:w="2861" w:type="dxa"/>
          </w:tcPr>
          <w:p w14:paraId="6A74FB6B" w14:textId="77777777" w:rsidR="00A479D5" w:rsidRPr="00895AC6" w:rsidRDefault="00A479D5" w:rsidP="002431C5">
            <w:pPr>
              <w:jc w:val="both"/>
              <w:rPr>
                <w:rFonts w:ascii="Calibri" w:hAnsi="Calibri" w:cs="Calibri"/>
                <w:b/>
                <w:bCs/>
                <w:sz w:val="22"/>
              </w:rPr>
            </w:pPr>
            <w:r w:rsidRPr="00895AC6">
              <w:rPr>
                <w:rFonts w:ascii="Calibri" w:hAnsi="Calibri" w:cs="Calibri"/>
                <w:b/>
                <w:bCs/>
                <w:sz w:val="22"/>
              </w:rPr>
              <w:t>Target</w:t>
            </w:r>
          </w:p>
        </w:tc>
        <w:tc>
          <w:tcPr>
            <w:tcW w:w="1212" w:type="dxa"/>
          </w:tcPr>
          <w:p w14:paraId="24DE33CE" w14:textId="77777777" w:rsidR="00A479D5" w:rsidRPr="00895AC6" w:rsidRDefault="00A479D5" w:rsidP="002431C5">
            <w:pPr>
              <w:jc w:val="right"/>
              <w:rPr>
                <w:rFonts w:ascii="Calibri" w:hAnsi="Calibri" w:cs="Calibri"/>
                <w:sz w:val="22"/>
              </w:rPr>
            </w:pPr>
            <w:r w:rsidRPr="00895AC6">
              <w:rPr>
                <w:rFonts w:ascii="Calibri" w:hAnsi="Calibri" w:cs="Calibri"/>
                <w:sz w:val="22"/>
              </w:rPr>
              <w:t>12,000</w:t>
            </w:r>
          </w:p>
        </w:tc>
        <w:tc>
          <w:tcPr>
            <w:tcW w:w="1909" w:type="dxa"/>
          </w:tcPr>
          <w:p w14:paraId="7B7629F1" w14:textId="77777777" w:rsidR="00A479D5" w:rsidRPr="00895AC6" w:rsidRDefault="00A479D5" w:rsidP="002431C5">
            <w:pPr>
              <w:jc w:val="right"/>
              <w:rPr>
                <w:rFonts w:ascii="Calibri" w:hAnsi="Calibri" w:cs="Calibri"/>
                <w:sz w:val="22"/>
              </w:rPr>
            </w:pPr>
            <w:r w:rsidRPr="00895AC6">
              <w:rPr>
                <w:rFonts w:ascii="Calibri" w:hAnsi="Calibri" w:cs="Calibri"/>
                <w:sz w:val="22"/>
              </w:rPr>
              <w:t>4,180,000</w:t>
            </w:r>
          </w:p>
        </w:tc>
        <w:tc>
          <w:tcPr>
            <w:tcW w:w="2512" w:type="dxa"/>
          </w:tcPr>
          <w:p w14:paraId="7F340705" w14:textId="77777777" w:rsidR="00A479D5" w:rsidRPr="00895AC6" w:rsidRDefault="00A479D5" w:rsidP="002431C5">
            <w:pPr>
              <w:jc w:val="right"/>
              <w:rPr>
                <w:rFonts w:ascii="Calibri" w:hAnsi="Calibri" w:cs="Calibri"/>
                <w:sz w:val="22"/>
              </w:rPr>
            </w:pPr>
            <w:r w:rsidRPr="00895AC6">
              <w:rPr>
                <w:rFonts w:ascii="Calibri" w:hAnsi="Calibri" w:cs="Calibri"/>
                <w:sz w:val="22"/>
              </w:rPr>
              <w:t>15,870,000</w:t>
            </w:r>
          </w:p>
        </w:tc>
      </w:tr>
      <w:tr w:rsidR="00A479D5" w:rsidRPr="00895AC6" w14:paraId="5F359C8C" w14:textId="77777777" w:rsidTr="002431C5">
        <w:trPr>
          <w:jc w:val="center"/>
        </w:trPr>
        <w:tc>
          <w:tcPr>
            <w:tcW w:w="2861" w:type="dxa"/>
          </w:tcPr>
          <w:p w14:paraId="7C5FC740" w14:textId="77777777" w:rsidR="00A479D5" w:rsidRPr="00895AC6" w:rsidRDefault="00A479D5" w:rsidP="002431C5">
            <w:pPr>
              <w:jc w:val="both"/>
              <w:rPr>
                <w:rFonts w:ascii="Calibri" w:hAnsi="Calibri" w:cs="Calibri"/>
                <w:b/>
                <w:bCs/>
                <w:sz w:val="22"/>
              </w:rPr>
            </w:pPr>
            <w:r w:rsidRPr="00895AC6">
              <w:rPr>
                <w:rFonts w:ascii="Calibri" w:hAnsi="Calibri" w:cs="Calibri"/>
                <w:b/>
                <w:bCs/>
                <w:sz w:val="22"/>
              </w:rPr>
              <w:t>Completed/spent to date</w:t>
            </w:r>
          </w:p>
        </w:tc>
        <w:tc>
          <w:tcPr>
            <w:tcW w:w="1212" w:type="dxa"/>
          </w:tcPr>
          <w:p w14:paraId="016BCCCD" w14:textId="77777777" w:rsidR="00A479D5" w:rsidRPr="00895AC6" w:rsidRDefault="00A479D5" w:rsidP="002431C5">
            <w:pPr>
              <w:jc w:val="right"/>
              <w:rPr>
                <w:rFonts w:ascii="Calibri" w:hAnsi="Calibri" w:cs="Calibri"/>
                <w:sz w:val="22"/>
              </w:rPr>
            </w:pPr>
            <w:r w:rsidRPr="00895AC6">
              <w:rPr>
                <w:rFonts w:ascii="Calibri" w:hAnsi="Calibri" w:cs="Calibri"/>
                <w:sz w:val="22"/>
              </w:rPr>
              <w:t>4,903</w:t>
            </w:r>
          </w:p>
        </w:tc>
        <w:tc>
          <w:tcPr>
            <w:tcW w:w="1909" w:type="dxa"/>
          </w:tcPr>
          <w:p w14:paraId="1F9C9357" w14:textId="77777777" w:rsidR="00A479D5" w:rsidRPr="00895AC6" w:rsidRDefault="00A479D5" w:rsidP="002431C5">
            <w:pPr>
              <w:jc w:val="right"/>
              <w:rPr>
                <w:rFonts w:ascii="Calibri" w:hAnsi="Calibri" w:cs="Calibri"/>
                <w:sz w:val="22"/>
              </w:rPr>
            </w:pPr>
            <w:r w:rsidRPr="00895AC6">
              <w:rPr>
                <w:rFonts w:ascii="Calibri" w:hAnsi="Calibri" w:cs="Calibri"/>
                <w:sz w:val="22"/>
              </w:rPr>
              <w:t>2,786,345</w:t>
            </w:r>
          </w:p>
        </w:tc>
        <w:tc>
          <w:tcPr>
            <w:tcW w:w="2512" w:type="dxa"/>
          </w:tcPr>
          <w:p w14:paraId="54CD334B" w14:textId="77777777" w:rsidR="00A479D5" w:rsidRPr="00895AC6" w:rsidRDefault="00A479D5" w:rsidP="002431C5">
            <w:pPr>
              <w:jc w:val="right"/>
              <w:rPr>
                <w:rFonts w:ascii="Calibri" w:hAnsi="Calibri" w:cs="Calibri"/>
                <w:sz w:val="22"/>
              </w:rPr>
            </w:pPr>
            <w:r w:rsidRPr="00895AC6">
              <w:rPr>
                <w:rFonts w:ascii="Calibri" w:hAnsi="Calibri" w:cs="Calibri"/>
                <w:sz w:val="22"/>
              </w:rPr>
              <w:t>5,701,336</w:t>
            </w:r>
          </w:p>
        </w:tc>
      </w:tr>
      <w:tr w:rsidR="00A479D5" w:rsidRPr="00895AC6" w14:paraId="222B877A" w14:textId="77777777" w:rsidTr="002431C5">
        <w:trPr>
          <w:jc w:val="center"/>
        </w:trPr>
        <w:tc>
          <w:tcPr>
            <w:tcW w:w="2861" w:type="dxa"/>
          </w:tcPr>
          <w:p w14:paraId="26C3965B" w14:textId="77777777" w:rsidR="00A479D5" w:rsidRPr="00895AC6" w:rsidRDefault="00A479D5" w:rsidP="002431C5">
            <w:pPr>
              <w:jc w:val="both"/>
              <w:rPr>
                <w:rFonts w:ascii="Calibri" w:hAnsi="Calibri" w:cs="Calibri"/>
                <w:b/>
                <w:bCs/>
                <w:sz w:val="22"/>
              </w:rPr>
            </w:pPr>
            <w:r w:rsidRPr="00895AC6">
              <w:rPr>
                <w:rFonts w:ascii="Calibri" w:hAnsi="Calibri" w:cs="Calibri"/>
                <w:b/>
                <w:bCs/>
                <w:sz w:val="22"/>
              </w:rPr>
              <w:t xml:space="preserve">Remaining </w:t>
            </w:r>
          </w:p>
        </w:tc>
        <w:tc>
          <w:tcPr>
            <w:tcW w:w="1212" w:type="dxa"/>
          </w:tcPr>
          <w:p w14:paraId="386BDF53" w14:textId="77777777" w:rsidR="00A479D5" w:rsidRPr="00895AC6" w:rsidRDefault="00A479D5" w:rsidP="002431C5">
            <w:pPr>
              <w:jc w:val="right"/>
              <w:rPr>
                <w:rFonts w:ascii="Calibri" w:hAnsi="Calibri" w:cs="Calibri"/>
                <w:sz w:val="22"/>
              </w:rPr>
            </w:pPr>
            <w:r w:rsidRPr="00895AC6">
              <w:rPr>
                <w:rFonts w:ascii="Calibri" w:hAnsi="Calibri" w:cs="Calibri"/>
                <w:sz w:val="22"/>
              </w:rPr>
              <w:t>7,097</w:t>
            </w:r>
          </w:p>
        </w:tc>
        <w:tc>
          <w:tcPr>
            <w:tcW w:w="1909" w:type="dxa"/>
          </w:tcPr>
          <w:p w14:paraId="1D634AD2" w14:textId="77777777" w:rsidR="00A479D5" w:rsidRPr="00895AC6" w:rsidRDefault="00A479D5" w:rsidP="002431C5">
            <w:pPr>
              <w:jc w:val="right"/>
              <w:rPr>
                <w:rFonts w:ascii="Calibri" w:hAnsi="Calibri" w:cs="Calibri"/>
                <w:sz w:val="22"/>
              </w:rPr>
            </w:pPr>
            <w:r w:rsidRPr="00895AC6">
              <w:rPr>
                <w:rFonts w:ascii="Calibri" w:hAnsi="Calibri" w:cs="Calibri"/>
                <w:sz w:val="22"/>
              </w:rPr>
              <w:t>1,393,655</w:t>
            </w:r>
          </w:p>
        </w:tc>
        <w:tc>
          <w:tcPr>
            <w:tcW w:w="2512" w:type="dxa"/>
          </w:tcPr>
          <w:p w14:paraId="053A21B3" w14:textId="77777777" w:rsidR="00A479D5" w:rsidRPr="00895AC6" w:rsidRDefault="00A479D5" w:rsidP="002431C5">
            <w:pPr>
              <w:jc w:val="right"/>
              <w:rPr>
                <w:rFonts w:ascii="Calibri" w:hAnsi="Calibri" w:cs="Calibri"/>
                <w:sz w:val="22"/>
              </w:rPr>
            </w:pPr>
            <w:r w:rsidRPr="00895AC6">
              <w:rPr>
                <w:rFonts w:ascii="Calibri" w:hAnsi="Calibri" w:cs="Calibri"/>
                <w:sz w:val="22"/>
              </w:rPr>
              <w:t>10,168,664</w:t>
            </w:r>
          </w:p>
        </w:tc>
      </w:tr>
    </w:tbl>
    <w:p w14:paraId="7AF916AD" w14:textId="77777777" w:rsidR="00A479D5" w:rsidRPr="00895AC6" w:rsidRDefault="00A479D5" w:rsidP="009C29B2"/>
    <w:p w14:paraId="40E7F65D" w14:textId="77777777" w:rsidR="00A479D5" w:rsidRPr="00895AC6" w:rsidRDefault="00A479D5" w:rsidP="00A479D5">
      <w:pPr>
        <w:pStyle w:val="Heading2"/>
        <w:rPr>
          <w:rFonts w:ascii="Calibri" w:hAnsi="Calibri" w:cs="Calibri"/>
          <w:szCs w:val="24"/>
        </w:rPr>
      </w:pPr>
      <w:r w:rsidRPr="00895AC6">
        <w:rPr>
          <w:rFonts w:ascii="Calibri" w:hAnsi="Calibri" w:cs="Calibri"/>
          <w:bCs/>
          <w:szCs w:val="24"/>
        </w:rPr>
        <w:t>Nature Restoration Fund</w:t>
      </w:r>
    </w:p>
    <w:p w14:paraId="1DE33005" w14:textId="77777777" w:rsidR="00A479D5"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Nature Restoration Fund (NRF) budget started out at £4.8m resource and £7.5m indirect capital.  From resource, £0.4m was transferred to FIRNS, £0.4m reduced at SBR for FMS and £0.5m is funding SMEEF projects.  From indirect capital, £0.2m was handed back at SBR and £0.9m is funding SMEEF projects.</w:t>
      </w:r>
    </w:p>
    <w:p w14:paraId="75F14AC5" w14:textId="77777777" w:rsidR="00D220F2" w:rsidRPr="00895AC6" w:rsidRDefault="00D220F2" w:rsidP="00D220F2">
      <w:pPr>
        <w:pStyle w:val="ListParagraph"/>
        <w:spacing w:after="0"/>
        <w:ind w:left="357"/>
        <w:rPr>
          <w:rFonts w:ascii="Calibri" w:hAnsi="Calibri" w:cs="Calibri"/>
          <w:sz w:val="22"/>
        </w:rPr>
      </w:pPr>
    </w:p>
    <w:p w14:paraId="2FB5E850" w14:textId="77777777" w:rsidR="00A479D5"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The updated budget of £11.3m is split £7.3m indirect capital and £4m resource.  The overall current forecast for NRF before confidence levels is £12.5m, £8.1m on indirect capital and £4.4m on resource.  </w:t>
      </w:r>
    </w:p>
    <w:p w14:paraId="3A2E27D1" w14:textId="77777777" w:rsidR="00D220F2" w:rsidRPr="00D220F2" w:rsidRDefault="00D220F2" w:rsidP="00D220F2">
      <w:pPr>
        <w:spacing w:after="0"/>
        <w:rPr>
          <w:rFonts w:ascii="Calibri" w:hAnsi="Calibri" w:cs="Calibri"/>
          <w:sz w:val="22"/>
        </w:rPr>
      </w:pPr>
    </w:p>
    <w:p w14:paraId="709E1D40" w14:textId="13D43738" w:rsidR="00A479D5"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confidence levels give an expected overall spend of £10.9m, splitting between indirect capital of £7m and resource £3.9m, an underspend of £0.4m.  Many of the projects are at 90% confidence levels.  The forecast figures include an approval for projects at October award panel for an additional funding of £0.5m.</w:t>
      </w:r>
    </w:p>
    <w:p w14:paraId="5BD2C471" w14:textId="77777777" w:rsidR="00D220F2" w:rsidRPr="00D220F2" w:rsidRDefault="00D220F2" w:rsidP="00D220F2">
      <w:pPr>
        <w:spacing w:after="0"/>
        <w:rPr>
          <w:rFonts w:ascii="Calibri" w:hAnsi="Calibri" w:cs="Calibri"/>
          <w:sz w:val="22"/>
        </w:rPr>
      </w:pPr>
    </w:p>
    <w:p w14:paraId="7CD5186E" w14:textId="77777777" w:rsidR="00A479D5" w:rsidRPr="00895AC6"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SMEEF (NRF) programme of £0.9m indirect capital and £0.5m resource is at full capacity for 2025-26 with an underspend of £12k on indirect capital and £13k on resource.  These changes are included in the forecast figures.</w:t>
      </w:r>
    </w:p>
    <w:p w14:paraId="161741A7" w14:textId="77777777" w:rsidR="00A479D5" w:rsidRPr="00895AC6" w:rsidRDefault="00A479D5" w:rsidP="00A479D5">
      <w:pPr>
        <w:pStyle w:val="ListParagraph"/>
        <w:spacing w:line="120" w:lineRule="auto"/>
        <w:ind w:left="357"/>
        <w:jc w:val="both"/>
        <w:rPr>
          <w:rFonts w:ascii="Calibri" w:hAnsi="Calibri" w:cs="Calibri"/>
          <w:sz w:val="22"/>
        </w:rPr>
      </w:pPr>
    </w:p>
    <w:tbl>
      <w:tblPr>
        <w:tblStyle w:val="TableGrid"/>
        <w:tblW w:w="0" w:type="auto"/>
        <w:jc w:val="center"/>
        <w:tblLook w:val="04A0" w:firstRow="1" w:lastRow="0" w:firstColumn="1" w:lastColumn="0" w:noHBand="0" w:noVBand="1"/>
      </w:tblPr>
      <w:tblGrid>
        <w:gridCol w:w="1818"/>
        <w:gridCol w:w="1429"/>
        <w:gridCol w:w="1429"/>
        <w:gridCol w:w="1188"/>
      </w:tblGrid>
      <w:tr w:rsidR="00A479D5" w:rsidRPr="00895AC6" w14:paraId="6839FA6A" w14:textId="77777777" w:rsidTr="002431C5">
        <w:trPr>
          <w:jc w:val="center"/>
        </w:trPr>
        <w:tc>
          <w:tcPr>
            <w:tcW w:w="1818" w:type="dxa"/>
          </w:tcPr>
          <w:p w14:paraId="153E69BB" w14:textId="77777777" w:rsidR="00A479D5" w:rsidRPr="00895AC6" w:rsidRDefault="00A479D5" w:rsidP="002431C5">
            <w:pPr>
              <w:pStyle w:val="ListParagraph"/>
              <w:ind w:left="0"/>
              <w:rPr>
                <w:b/>
                <w:bCs/>
                <w:sz w:val="22"/>
              </w:rPr>
            </w:pPr>
            <w:r w:rsidRPr="00895AC6">
              <w:rPr>
                <w:b/>
                <w:bCs/>
                <w:sz w:val="22"/>
              </w:rPr>
              <w:t>Budget Type</w:t>
            </w:r>
          </w:p>
        </w:tc>
        <w:tc>
          <w:tcPr>
            <w:tcW w:w="1429" w:type="dxa"/>
          </w:tcPr>
          <w:p w14:paraId="166AD80B" w14:textId="77777777" w:rsidR="00A479D5" w:rsidRPr="00895AC6" w:rsidRDefault="00A479D5" w:rsidP="002431C5">
            <w:pPr>
              <w:pStyle w:val="ListParagraph"/>
              <w:ind w:left="0"/>
              <w:rPr>
                <w:b/>
                <w:bCs/>
                <w:sz w:val="22"/>
              </w:rPr>
            </w:pPr>
            <w:r w:rsidRPr="00895AC6">
              <w:rPr>
                <w:b/>
                <w:bCs/>
                <w:sz w:val="22"/>
              </w:rPr>
              <w:t>Budget</w:t>
            </w:r>
          </w:p>
        </w:tc>
        <w:tc>
          <w:tcPr>
            <w:tcW w:w="1429" w:type="dxa"/>
          </w:tcPr>
          <w:p w14:paraId="1BEEDED0" w14:textId="77777777" w:rsidR="00A479D5" w:rsidRPr="00895AC6" w:rsidRDefault="00A479D5" w:rsidP="002431C5">
            <w:pPr>
              <w:pStyle w:val="ListParagraph"/>
              <w:ind w:left="0"/>
              <w:rPr>
                <w:b/>
                <w:bCs/>
                <w:sz w:val="22"/>
              </w:rPr>
            </w:pPr>
            <w:r w:rsidRPr="00895AC6">
              <w:rPr>
                <w:b/>
                <w:bCs/>
                <w:sz w:val="22"/>
              </w:rPr>
              <w:t>Forecast</w:t>
            </w:r>
          </w:p>
        </w:tc>
        <w:tc>
          <w:tcPr>
            <w:tcW w:w="1188" w:type="dxa"/>
          </w:tcPr>
          <w:p w14:paraId="35E6899C" w14:textId="77777777" w:rsidR="00A479D5" w:rsidRPr="00895AC6" w:rsidRDefault="00A479D5" w:rsidP="002431C5">
            <w:pPr>
              <w:pStyle w:val="ListParagraph"/>
              <w:ind w:left="0"/>
              <w:rPr>
                <w:b/>
                <w:bCs/>
                <w:sz w:val="22"/>
              </w:rPr>
            </w:pPr>
            <w:r w:rsidRPr="00895AC6">
              <w:rPr>
                <w:b/>
                <w:bCs/>
                <w:sz w:val="22"/>
              </w:rPr>
              <w:t>Variance</w:t>
            </w:r>
          </w:p>
        </w:tc>
      </w:tr>
      <w:tr w:rsidR="00A479D5" w:rsidRPr="00895AC6" w14:paraId="2591EFA5" w14:textId="77777777" w:rsidTr="002431C5">
        <w:trPr>
          <w:jc w:val="center"/>
        </w:trPr>
        <w:tc>
          <w:tcPr>
            <w:tcW w:w="1818" w:type="dxa"/>
          </w:tcPr>
          <w:p w14:paraId="13489F0F" w14:textId="77777777" w:rsidR="00A479D5" w:rsidRPr="00895AC6" w:rsidRDefault="00A479D5" w:rsidP="002431C5">
            <w:pPr>
              <w:pStyle w:val="ListParagraph"/>
              <w:ind w:left="0"/>
              <w:rPr>
                <w:b/>
                <w:bCs/>
                <w:sz w:val="22"/>
              </w:rPr>
            </w:pPr>
            <w:r w:rsidRPr="00895AC6">
              <w:rPr>
                <w:b/>
                <w:bCs/>
                <w:sz w:val="22"/>
              </w:rPr>
              <w:t>Indirect Capital</w:t>
            </w:r>
          </w:p>
        </w:tc>
        <w:tc>
          <w:tcPr>
            <w:tcW w:w="1429" w:type="dxa"/>
          </w:tcPr>
          <w:p w14:paraId="640AC12A" w14:textId="77777777" w:rsidR="00A479D5" w:rsidRPr="00895AC6" w:rsidRDefault="00A479D5" w:rsidP="002431C5">
            <w:pPr>
              <w:pStyle w:val="ListParagraph"/>
              <w:ind w:left="0"/>
              <w:jc w:val="right"/>
              <w:rPr>
                <w:sz w:val="22"/>
              </w:rPr>
            </w:pPr>
            <w:r w:rsidRPr="00895AC6">
              <w:rPr>
                <w:sz w:val="22"/>
              </w:rPr>
              <w:t>7,340,000</w:t>
            </w:r>
          </w:p>
        </w:tc>
        <w:tc>
          <w:tcPr>
            <w:tcW w:w="1429" w:type="dxa"/>
          </w:tcPr>
          <w:p w14:paraId="0BA14360" w14:textId="77777777" w:rsidR="00A479D5" w:rsidRPr="00895AC6" w:rsidRDefault="00A479D5" w:rsidP="002431C5">
            <w:pPr>
              <w:pStyle w:val="ListParagraph"/>
              <w:ind w:left="0"/>
              <w:jc w:val="right"/>
              <w:rPr>
                <w:sz w:val="22"/>
              </w:rPr>
            </w:pPr>
            <w:r w:rsidRPr="00895AC6">
              <w:rPr>
                <w:sz w:val="22"/>
              </w:rPr>
              <w:t>6,942,000</w:t>
            </w:r>
          </w:p>
        </w:tc>
        <w:tc>
          <w:tcPr>
            <w:tcW w:w="1188" w:type="dxa"/>
          </w:tcPr>
          <w:p w14:paraId="44A2688E" w14:textId="77777777" w:rsidR="00A479D5" w:rsidRPr="00895AC6" w:rsidRDefault="00A479D5" w:rsidP="002431C5">
            <w:pPr>
              <w:pStyle w:val="ListParagraph"/>
              <w:ind w:left="0"/>
              <w:jc w:val="right"/>
              <w:rPr>
                <w:sz w:val="22"/>
              </w:rPr>
            </w:pPr>
            <w:r w:rsidRPr="00895AC6">
              <w:rPr>
                <w:sz w:val="22"/>
              </w:rPr>
              <w:t>398,000</w:t>
            </w:r>
          </w:p>
        </w:tc>
      </w:tr>
      <w:tr w:rsidR="00A479D5" w:rsidRPr="00895AC6" w14:paraId="1B1ACC27" w14:textId="77777777" w:rsidTr="002431C5">
        <w:trPr>
          <w:jc w:val="center"/>
        </w:trPr>
        <w:tc>
          <w:tcPr>
            <w:tcW w:w="1818" w:type="dxa"/>
          </w:tcPr>
          <w:p w14:paraId="6AA36188" w14:textId="77777777" w:rsidR="00A479D5" w:rsidRPr="00895AC6" w:rsidRDefault="00A479D5" w:rsidP="002431C5">
            <w:pPr>
              <w:pStyle w:val="ListParagraph"/>
              <w:ind w:left="0"/>
              <w:rPr>
                <w:b/>
                <w:bCs/>
                <w:sz w:val="22"/>
              </w:rPr>
            </w:pPr>
            <w:r w:rsidRPr="00895AC6">
              <w:rPr>
                <w:b/>
                <w:bCs/>
                <w:sz w:val="22"/>
              </w:rPr>
              <w:t>Resource</w:t>
            </w:r>
          </w:p>
        </w:tc>
        <w:tc>
          <w:tcPr>
            <w:tcW w:w="1429" w:type="dxa"/>
          </w:tcPr>
          <w:p w14:paraId="18E1A162" w14:textId="77777777" w:rsidR="00A479D5" w:rsidRPr="00895AC6" w:rsidRDefault="00A479D5" w:rsidP="002431C5">
            <w:pPr>
              <w:pStyle w:val="ListParagraph"/>
              <w:ind w:left="0"/>
              <w:jc w:val="right"/>
              <w:rPr>
                <w:sz w:val="22"/>
              </w:rPr>
            </w:pPr>
            <w:r w:rsidRPr="00895AC6">
              <w:rPr>
                <w:sz w:val="22"/>
              </w:rPr>
              <w:t>4,001,000</w:t>
            </w:r>
          </w:p>
        </w:tc>
        <w:tc>
          <w:tcPr>
            <w:tcW w:w="1429" w:type="dxa"/>
          </w:tcPr>
          <w:p w14:paraId="22F8F390" w14:textId="77777777" w:rsidR="00A479D5" w:rsidRPr="00895AC6" w:rsidRDefault="00A479D5" w:rsidP="002431C5">
            <w:pPr>
              <w:pStyle w:val="ListParagraph"/>
              <w:ind w:left="0"/>
              <w:jc w:val="right"/>
              <w:rPr>
                <w:sz w:val="22"/>
              </w:rPr>
            </w:pPr>
            <w:r w:rsidRPr="00895AC6">
              <w:rPr>
                <w:sz w:val="22"/>
              </w:rPr>
              <w:t>3,926,000</w:t>
            </w:r>
          </w:p>
        </w:tc>
        <w:tc>
          <w:tcPr>
            <w:tcW w:w="1188" w:type="dxa"/>
          </w:tcPr>
          <w:p w14:paraId="43A48F50" w14:textId="77777777" w:rsidR="00A479D5" w:rsidRPr="00895AC6" w:rsidRDefault="00A479D5" w:rsidP="002431C5">
            <w:pPr>
              <w:pStyle w:val="ListParagraph"/>
              <w:ind w:left="0"/>
              <w:jc w:val="right"/>
              <w:rPr>
                <w:sz w:val="22"/>
              </w:rPr>
            </w:pPr>
            <w:r w:rsidRPr="00895AC6">
              <w:rPr>
                <w:sz w:val="22"/>
              </w:rPr>
              <w:t>75,000</w:t>
            </w:r>
          </w:p>
        </w:tc>
      </w:tr>
      <w:tr w:rsidR="00A479D5" w:rsidRPr="00895AC6" w14:paraId="6DB5A4E3" w14:textId="77777777" w:rsidTr="002431C5">
        <w:trPr>
          <w:jc w:val="center"/>
        </w:trPr>
        <w:tc>
          <w:tcPr>
            <w:tcW w:w="1818" w:type="dxa"/>
          </w:tcPr>
          <w:p w14:paraId="6E16B0B5" w14:textId="77777777" w:rsidR="00A479D5" w:rsidRPr="00895AC6" w:rsidRDefault="00A479D5" w:rsidP="002431C5">
            <w:pPr>
              <w:pStyle w:val="ListParagraph"/>
              <w:ind w:left="0"/>
              <w:rPr>
                <w:b/>
                <w:bCs/>
                <w:sz w:val="22"/>
              </w:rPr>
            </w:pPr>
            <w:r w:rsidRPr="00895AC6">
              <w:rPr>
                <w:b/>
                <w:bCs/>
                <w:sz w:val="22"/>
              </w:rPr>
              <w:t>Total NRF</w:t>
            </w:r>
          </w:p>
        </w:tc>
        <w:tc>
          <w:tcPr>
            <w:tcW w:w="1429" w:type="dxa"/>
          </w:tcPr>
          <w:p w14:paraId="778606F6" w14:textId="77777777" w:rsidR="00A479D5" w:rsidRPr="00895AC6" w:rsidRDefault="00A479D5" w:rsidP="002431C5">
            <w:pPr>
              <w:pStyle w:val="ListParagraph"/>
              <w:ind w:left="0"/>
              <w:jc w:val="right"/>
              <w:rPr>
                <w:b/>
                <w:bCs/>
                <w:sz w:val="22"/>
              </w:rPr>
            </w:pPr>
            <w:r w:rsidRPr="00895AC6">
              <w:rPr>
                <w:b/>
                <w:bCs/>
                <w:sz w:val="22"/>
              </w:rPr>
              <w:t>11,341,000</w:t>
            </w:r>
          </w:p>
        </w:tc>
        <w:tc>
          <w:tcPr>
            <w:tcW w:w="1429" w:type="dxa"/>
          </w:tcPr>
          <w:p w14:paraId="6BC60B44" w14:textId="77777777" w:rsidR="00A479D5" w:rsidRPr="00895AC6" w:rsidRDefault="00A479D5" w:rsidP="002431C5">
            <w:pPr>
              <w:pStyle w:val="ListParagraph"/>
              <w:ind w:left="0"/>
              <w:jc w:val="right"/>
              <w:rPr>
                <w:b/>
                <w:bCs/>
                <w:sz w:val="22"/>
              </w:rPr>
            </w:pPr>
            <w:r w:rsidRPr="00895AC6">
              <w:rPr>
                <w:b/>
                <w:bCs/>
                <w:sz w:val="22"/>
              </w:rPr>
              <w:t>10,893,000</w:t>
            </w:r>
          </w:p>
        </w:tc>
        <w:tc>
          <w:tcPr>
            <w:tcW w:w="1188" w:type="dxa"/>
          </w:tcPr>
          <w:p w14:paraId="27AB324E" w14:textId="77777777" w:rsidR="00A479D5" w:rsidRPr="00895AC6" w:rsidRDefault="00A479D5" w:rsidP="002431C5">
            <w:pPr>
              <w:pStyle w:val="ListParagraph"/>
              <w:ind w:left="0"/>
              <w:jc w:val="right"/>
              <w:rPr>
                <w:b/>
                <w:bCs/>
                <w:sz w:val="22"/>
              </w:rPr>
            </w:pPr>
            <w:r w:rsidRPr="00895AC6">
              <w:rPr>
                <w:b/>
                <w:bCs/>
                <w:sz w:val="22"/>
              </w:rPr>
              <w:t>473,000</w:t>
            </w:r>
          </w:p>
        </w:tc>
      </w:tr>
    </w:tbl>
    <w:p w14:paraId="6C838E66" w14:textId="77777777" w:rsidR="00A479D5" w:rsidRPr="00895AC6" w:rsidRDefault="00A479D5" w:rsidP="009C29B2"/>
    <w:p w14:paraId="0DFADBAA" w14:textId="77777777" w:rsidR="00A479D5" w:rsidRPr="00895AC6" w:rsidRDefault="00A479D5" w:rsidP="00A479D5">
      <w:pPr>
        <w:pStyle w:val="Heading2"/>
        <w:rPr>
          <w:rFonts w:ascii="Calibri" w:hAnsi="Calibri" w:cs="Calibri"/>
          <w:szCs w:val="24"/>
        </w:rPr>
      </w:pPr>
      <w:r w:rsidRPr="00895AC6">
        <w:rPr>
          <w:rFonts w:ascii="Calibri" w:hAnsi="Calibri" w:cs="Calibri"/>
          <w:szCs w:val="24"/>
        </w:rPr>
        <w:lastRenderedPageBreak/>
        <w:t>Rainforest Restoration Fund</w:t>
      </w:r>
    </w:p>
    <w:p w14:paraId="6BC9BEEE" w14:textId="77777777" w:rsidR="00A479D5" w:rsidRPr="00895AC6"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The Rainforest Restoration Fund (RRF) budget is £1.7m. This is split £0.8m resource and £0.9m indirect capital.  We are forecasting £0.7m on resource and £0.8m on indirect capital, an overall underspend of £0.2m on this programme.</w:t>
      </w:r>
    </w:p>
    <w:p w14:paraId="35AE96D0" w14:textId="77777777" w:rsidR="00A479D5" w:rsidRPr="00895AC6" w:rsidRDefault="00A479D5" w:rsidP="00A479D5">
      <w:pPr>
        <w:pStyle w:val="ListParagraph"/>
        <w:spacing w:after="0" w:line="120" w:lineRule="auto"/>
        <w:ind w:left="357"/>
        <w:jc w:val="both"/>
        <w:rPr>
          <w:rFonts w:ascii="Calibri" w:eastAsia="Times New Roman" w:hAnsi="Calibri" w:cs="Calibri"/>
          <w:sz w:val="22"/>
        </w:rPr>
      </w:pPr>
    </w:p>
    <w:p w14:paraId="05DC8833" w14:textId="77777777" w:rsidR="00A479D5" w:rsidRPr="00895AC6" w:rsidRDefault="00A479D5" w:rsidP="00A479D5">
      <w:pPr>
        <w:pStyle w:val="Heading2"/>
        <w:rPr>
          <w:rFonts w:ascii="Calibri" w:hAnsi="Calibri" w:cs="Calibri"/>
          <w:szCs w:val="24"/>
        </w:rPr>
      </w:pPr>
      <w:r w:rsidRPr="00895AC6">
        <w:rPr>
          <w:rFonts w:ascii="Calibri" w:eastAsia="Times New Roman" w:hAnsi="Calibri" w:cs="Calibri"/>
          <w:szCs w:val="24"/>
        </w:rPr>
        <w:t>Direct Capital Budget Performance</w:t>
      </w:r>
    </w:p>
    <w:p w14:paraId="7861CFCF" w14:textId="32B29466" w:rsidR="00A479D5"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Our budget for direct capital has been a constant £1.8m each year.  Since 2023/24, we receive additional budget for IFRS-16 (which is non-cash).  However, in January 2026 we were informed that there is a further £1.158m </w:t>
      </w:r>
      <w:r w:rsidR="00520262" w:rsidRPr="00895AC6">
        <w:rPr>
          <w:rFonts w:ascii="Calibri" w:hAnsi="Calibri" w:cs="Calibri"/>
          <w:sz w:val="22"/>
        </w:rPr>
        <w:t xml:space="preserve">direct capital funding, </w:t>
      </w:r>
      <w:r w:rsidRPr="00895AC6">
        <w:rPr>
          <w:rFonts w:ascii="Calibri" w:hAnsi="Calibri" w:cs="Calibri"/>
          <w:sz w:val="22"/>
        </w:rPr>
        <w:t xml:space="preserve">which Finance had been querying with SG (and not including in our cash tracker or BMRs for the full financial year). </w:t>
      </w:r>
    </w:p>
    <w:p w14:paraId="3123B1DE" w14:textId="77777777" w:rsidR="00D220F2" w:rsidRPr="00895AC6" w:rsidRDefault="00D220F2" w:rsidP="00D220F2">
      <w:pPr>
        <w:pStyle w:val="ListParagraph"/>
        <w:spacing w:after="0"/>
        <w:ind w:left="357"/>
        <w:rPr>
          <w:rFonts w:ascii="Calibri" w:hAnsi="Calibri" w:cs="Calibri"/>
          <w:sz w:val="22"/>
        </w:rPr>
      </w:pPr>
    </w:p>
    <w:p w14:paraId="5B6E3CBF" w14:textId="59B65661" w:rsidR="00A479D5" w:rsidRDefault="00A479D5" w:rsidP="00895AC6">
      <w:pPr>
        <w:pStyle w:val="ListParagraph"/>
        <w:numPr>
          <w:ilvl w:val="0"/>
          <w:numId w:val="35"/>
        </w:numPr>
        <w:spacing w:after="0"/>
        <w:jc w:val="both"/>
        <w:rPr>
          <w:rFonts w:ascii="Calibri" w:hAnsi="Calibri" w:cs="Calibri"/>
          <w:sz w:val="22"/>
        </w:rPr>
      </w:pPr>
      <w:r w:rsidRPr="00895AC6">
        <w:rPr>
          <w:rFonts w:ascii="Calibri" w:hAnsi="Calibri" w:cs="Calibri"/>
          <w:sz w:val="22"/>
        </w:rPr>
        <w:t xml:space="preserve">We are currently exploring ways to try and utilise this before 31 March 2026, but it will be unlikely we can deploy </w:t>
      </w:r>
      <w:proofErr w:type="gramStart"/>
      <w:r w:rsidRPr="00895AC6">
        <w:rPr>
          <w:rFonts w:ascii="Calibri" w:hAnsi="Calibri" w:cs="Calibri"/>
          <w:sz w:val="22"/>
        </w:rPr>
        <w:t>all of</w:t>
      </w:r>
      <w:proofErr w:type="gramEnd"/>
      <w:r w:rsidRPr="00895AC6">
        <w:rPr>
          <w:rFonts w:ascii="Calibri" w:hAnsi="Calibri" w:cs="Calibri"/>
          <w:sz w:val="22"/>
        </w:rPr>
        <w:t xml:space="preserve"> this capital in Q4. This has been flagged back to SG</w:t>
      </w:r>
      <w:r w:rsidR="004D3ACB" w:rsidRPr="00895AC6">
        <w:rPr>
          <w:rFonts w:ascii="Calibri" w:hAnsi="Calibri" w:cs="Calibri"/>
          <w:sz w:val="22"/>
        </w:rPr>
        <w:t xml:space="preserve"> and discussion instigated regarding return of monies. </w:t>
      </w:r>
      <w:r w:rsidRPr="00895AC6">
        <w:rPr>
          <w:rFonts w:ascii="Calibri" w:hAnsi="Calibri" w:cs="Calibri"/>
          <w:sz w:val="22"/>
        </w:rPr>
        <w:t xml:space="preserve"> </w:t>
      </w:r>
    </w:p>
    <w:p w14:paraId="51B10473" w14:textId="77777777" w:rsidR="00D220F2" w:rsidRPr="00D220F2" w:rsidRDefault="00D220F2" w:rsidP="00D220F2">
      <w:pPr>
        <w:spacing w:after="0"/>
        <w:jc w:val="both"/>
        <w:rPr>
          <w:rFonts w:ascii="Calibri" w:hAnsi="Calibri" w:cs="Calibri"/>
          <w:sz w:val="22"/>
        </w:rPr>
      </w:pPr>
    </w:p>
    <w:p w14:paraId="2F1D51AA" w14:textId="77777777" w:rsidR="00A479D5" w:rsidRPr="00895AC6"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On the current programme of capital projects, we are forecasting £1.7m of the previously £1.8m presumed budget.  </w:t>
      </w:r>
    </w:p>
    <w:p w14:paraId="12D2BE47" w14:textId="77777777" w:rsidR="00A479D5" w:rsidRPr="00895AC6" w:rsidRDefault="00A479D5" w:rsidP="00A479D5">
      <w:pPr>
        <w:pStyle w:val="ListParagraph"/>
        <w:spacing w:after="0" w:line="120" w:lineRule="auto"/>
        <w:ind w:left="357"/>
        <w:jc w:val="both"/>
        <w:rPr>
          <w:rFonts w:ascii="Calibri" w:eastAsia="Times New Roman" w:hAnsi="Calibri" w:cs="Calibri"/>
          <w:sz w:val="22"/>
        </w:rPr>
      </w:pPr>
    </w:p>
    <w:p w14:paraId="39DA6344" w14:textId="77777777" w:rsidR="00A479D5" w:rsidRPr="00895AC6" w:rsidRDefault="00A479D5" w:rsidP="00A479D5">
      <w:pPr>
        <w:pStyle w:val="Heading2"/>
        <w:rPr>
          <w:rFonts w:ascii="Calibri" w:eastAsia="Times New Roman" w:hAnsi="Calibri" w:cs="Calibri"/>
          <w:szCs w:val="24"/>
        </w:rPr>
      </w:pPr>
      <w:r w:rsidRPr="00895AC6">
        <w:rPr>
          <w:rFonts w:ascii="Calibri" w:eastAsia="Times New Roman" w:hAnsi="Calibri" w:cs="Calibri"/>
          <w:szCs w:val="24"/>
        </w:rPr>
        <w:t xml:space="preserve">Paybill </w:t>
      </w:r>
    </w:p>
    <w:p w14:paraId="0A1EE765" w14:textId="493F28D1" w:rsidR="00A479D5"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The current paybill forecast is £45.9m. This is following the agreed pay settlement of 4% in 2025/26.  </w:t>
      </w:r>
      <w:r w:rsidR="004D3ACB" w:rsidRPr="00895AC6">
        <w:rPr>
          <w:rFonts w:ascii="Calibri" w:hAnsi="Calibri" w:cs="Calibri"/>
          <w:sz w:val="22"/>
        </w:rPr>
        <w:t>Whilst we await</w:t>
      </w:r>
      <w:r w:rsidRPr="00895AC6">
        <w:rPr>
          <w:rFonts w:ascii="Calibri" w:hAnsi="Calibri" w:cs="Calibri"/>
          <w:sz w:val="22"/>
        </w:rPr>
        <w:t xml:space="preserve"> our </w:t>
      </w:r>
      <w:r w:rsidR="007B724A">
        <w:rPr>
          <w:rFonts w:ascii="Calibri" w:hAnsi="Calibri" w:cs="Calibri"/>
          <w:sz w:val="22"/>
        </w:rPr>
        <w:t xml:space="preserve">finalised </w:t>
      </w:r>
      <w:r w:rsidRPr="00895AC6">
        <w:rPr>
          <w:rFonts w:ascii="Calibri" w:hAnsi="Calibri" w:cs="Calibri"/>
          <w:sz w:val="22"/>
        </w:rPr>
        <w:t xml:space="preserve">budget for 2026/27, we do not know what the full impact </w:t>
      </w:r>
      <w:r w:rsidR="00520262" w:rsidRPr="00895AC6">
        <w:rPr>
          <w:rFonts w:ascii="Calibri" w:hAnsi="Calibri" w:cs="Calibri"/>
          <w:sz w:val="22"/>
        </w:rPr>
        <w:t>will be on projects</w:t>
      </w:r>
      <w:r w:rsidRPr="00895AC6">
        <w:rPr>
          <w:rFonts w:ascii="Calibri" w:hAnsi="Calibri" w:cs="Calibri"/>
          <w:sz w:val="22"/>
        </w:rPr>
        <w:t>.  Although the paybill forecast for 2</w:t>
      </w:r>
      <w:r w:rsidR="00520262" w:rsidRPr="00895AC6">
        <w:rPr>
          <w:rFonts w:ascii="Calibri" w:hAnsi="Calibri" w:cs="Calibri"/>
          <w:sz w:val="22"/>
        </w:rPr>
        <w:t>02</w:t>
      </w:r>
      <w:r w:rsidRPr="00895AC6">
        <w:rPr>
          <w:rFonts w:ascii="Calibri" w:hAnsi="Calibri" w:cs="Calibri"/>
          <w:sz w:val="22"/>
        </w:rPr>
        <w:t>6/27 hasn’t been calculated yet</w:t>
      </w:r>
      <w:r w:rsidR="004D3ACB" w:rsidRPr="00895AC6">
        <w:rPr>
          <w:rFonts w:ascii="Calibri" w:hAnsi="Calibri" w:cs="Calibri"/>
          <w:sz w:val="22"/>
        </w:rPr>
        <w:t xml:space="preserve"> </w:t>
      </w:r>
      <w:r w:rsidR="00335871" w:rsidRPr="00895AC6">
        <w:rPr>
          <w:rFonts w:ascii="Calibri" w:hAnsi="Calibri" w:cs="Calibri"/>
          <w:sz w:val="22"/>
        </w:rPr>
        <w:t xml:space="preserve">in </w:t>
      </w:r>
      <w:r w:rsidR="004D3ACB" w:rsidRPr="00895AC6">
        <w:rPr>
          <w:rFonts w:ascii="Calibri" w:hAnsi="Calibri" w:cs="Calibri"/>
          <w:sz w:val="22"/>
        </w:rPr>
        <w:t xml:space="preserve">full, </w:t>
      </w:r>
      <w:r w:rsidR="00335871" w:rsidRPr="00895AC6">
        <w:rPr>
          <w:rFonts w:ascii="Calibri" w:hAnsi="Calibri" w:cs="Calibri"/>
          <w:sz w:val="22"/>
        </w:rPr>
        <w:t>a</w:t>
      </w:r>
      <w:r w:rsidR="004D3ACB" w:rsidRPr="00895AC6">
        <w:rPr>
          <w:rFonts w:ascii="Calibri" w:hAnsi="Calibri" w:cs="Calibri"/>
          <w:sz w:val="22"/>
        </w:rPr>
        <w:t xml:space="preserve">n early </w:t>
      </w:r>
      <w:r w:rsidRPr="00895AC6">
        <w:rPr>
          <w:rFonts w:ascii="Calibri" w:hAnsi="Calibri" w:cs="Calibri"/>
          <w:sz w:val="22"/>
        </w:rPr>
        <w:t>estimat</w:t>
      </w:r>
      <w:r w:rsidR="00520262" w:rsidRPr="00895AC6">
        <w:rPr>
          <w:rFonts w:ascii="Calibri" w:hAnsi="Calibri" w:cs="Calibri"/>
          <w:sz w:val="22"/>
        </w:rPr>
        <w:t>e</w:t>
      </w:r>
      <w:r w:rsidR="004D3ACB" w:rsidRPr="00895AC6">
        <w:rPr>
          <w:rFonts w:ascii="Calibri" w:hAnsi="Calibri" w:cs="Calibri"/>
          <w:sz w:val="22"/>
        </w:rPr>
        <w:t xml:space="preserve"> is £51m. This is</w:t>
      </w:r>
      <w:r w:rsidRPr="00895AC6">
        <w:rPr>
          <w:rFonts w:ascii="Calibri" w:hAnsi="Calibri" w:cs="Calibri"/>
          <w:sz w:val="22"/>
        </w:rPr>
        <w:t xml:space="preserve"> based on the current 2</w:t>
      </w:r>
      <w:r w:rsidR="00520262" w:rsidRPr="00895AC6">
        <w:rPr>
          <w:rFonts w:ascii="Calibri" w:hAnsi="Calibri" w:cs="Calibri"/>
          <w:sz w:val="22"/>
        </w:rPr>
        <w:t>02</w:t>
      </w:r>
      <w:r w:rsidRPr="00895AC6">
        <w:rPr>
          <w:rFonts w:ascii="Calibri" w:hAnsi="Calibri" w:cs="Calibri"/>
          <w:sz w:val="22"/>
        </w:rPr>
        <w:t>5/26 forecast of £45.9m plus 3.5%</w:t>
      </w:r>
      <w:r w:rsidR="004D3ACB" w:rsidRPr="00895AC6">
        <w:rPr>
          <w:rFonts w:ascii="Calibri" w:hAnsi="Calibri" w:cs="Calibri"/>
          <w:sz w:val="22"/>
        </w:rPr>
        <w:t xml:space="preserve"> for the agreed pay settlement, plus £2.3m for additional demand posts approved in June 2025 SLT, giving an overall increase of </w:t>
      </w:r>
      <w:r w:rsidR="00335871" w:rsidRPr="00895AC6">
        <w:rPr>
          <w:rFonts w:ascii="Calibri" w:hAnsi="Calibri" w:cs="Calibri"/>
          <w:sz w:val="22"/>
        </w:rPr>
        <w:t xml:space="preserve">£5.1m, which would need to be covered from project </w:t>
      </w:r>
      <w:r w:rsidR="007B724A">
        <w:rPr>
          <w:rFonts w:ascii="Calibri" w:hAnsi="Calibri" w:cs="Calibri"/>
          <w:sz w:val="22"/>
        </w:rPr>
        <w:t>resource budget</w:t>
      </w:r>
      <w:r w:rsidR="00335871" w:rsidRPr="00895AC6">
        <w:rPr>
          <w:rFonts w:ascii="Calibri" w:hAnsi="Calibri" w:cs="Calibri"/>
          <w:sz w:val="22"/>
        </w:rPr>
        <w:t xml:space="preserve">. </w:t>
      </w:r>
    </w:p>
    <w:p w14:paraId="503C79A3" w14:textId="77777777" w:rsidR="00D220F2" w:rsidRPr="00895AC6" w:rsidRDefault="00D220F2" w:rsidP="00D220F2">
      <w:pPr>
        <w:pStyle w:val="ListParagraph"/>
        <w:spacing w:after="0"/>
        <w:ind w:left="357"/>
        <w:rPr>
          <w:rFonts w:ascii="Calibri" w:hAnsi="Calibri" w:cs="Calibri"/>
          <w:sz w:val="22"/>
        </w:rPr>
      </w:pPr>
    </w:p>
    <w:p w14:paraId="5E9FD04D" w14:textId="77777777" w:rsidR="00A479D5"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At an organisational level the current paybill budget including all programmes is £46m so our current forecast is £0.1m below budget.  Not included within this, Directorates were tasked with, and are working towards, making further in year savings (£0.7m already achieved with a target of £0.9m) so the forecast may reduce by a further £0.2m.   </w:t>
      </w:r>
    </w:p>
    <w:p w14:paraId="6CDF6C27" w14:textId="77777777" w:rsidR="00D220F2" w:rsidRPr="00D220F2" w:rsidRDefault="00D220F2" w:rsidP="00D220F2">
      <w:pPr>
        <w:spacing w:after="0"/>
        <w:rPr>
          <w:rFonts w:ascii="Calibri" w:hAnsi="Calibri" w:cs="Calibri"/>
          <w:sz w:val="22"/>
        </w:rPr>
      </w:pPr>
    </w:p>
    <w:p w14:paraId="3407062C" w14:textId="77777777" w:rsidR="00A479D5" w:rsidRPr="00895AC6" w:rsidRDefault="00A479D5" w:rsidP="00A479D5">
      <w:pPr>
        <w:pStyle w:val="Heading2"/>
        <w:rPr>
          <w:rFonts w:ascii="Calibri" w:eastAsia="Times New Roman" w:hAnsi="Calibri" w:cs="Calibri"/>
          <w:szCs w:val="24"/>
        </w:rPr>
      </w:pPr>
      <w:r w:rsidRPr="00895AC6">
        <w:rPr>
          <w:rFonts w:ascii="Calibri" w:eastAsia="Times New Roman" w:hAnsi="Calibri" w:cs="Calibri"/>
          <w:szCs w:val="24"/>
        </w:rPr>
        <w:t xml:space="preserve">Medium to Long Term Financial Plan </w:t>
      </w:r>
    </w:p>
    <w:p w14:paraId="0C84848E" w14:textId="1498309F" w:rsidR="00A479D5" w:rsidRPr="00895AC6" w:rsidRDefault="00A479D5" w:rsidP="00D220F2">
      <w:pPr>
        <w:pStyle w:val="ListParagraph"/>
        <w:numPr>
          <w:ilvl w:val="0"/>
          <w:numId w:val="35"/>
        </w:numPr>
        <w:spacing w:after="0"/>
        <w:ind w:left="357" w:hanging="357"/>
        <w:rPr>
          <w:rFonts w:ascii="Calibri" w:hAnsi="Calibri" w:cs="Calibri"/>
          <w:sz w:val="22"/>
        </w:rPr>
      </w:pPr>
      <w:r w:rsidRPr="00895AC6">
        <w:rPr>
          <w:rFonts w:ascii="Calibri" w:hAnsi="Calibri" w:cs="Calibri"/>
          <w:sz w:val="22"/>
        </w:rPr>
        <w:t xml:space="preserve">The Medium to Long Term Financial Plan was previously published in April 2021 for the period 2021-25 and is currently being reviewed and refreshed in Q4 by Head of Finance with a view to taking the refreshed plan to SLT in March for approval. The January 2026 Scottish Budget and impact on NatureScot Grant in Aid will drive the next period of the organisation and be fundamental for the Medium to Long Term Financial Plan. </w:t>
      </w:r>
    </w:p>
    <w:p w14:paraId="1DBC7BDD" w14:textId="77777777" w:rsidR="00A479D5" w:rsidRDefault="00A479D5" w:rsidP="009C29B2"/>
    <w:p w14:paraId="62E89716" w14:textId="77777777" w:rsidR="00A479D5" w:rsidRDefault="00A479D5" w:rsidP="009C29B2">
      <w:pPr>
        <w:sectPr w:rsidR="00A479D5" w:rsidSect="007B5077">
          <w:pgSz w:w="11906" w:h="16838" w:code="9"/>
          <w:pgMar w:top="1440" w:right="1440" w:bottom="1440" w:left="1440" w:header="567" w:footer="709" w:gutter="0"/>
          <w:cols w:space="708"/>
          <w:docGrid w:linePitch="360"/>
        </w:sectPr>
      </w:pPr>
    </w:p>
    <w:p w14:paraId="083163F1" w14:textId="6D9994F9" w:rsidR="009849E9" w:rsidRPr="00065524" w:rsidRDefault="00363127" w:rsidP="007B5077">
      <w:pPr>
        <w:pStyle w:val="Heading1"/>
        <w:rPr>
          <w:rFonts w:eastAsiaTheme="majorEastAsia"/>
        </w:rPr>
      </w:pPr>
      <w:r w:rsidRPr="00065524">
        <w:rPr>
          <w:rFonts w:eastAsiaTheme="majorEastAsia"/>
        </w:rPr>
        <w:lastRenderedPageBreak/>
        <w:t>A</w:t>
      </w:r>
      <w:r w:rsidR="00AD2E4D">
        <w:rPr>
          <w:rFonts w:eastAsiaTheme="majorEastAsia"/>
        </w:rPr>
        <w:t>ppendi</w:t>
      </w:r>
      <w:r w:rsidRPr="00065524">
        <w:rPr>
          <w:rFonts w:eastAsiaTheme="majorEastAsia"/>
        </w:rPr>
        <w:t xml:space="preserve">x </w:t>
      </w:r>
      <w:r w:rsidR="00701DEB" w:rsidRPr="00065524">
        <w:rPr>
          <w:rFonts w:eastAsiaTheme="majorEastAsia"/>
        </w:rPr>
        <w:t>3</w:t>
      </w:r>
      <w:r w:rsidRPr="00065524">
        <w:rPr>
          <w:rFonts w:eastAsiaTheme="majorEastAsia"/>
        </w:rPr>
        <w:t xml:space="preserve"> - </w:t>
      </w:r>
      <w:r w:rsidR="007B5077" w:rsidRPr="00065524">
        <w:rPr>
          <w:rFonts w:eastAsiaTheme="majorEastAsia"/>
        </w:rPr>
        <w:t xml:space="preserve">Risk </w:t>
      </w:r>
      <w:r w:rsidR="007B5077">
        <w:rPr>
          <w:rFonts w:eastAsiaTheme="majorEastAsia"/>
        </w:rPr>
        <w:t>a</w:t>
      </w:r>
      <w:r w:rsidR="007B5077" w:rsidRPr="00065524">
        <w:rPr>
          <w:rFonts w:eastAsiaTheme="majorEastAsia"/>
        </w:rPr>
        <w:t>nd Audit</w:t>
      </w:r>
      <w:r w:rsidR="00E81E84">
        <w:rPr>
          <w:rFonts w:eastAsiaTheme="majorEastAsia"/>
        </w:rPr>
        <w:t xml:space="preserve"> Report</w:t>
      </w:r>
    </w:p>
    <w:p w14:paraId="6883722F" w14:textId="77777777" w:rsidR="00895AC6" w:rsidRDefault="00223C29" w:rsidP="007F243D">
      <w:pPr>
        <w:pStyle w:val="Heading2"/>
      </w:pPr>
      <w:r w:rsidRPr="007523B5">
        <w:t>Corporate Risk Review Summary</w:t>
      </w:r>
    </w:p>
    <w:p w14:paraId="1D05695D" w14:textId="6CA74809" w:rsidR="00223C29" w:rsidRPr="003D6FC2" w:rsidRDefault="00223C29" w:rsidP="00895AC6">
      <w:pPr>
        <w:pStyle w:val="ListParagraph"/>
        <w:numPr>
          <w:ilvl w:val="0"/>
          <w:numId w:val="30"/>
        </w:numPr>
        <w:spacing w:before="240"/>
        <w:rPr>
          <w:rFonts w:ascii="Calibri" w:eastAsia="Arial" w:hAnsi="Calibri" w:cs="Calibri"/>
          <w:sz w:val="22"/>
        </w:rPr>
      </w:pPr>
      <w:r w:rsidRPr="003D6FC2">
        <w:rPr>
          <w:rFonts w:ascii="Calibri" w:eastAsia="Arial" w:hAnsi="Calibri" w:cs="Calibri"/>
          <w:sz w:val="22"/>
        </w:rPr>
        <w:t xml:space="preserve">There are currently 12 live Corporate Risks (1, very high, </w:t>
      </w:r>
      <w:r w:rsidR="00EB3C56" w:rsidRPr="003D6FC2">
        <w:rPr>
          <w:rFonts w:ascii="Calibri" w:eastAsia="Arial" w:hAnsi="Calibri" w:cs="Calibri"/>
          <w:sz w:val="22"/>
        </w:rPr>
        <w:t>6</w:t>
      </w:r>
      <w:r w:rsidRPr="003D6FC2">
        <w:rPr>
          <w:rFonts w:ascii="Calibri" w:eastAsia="Arial" w:hAnsi="Calibri" w:cs="Calibri"/>
          <w:sz w:val="22"/>
        </w:rPr>
        <w:t xml:space="preserve"> high, </w:t>
      </w:r>
      <w:r w:rsidR="00EB3C56" w:rsidRPr="003D6FC2">
        <w:rPr>
          <w:rFonts w:ascii="Calibri" w:eastAsia="Arial" w:hAnsi="Calibri" w:cs="Calibri"/>
          <w:sz w:val="22"/>
        </w:rPr>
        <w:t>5</w:t>
      </w:r>
      <w:r w:rsidRPr="003D6FC2">
        <w:rPr>
          <w:rFonts w:ascii="Calibri" w:eastAsia="Arial" w:hAnsi="Calibri" w:cs="Calibri"/>
          <w:sz w:val="22"/>
        </w:rPr>
        <w:t xml:space="preserve"> medium) on the </w:t>
      </w:r>
      <w:hyperlink r:id="rId22" w:history="1">
        <w:r w:rsidRPr="003D6FC2">
          <w:rPr>
            <w:rFonts w:ascii="Calibri" w:eastAsia="Arial" w:hAnsi="Calibri" w:cs="Calibri"/>
            <w:sz w:val="22"/>
          </w:rPr>
          <w:t>Corporate Risk Register</w:t>
        </w:r>
      </w:hyperlink>
    </w:p>
    <w:p w14:paraId="73A7CBDB" w14:textId="77777777" w:rsidR="00223C29" w:rsidRPr="009F243E" w:rsidRDefault="00223C29" w:rsidP="007F243D">
      <w:pPr>
        <w:pStyle w:val="Heading2"/>
        <w:spacing w:before="0"/>
      </w:pPr>
      <w:r w:rsidRPr="00D119BC">
        <w:t xml:space="preserve">Corporate Risk Register Refresh </w:t>
      </w:r>
    </w:p>
    <w:p w14:paraId="07447DCF" w14:textId="502C7220" w:rsidR="00223C29" w:rsidRPr="003D6FC2" w:rsidRDefault="00223C29" w:rsidP="00223C29">
      <w:pPr>
        <w:pStyle w:val="ListParagraph"/>
        <w:numPr>
          <w:ilvl w:val="0"/>
          <w:numId w:val="30"/>
        </w:numPr>
        <w:spacing w:before="240"/>
        <w:rPr>
          <w:rFonts w:ascii="Calibri" w:eastAsia="Arial" w:hAnsi="Calibri" w:cs="Calibri"/>
          <w:sz w:val="22"/>
        </w:rPr>
      </w:pPr>
      <w:r w:rsidRPr="003D6FC2">
        <w:rPr>
          <w:rFonts w:ascii="Calibri" w:eastAsia="Arial" w:hAnsi="Calibri" w:cs="Calibri"/>
          <w:sz w:val="22"/>
        </w:rPr>
        <w:t xml:space="preserve">Risk 802: </w:t>
      </w:r>
      <w:r w:rsidRPr="003D6FC2">
        <w:rPr>
          <w:rFonts w:ascii="Calibri" w:hAnsi="Calibri" w:cs="Calibri"/>
          <w:sz w:val="22"/>
        </w:rPr>
        <w:t xml:space="preserve">Threat to Support for Nature Positive Action was added to the corporate risk register. This </w:t>
      </w:r>
      <w:r w:rsidRPr="003D6FC2">
        <w:rPr>
          <w:rFonts w:ascii="Calibri" w:eastAsia="Arial" w:hAnsi="Calibri" w:cs="Calibri"/>
          <w:sz w:val="22"/>
        </w:rPr>
        <w:t xml:space="preserve">reflects the emphasis on </w:t>
      </w:r>
      <w:r w:rsidRPr="003D6FC2">
        <w:rPr>
          <w:rFonts w:ascii="Calibri" w:hAnsi="Calibri" w:cs="Calibri"/>
          <w:sz w:val="22"/>
        </w:rPr>
        <w:t xml:space="preserve">strengthening public connection, understanding and access to nature. </w:t>
      </w:r>
    </w:p>
    <w:p w14:paraId="699B1B61" w14:textId="77777777" w:rsidR="00223C29" w:rsidRPr="003D6FC2" w:rsidRDefault="00223C29" w:rsidP="00223C29">
      <w:pPr>
        <w:pStyle w:val="ListParagraph"/>
        <w:spacing w:before="240"/>
        <w:ind w:left="357"/>
        <w:rPr>
          <w:rFonts w:ascii="Calibri" w:eastAsia="Arial" w:hAnsi="Calibri" w:cs="Calibri"/>
          <w:sz w:val="22"/>
        </w:rPr>
      </w:pPr>
    </w:p>
    <w:p w14:paraId="7E764661" w14:textId="7B4AA82D" w:rsidR="00223C29" w:rsidRPr="003D6FC2" w:rsidRDefault="00223C29" w:rsidP="00223C29">
      <w:pPr>
        <w:pStyle w:val="ListParagraph"/>
        <w:numPr>
          <w:ilvl w:val="0"/>
          <w:numId w:val="30"/>
        </w:numPr>
        <w:spacing w:after="0"/>
        <w:rPr>
          <w:rFonts w:ascii="Calibri" w:eastAsia="Arial" w:hAnsi="Calibri" w:cs="Times New Roman"/>
          <w:sz w:val="22"/>
        </w:rPr>
      </w:pPr>
      <w:r w:rsidRPr="003D6FC2">
        <w:rPr>
          <w:rFonts w:ascii="Calibri" w:hAnsi="Calibri" w:cs="Calibri"/>
          <w:sz w:val="22"/>
        </w:rPr>
        <w:t>W</w:t>
      </w:r>
      <w:r w:rsidRPr="003D6FC2">
        <w:rPr>
          <w:rFonts w:ascii="Calibri" w:eastAsia="Arial" w:hAnsi="Calibri" w:cs="Calibri"/>
          <w:sz w:val="22"/>
        </w:rPr>
        <w:t xml:space="preserve">ork will continue </w:t>
      </w:r>
      <w:r w:rsidRPr="003D6FC2">
        <w:rPr>
          <w:rFonts w:ascii="Calibri" w:hAnsi="Calibri" w:cs="Calibri"/>
          <w:sz w:val="22"/>
        </w:rPr>
        <w:t>with activity leads to develop both outstanding ARC and Board risk themes (</w:t>
      </w:r>
      <w:r w:rsidRPr="003D6FC2">
        <w:rPr>
          <w:rFonts w:ascii="Calibri" w:eastAsia="Arial" w:hAnsi="Calibri" w:cs="Calibri"/>
          <w:sz w:val="22"/>
        </w:rPr>
        <w:t xml:space="preserve">Data and Evidence </w:t>
      </w:r>
      <w:r w:rsidR="004B2164" w:rsidRPr="003D6FC2">
        <w:rPr>
          <w:rFonts w:ascii="Calibri" w:eastAsia="Arial" w:hAnsi="Calibri" w:cs="Calibri"/>
          <w:sz w:val="22"/>
        </w:rPr>
        <w:t>and</w:t>
      </w:r>
      <w:r w:rsidRPr="003D6FC2">
        <w:rPr>
          <w:rFonts w:ascii="Calibri" w:eastAsia="Arial" w:hAnsi="Calibri" w:cs="Calibri"/>
          <w:sz w:val="22"/>
        </w:rPr>
        <w:t xml:space="preserve"> Statutory Work). An analysis of the current corporate risk register against the </w:t>
      </w:r>
      <w:r w:rsidRPr="003D6FC2">
        <w:rPr>
          <w:rFonts w:ascii="Calibri" w:eastAsia="Arial" w:hAnsi="Calibri" w:cs="Times New Roman"/>
          <w:sz w:val="22"/>
        </w:rPr>
        <w:t xml:space="preserve">new </w:t>
      </w:r>
      <w:r w:rsidRPr="003D6FC2">
        <w:rPr>
          <w:rFonts w:ascii="Calibri" w:eastAsia="Arial" w:hAnsi="Calibri" w:cs="Times New Roman"/>
          <w:i/>
          <w:iCs/>
          <w:sz w:val="22"/>
        </w:rPr>
        <w:t>“Nature thrives, People flourish”</w:t>
      </w:r>
      <w:r w:rsidRPr="003D6FC2">
        <w:rPr>
          <w:rFonts w:ascii="Calibri" w:eastAsia="Arial" w:hAnsi="Calibri" w:cs="Times New Roman"/>
          <w:sz w:val="22"/>
        </w:rPr>
        <w:t xml:space="preserve"> </w:t>
      </w:r>
      <w:r w:rsidR="00E81E84" w:rsidRPr="003D6FC2">
        <w:rPr>
          <w:rFonts w:ascii="Calibri" w:eastAsia="Arial" w:hAnsi="Calibri" w:cs="Times New Roman"/>
          <w:sz w:val="22"/>
        </w:rPr>
        <w:t>C</w:t>
      </w:r>
      <w:r w:rsidRPr="003D6FC2">
        <w:rPr>
          <w:rFonts w:ascii="Calibri" w:eastAsia="Arial" w:hAnsi="Calibri" w:cs="Times New Roman"/>
          <w:sz w:val="22"/>
        </w:rPr>
        <w:t xml:space="preserve">orporate </w:t>
      </w:r>
      <w:r w:rsidR="00E81E84" w:rsidRPr="003D6FC2">
        <w:rPr>
          <w:rFonts w:ascii="Calibri" w:eastAsia="Arial" w:hAnsi="Calibri" w:cs="Times New Roman"/>
          <w:sz w:val="22"/>
        </w:rPr>
        <w:t>P</w:t>
      </w:r>
      <w:r w:rsidRPr="003D6FC2">
        <w:rPr>
          <w:rFonts w:ascii="Calibri" w:eastAsia="Arial" w:hAnsi="Calibri" w:cs="Times New Roman"/>
          <w:sz w:val="22"/>
        </w:rPr>
        <w:t>lan was presented to SLT. This will be developed in Q4</w:t>
      </w:r>
      <w:r w:rsidR="00E81E84" w:rsidRPr="003D6FC2">
        <w:rPr>
          <w:rFonts w:ascii="Calibri" w:eastAsia="Arial" w:hAnsi="Calibri" w:cs="Times New Roman"/>
          <w:sz w:val="22"/>
        </w:rPr>
        <w:t>,</w:t>
      </w:r>
      <w:r w:rsidRPr="003D6FC2">
        <w:rPr>
          <w:rFonts w:ascii="Calibri" w:eastAsia="Arial" w:hAnsi="Calibri" w:cs="Times New Roman"/>
          <w:sz w:val="22"/>
        </w:rPr>
        <w:t xml:space="preserve"> including an initial proposal to ARC outlining our ambition for risk management and risk appetite during the next </w:t>
      </w:r>
      <w:r w:rsidR="007B724A" w:rsidRPr="003D6FC2">
        <w:rPr>
          <w:rFonts w:ascii="Calibri" w:eastAsia="Arial" w:hAnsi="Calibri" w:cs="Times New Roman"/>
          <w:sz w:val="22"/>
        </w:rPr>
        <w:t>C</w:t>
      </w:r>
      <w:r w:rsidRPr="003D6FC2">
        <w:rPr>
          <w:rFonts w:ascii="Calibri" w:eastAsia="Arial" w:hAnsi="Calibri" w:cs="Times New Roman"/>
          <w:sz w:val="22"/>
        </w:rPr>
        <w:t xml:space="preserve">orporate </w:t>
      </w:r>
      <w:r w:rsidR="007B724A" w:rsidRPr="003D6FC2">
        <w:rPr>
          <w:rFonts w:ascii="Calibri" w:eastAsia="Arial" w:hAnsi="Calibri" w:cs="Times New Roman"/>
          <w:sz w:val="22"/>
        </w:rPr>
        <w:t>P</w:t>
      </w:r>
      <w:r w:rsidRPr="003D6FC2">
        <w:rPr>
          <w:rFonts w:ascii="Calibri" w:eastAsia="Arial" w:hAnsi="Calibri" w:cs="Times New Roman"/>
          <w:sz w:val="22"/>
        </w:rPr>
        <w:t>lan</w:t>
      </w:r>
      <w:r w:rsidR="00E81E84" w:rsidRPr="003D6FC2">
        <w:rPr>
          <w:rFonts w:ascii="Calibri" w:eastAsia="Arial" w:hAnsi="Calibri" w:cs="Times New Roman"/>
          <w:sz w:val="22"/>
        </w:rPr>
        <w:t xml:space="preserve"> period</w:t>
      </w:r>
      <w:r w:rsidRPr="003D6FC2">
        <w:rPr>
          <w:rFonts w:ascii="Calibri" w:eastAsia="Arial" w:hAnsi="Calibri" w:cs="Times New Roman"/>
          <w:sz w:val="22"/>
        </w:rPr>
        <w:t>.</w:t>
      </w:r>
    </w:p>
    <w:p w14:paraId="1A76F7E5" w14:textId="77777777" w:rsidR="00223C29" w:rsidRPr="00300A0D" w:rsidRDefault="00223C29" w:rsidP="00223C29">
      <w:pPr>
        <w:pStyle w:val="ListParagraph"/>
        <w:spacing w:after="0"/>
        <w:ind w:left="357"/>
        <w:rPr>
          <w:rFonts w:ascii="Calibri" w:eastAsia="Times New Roman" w:hAnsi="Calibri" w:cs="Calibri"/>
          <w:b/>
          <w:bCs/>
          <w:sz w:val="16"/>
          <w:szCs w:val="16"/>
        </w:rPr>
      </w:pPr>
    </w:p>
    <w:p w14:paraId="6110BB05" w14:textId="77777777" w:rsidR="00223C29" w:rsidRPr="0016133E" w:rsidRDefault="00223C29" w:rsidP="007F243D">
      <w:pPr>
        <w:pStyle w:val="Heading2"/>
        <w:rPr>
          <w:rFonts w:eastAsia="Times New Roman"/>
        </w:rPr>
      </w:pPr>
      <w:r w:rsidRPr="00895AC6">
        <w:t xml:space="preserve">Changes to Corporate Risk Register </w:t>
      </w:r>
    </w:p>
    <w:p w14:paraId="59E39CCF" w14:textId="77777777" w:rsidR="00223C29" w:rsidRPr="00CD4AFA" w:rsidRDefault="00223C29" w:rsidP="00223C29">
      <w:pPr>
        <w:spacing w:after="0"/>
        <w:rPr>
          <w:rFonts w:ascii="Calibri" w:hAnsi="Calibri" w:cs="Calibri"/>
          <w:color w:val="000000" w:themeColor="text1"/>
          <w:sz w:val="16"/>
          <w:szCs w:val="16"/>
        </w:rPr>
      </w:pPr>
    </w:p>
    <w:p w14:paraId="0C03A3EB" w14:textId="0C6A8350" w:rsidR="00223C29" w:rsidRPr="003D6FC2" w:rsidRDefault="00223C29" w:rsidP="00223C29">
      <w:pPr>
        <w:pStyle w:val="ListParagraph"/>
        <w:numPr>
          <w:ilvl w:val="0"/>
          <w:numId w:val="30"/>
        </w:numPr>
        <w:spacing w:after="0"/>
        <w:rPr>
          <w:rFonts w:ascii="Calibri" w:hAnsi="Calibri" w:cs="Calibri"/>
          <w:sz w:val="22"/>
        </w:rPr>
      </w:pPr>
      <w:r w:rsidRPr="003D6FC2">
        <w:rPr>
          <w:rFonts w:ascii="Calibri" w:hAnsi="Calibri" w:cs="Calibri"/>
          <w:sz w:val="22"/>
        </w:rPr>
        <w:t xml:space="preserve">Changes were made against </w:t>
      </w:r>
      <w:r w:rsidR="008F5B26" w:rsidRPr="003D6FC2">
        <w:rPr>
          <w:rFonts w:ascii="Calibri" w:hAnsi="Calibri" w:cs="Calibri"/>
          <w:sz w:val="22"/>
        </w:rPr>
        <w:t>3</w:t>
      </w:r>
      <w:r w:rsidRPr="003D6FC2">
        <w:rPr>
          <w:rFonts w:ascii="Calibri" w:hAnsi="Calibri" w:cs="Calibri"/>
          <w:sz w:val="22"/>
        </w:rPr>
        <w:t xml:space="preserve"> corporate risk scores</w:t>
      </w:r>
      <w:r w:rsidR="00E81E84" w:rsidRPr="003D6FC2">
        <w:rPr>
          <w:rFonts w:ascii="Calibri" w:hAnsi="Calibri" w:cs="Calibri"/>
          <w:sz w:val="22"/>
        </w:rPr>
        <w:t>,</w:t>
      </w:r>
      <w:r w:rsidRPr="003D6FC2">
        <w:rPr>
          <w:rFonts w:ascii="Calibri" w:hAnsi="Calibri" w:cs="Calibri"/>
          <w:sz w:val="22"/>
        </w:rPr>
        <w:t xml:space="preserve"> with risk scores</w:t>
      </w:r>
      <w:r w:rsidR="008F5B26" w:rsidRPr="003D6FC2">
        <w:rPr>
          <w:rFonts w:ascii="Calibri" w:hAnsi="Calibri" w:cs="Calibri"/>
          <w:sz w:val="22"/>
        </w:rPr>
        <w:t xml:space="preserve"> all</w:t>
      </w:r>
      <w:r w:rsidRPr="003D6FC2">
        <w:rPr>
          <w:rFonts w:ascii="Calibri" w:hAnsi="Calibri" w:cs="Calibri"/>
          <w:sz w:val="22"/>
        </w:rPr>
        <w:t xml:space="preserve"> increasing.</w:t>
      </w:r>
    </w:p>
    <w:p w14:paraId="02B4255F" w14:textId="77777777" w:rsidR="00223C29" w:rsidRPr="003D6FC2" w:rsidRDefault="00223C29" w:rsidP="00223C29">
      <w:pPr>
        <w:pStyle w:val="ListParagraph"/>
        <w:spacing w:after="0"/>
        <w:ind w:left="357"/>
        <w:rPr>
          <w:rFonts w:ascii="Calibri" w:hAnsi="Calibri" w:cs="Calibri"/>
          <w:sz w:val="22"/>
        </w:rPr>
      </w:pPr>
    </w:p>
    <w:p w14:paraId="540A6D6D" w14:textId="57DFE55E" w:rsidR="00223C29" w:rsidRPr="003D6FC2" w:rsidRDefault="00223C29" w:rsidP="00223C29">
      <w:pPr>
        <w:pStyle w:val="ListParagraph"/>
        <w:numPr>
          <w:ilvl w:val="0"/>
          <w:numId w:val="30"/>
        </w:numPr>
        <w:spacing w:after="0"/>
        <w:rPr>
          <w:rFonts w:ascii="Calibri" w:hAnsi="Calibri" w:cs="Calibri"/>
          <w:sz w:val="22"/>
        </w:rPr>
      </w:pPr>
      <w:r w:rsidRPr="003D6FC2">
        <w:rPr>
          <w:rFonts w:ascii="Calibri" w:hAnsi="Calibri" w:cs="Calibri"/>
          <w:color w:val="000000" w:themeColor="text1"/>
          <w:sz w:val="22"/>
        </w:rPr>
        <w:t xml:space="preserve">The impact score of 393: Future Funding </w:t>
      </w:r>
      <w:r w:rsidR="004B2164" w:rsidRPr="003D6FC2">
        <w:rPr>
          <w:rFonts w:ascii="Calibri" w:hAnsi="Calibri" w:cs="Calibri"/>
          <w:color w:val="000000" w:themeColor="text1"/>
          <w:sz w:val="22"/>
        </w:rPr>
        <w:t>and</w:t>
      </w:r>
      <w:r w:rsidRPr="003D6FC2">
        <w:rPr>
          <w:rFonts w:ascii="Calibri" w:hAnsi="Calibri" w:cs="Calibri"/>
          <w:color w:val="000000" w:themeColor="text1"/>
          <w:sz w:val="22"/>
        </w:rPr>
        <w:t xml:space="preserve"> Financial Sustainability </w:t>
      </w:r>
      <w:r w:rsidR="007B724A" w:rsidRPr="003D6FC2">
        <w:rPr>
          <w:rFonts w:ascii="Calibri" w:hAnsi="Calibri" w:cs="Calibri"/>
          <w:color w:val="000000" w:themeColor="text1"/>
          <w:sz w:val="22"/>
        </w:rPr>
        <w:t xml:space="preserve">was </w:t>
      </w:r>
      <w:r w:rsidRPr="003D6FC2">
        <w:rPr>
          <w:rFonts w:ascii="Calibri" w:hAnsi="Calibri" w:cs="Calibri"/>
          <w:color w:val="000000" w:themeColor="text1"/>
          <w:sz w:val="22"/>
        </w:rPr>
        <w:t>increased from 4 (significant) to 5 (critical)</w:t>
      </w:r>
      <w:r w:rsidR="00E81E84" w:rsidRPr="003D6FC2">
        <w:rPr>
          <w:rFonts w:ascii="Calibri" w:hAnsi="Calibri" w:cs="Calibri"/>
          <w:color w:val="000000" w:themeColor="text1"/>
          <w:sz w:val="22"/>
        </w:rPr>
        <w:t xml:space="preserve"> pending the January SG Budget announcement</w:t>
      </w:r>
      <w:r w:rsidRPr="003D6FC2">
        <w:rPr>
          <w:rFonts w:ascii="Calibri" w:hAnsi="Calibri" w:cs="Calibri"/>
          <w:color w:val="000000" w:themeColor="text1"/>
          <w:sz w:val="22"/>
        </w:rPr>
        <w:t xml:space="preserve">. Flat cash scenario planning is underway, but this remains our highest scoring corporate risk. </w:t>
      </w:r>
    </w:p>
    <w:p w14:paraId="2F14C61E" w14:textId="77777777" w:rsidR="00223C29" w:rsidRPr="003D6FC2" w:rsidRDefault="00223C29" w:rsidP="00223C29">
      <w:pPr>
        <w:pStyle w:val="ListParagraph"/>
        <w:spacing w:after="0"/>
        <w:ind w:left="357"/>
        <w:rPr>
          <w:rFonts w:ascii="Calibri" w:hAnsi="Calibri" w:cs="Calibri"/>
          <w:sz w:val="22"/>
        </w:rPr>
      </w:pPr>
    </w:p>
    <w:p w14:paraId="4B013D5F" w14:textId="6D12CC6C" w:rsidR="00223C29" w:rsidRPr="003D6FC2" w:rsidRDefault="00223C29" w:rsidP="00223C29">
      <w:pPr>
        <w:pStyle w:val="ListParagraph"/>
        <w:numPr>
          <w:ilvl w:val="0"/>
          <w:numId w:val="30"/>
        </w:numPr>
        <w:spacing w:after="0"/>
        <w:rPr>
          <w:rFonts w:ascii="Calibri" w:hAnsi="Calibri" w:cs="Calibri"/>
          <w:sz w:val="22"/>
        </w:rPr>
      </w:pPr>
      <w:r w:rsidRPr="003D6FC2">
        <w:rPr>
          <w:rFonts w:ascii="Calibri" w:hAnsi="Calibri" w:cs="Calibri"/>
          <w:sz w:val="22"/>
        </w:rPr>
        <w:t xml:space="preserve">The Cabinet Secretary announced that consultation on MPA and PMF management measures would be delayed until after the May election. </w:t>
      </w:r>
      <w:r w:rsidR="008A4E29" w:rsidRPr="003D6FC2">
        <w:rPr>
          <w:rFonts w:ascii="Calibri" w:hAnsi="Calibri" w:cs="Calibri"/>
          <w:sz w:val="22"/>
        </w:rPr>
        <w:t xml:space="preserve">Although 53: Marine Protected Areas primarily focuses on consultation work which has now been delayed, this risk considers stakeholder engagement more </w:t>
      </w:r>
      <w:r w:rsidR="00E70738" w:rsidRPr="003D6FC2">
        <w:rPr>
          <w:rFonts w:ascii="Calibri" w:hAnsi="Calibri" w:cs="Calibri"/>
          <w:sz w:val="22"/>
        </w:rPr>
        <w:t>broadly,</w:t>
      </w:r>
      <w:r w:rsidR="008A4E29" w:rsidRPr="003D6FC2">
        <w:rPr>
          <w:rFonts w:ascii="Calibri" w:hAnsi="Calibri" w:cs="Calibri"/>
          <w:sz w:val="22"/>
        </w:rPr>
        <w:t xml:space="preserve"> </w:t>
      </w:r>
      <w:r w:rsidRPr="003D6FC2">
        <w:rPr>
          <w:rFonts w:ascii="Calibri" w:hAnsi="Calibri" w:cs="Calibri"/>
          <w:sz w:val="22"/>
        </w:rPr>
        <w:t xml:space="preserve">so the impact score increased from 3 to 4. The risk will be monitored before deciding whether to manage it at a corporate or activity level. </w:t>
      </w:r>
    </w:p>
    <w:p w14:paraId="603F1477" w14:textId="77777777" w:rsidR="008F5B26" w:rsidRPr="003D6FC2" w:rsidRDefault="008F5B26" w:rsidP="008F5B26">
      <w:pPr>
        <w:pStyle w:val="ListParagraph"/>
        <w:rPr>
          <w:rFonts w:ascii="Calibri" w:hAnsi="Calibri" w:cs="Calibri"/>
          <w:sz w:val="22"/>
        </w:rPr>
      </w:pPr>
    </w:p>
    <w:p w14:paraId="7C8BA92B" w14:textId="235CA0B8" w:rsidR="00C24CD9" w:rsidRPr="003D6FC2" w:rsidRDefault="008F5B26" w:rsidP="00D93794">
      <w:pPr>
        <w:pStyle w:val="ListParagraph"/>
        <w:numPr>
          <w:ilvl w:val="0"/>
          <w:numId w:val="30"/>
        </w:numPr>
        <w:spacing w:after="0"/>
        <w:rPr>
          <w:rFonts w:ascii="Calibri" w:hAnsi="Calibri" w:cs="Calibri"/>
          <w:sz w:val="22"/>
        </w:rPr>
      </w:pPr>
      <w:r w:rsidRPr="003D6FC2">
        <w:rPr>
          <w:rFonts w:ascii="Calibri" w:hAnsi="Calibri" w:cs="Calibri"/>
          <w:sz w:val="22"/>
        </w:rPr>
        <w:t xml:space="preserve">The likelihood score of 85: Organisational Transformation was also increased from 3 to 4 as </w:t>
      </w:r>
      <w:r w:rsidR="0013690B" w:rsidRPr="003D6FC2">
        <w:rPr>
          <w:rFonts w:ascii="Calibri" w:hAnsi="Calibri" w:cs="Calibri"/>
          <w:sz w:val="22"/>
        </w:rPr>
        <w:t xml:space="preserve">Q4 is likely to be a period of transition </w:t>
      </w:r>
      <w:r w:rsidR="00C24CD9" w:rsidRPr="003D6FC2">
        <w:rPr>
          <w:rFonts w:ascii="Calibri" w:hAnsi="Calibri" w:cs="Calibri"/>
          <w:sz w:val="22"/>
        </w:rPr>
        <w:t xml:space="preserve">between </w:t>
      </w:r>
      <w:r w:rsidR="00E81E84" w:rsidRPr="003D6FC2">
        <w:rPr>
          <w:rFonts w:ascii="Calibri" w:hAnsi="Calibri" w:cs="Calibri"/>
          <w:sz w:val="22"/>
        </w:rPr>
        <w:t>C</w:t>
      </w:r>
      <w:r w:rsidR="00C24CD9" w:rsidRPr="003D6FC2">
        <w:rPr>
          <w:rFonts w:ascii="Calibri" w:hAnsi="Calibri" w:cs="Calibri"/>
          <w:sz w:val="22"/>
        </w:rPr>
        <w:t xml:space="preserve">orporate </w:t>
      </w:r>
      <w:r w:rsidR="00E81E84" w:rsidRPr="003D6FC2">
        <w:rPr>
          <w:rFonts w:ascii="Calibri" w:hAnsi="Calibri" w:cs="Calibri"/>
          <w:sz w:val="22"/>
        </w:rPr>
        <w:t>P</w:t>
      </w:r>
      <w:r w:rsidR="00C24CD9" w:rsidRPr="003D6FC2">
        <w:rPr>
          <w:rFonts w:ascii="Calibri" w:hAnsi="Calibri" w:cs="Calibri"/>
          <w:sz w:val="22"/>
        </w:rPr>
        <w:t>lans</w:t>
      </w:r>
      <w:r w:rsidR="00A2483C" w:rsidRPr="003D6FC2">
        <w:rPr>
          <w:rFonts w:ascii="Calibri" w:hAnsi="Calibri" w:cs="Calibri"/>
          <w:sz w:val="22"/>
        </w:rPr>
        <w:t>, as well as prioritising transformational projects and/or programmes into 2</w:t>
      </w:r>
      <w:r w:rsidR="00E81E84" w:rsidRPr="003D6FC2">
        <w:rPr>
          <w:rFonts w:ascii="Calibri" w:hAnsi="Calibri" w:cs="Calibri"/>
          <w:sz w:val="22"/>
        </w:rPr>
        <w:t>02</w:t>
      </w:r>
      <w:r w:rsidR="00A2483C" w:rsidRPr="003D6FC2">
        <w:rPr>
          <w:rFonts w:ascii="Calibri" w:hAnsi="Calibri" w:cs="Calibri"/>
          <w:sz w:val="22"/>
        </w:rPr>
        <w:t>6/27 and beyond.</w:t>
      </w:r>
    </w:p>
    <w:p w14:paraId="7DFA0B2D" w14:textId="77777777" w:rsidR="00C24CD9" w:rsidRPr="003D6FC2" w:rsidRDefault="00C24CD9" w:rsidP="00C24CD9">
      <w:pPr>
        <w:pStyle w:val="ListParagraph"/>
        <w:spacing w:after="0"/>
        <w:ind w:left="357"/>
        <w:rPr>
          <w:rFonts w:ascii="Calibri" w:hAnsi="Calibri" w:cs="Calibri"/>
          <w:sz w:val="22"/>
        </w:rPr>
      </w:pPr>
    </w:p>
    <w:p w14:paraId="4AAFEBEF" w14:textId="0860A1C4" w:rsidR="00223C29" w:rsidRPr="003D6FC2" w:rsidRDefault="00223C29" w:rsidP="00223C29">
      <w:pPr>
        <w:pStyle w:val="ListParagraph"/>
        <w:numPr>
          <w:ilvl w:val="0"/>
          <w:numId w:val="30"/>
        </w:numPr>
        <w:rPr>
          <w:rFonts w:ascii="Calibri" w:eastAsia="Times New Roman" w:hAnsi="Calibri" w:cs="Calibri"/>
          <w:sz w:val="22"/>
        </w:rPr>
      </w:pPr>
      <w:r w:rsidRPr="003D6FC2">
        <w:rPr>
          <w:rFonts w:ascii="Calibri" w:eastAsia="Times New Roman" w:hAnsi="Calibri" w:cs="Calibri"/>
          <w:sz w:val="22"/>
        </w:rPr>
        <w:t>The Risk Heat Map and change log below summarises all significant Q3 movements:</w:t>
      </w:r>
    </w:p>
    <w:p w14:paraId="5825FB2F" w14:textId="570852D5" w:rsidR="007F243D" w:rsidRDefault="007F243D">
      <w:pPr>
        <w:rPr>
          <w:rFonts w:ascii="Calibri" w:eastAsia="Times New Roman" w:hAnsi="Calibri" w:cs="Calibri"/>
          <w:b/>
          <w:bCs/>
          <w:szCs w:val="24"/>
        </w:rPr>
      </w:pPr>
      <w:r>
        <w:rPr>
          <w:rFonts w:ascii="Calibri" w:eastAsia="Times New Roman" w:hAnsi="Calibri" w:cs="Calibri"/>
          <w:b/>
          <w:bCs/>
          <w:szCs w:val="24"/>
        </w:rPr>
        <w:br w:type="page"/>
      </w:r>
    </w:p>
    <w:p w14:paraId="75290724" w14:textId="7A201CF5" w:rsidR="00A2483C" w:rsidRDefault="00552A70" w:rsidP="009C29B2">
      <w:pPr>
        <w:pStyle w:val="Heading2"/>
        <w:rPr>
          <w:rFonts w:ascii="Calibri" w:eastAsia="Times New Roman" w:hAnsi="Calibri" w:cs="Calibri"/>
          <w:b w:val="0"/>
          <w:bCs/>
          <w:szCs w:val="24"/>
        </w:rPr>
      </w:pPr>
      <w:r>
        <w:rPr>
          <w:rFonts w:ascii="Calibri" w:eastAsia="Times New Roman" w:hAnsi="Calibri" w:cs="Calibri"/>
          <w:bCs/>
          <w:szCs w:val="24"/>
        </w:rPr>
        <w:lastRenderedPageBreak/>
        <w:t>Risk Heat Map</w:t>
      </w:r>
    </w:p>
    <w:p w14:paraId="518098CF" w14:textId="7394011E" w:rsidR="00223C29" w:rsidRDefault="00552A70" w:rsidP="00223C29">
      <w:pPr>
        <w:spacing w:after="0"/>
        <w:rPr>
          <w:rFonts w:ascii="Calibri" w:eastAsia="Times New Roman" w:hAnsi="Calibri" w:cs="Calibri"/>
          <w:b/>
          <w:bCs/>
          <w:szCs w:val="24"/>
        </w:rPr>
      </w:pPr>
      <w:r w:rsidRPr="00552A70">
        <w:rPr>
          <w:rFonts w:ascii="Calibri" w:eastAsia="Times New Roman" w:hAnsi="Calibri" w:cs="Calibri"/>
          <w:b/>
          <w:bCs/>
          <w:noProof/>
          <w:szCs w:val="24"/>
        </w:rPr>
        <w:drawing>
          <wp:inline distT="0" distB="0" distL="0" distR="0" wp14:anchorId="0FFBD1B0" wp14:editId="5EDEDB22">
            <wp:extent cx="5615276" cy="5144494"/>
            <wp:effectExtent l="0" t="0" r="5080" b="0"/>
            <wp:docPr id="652354701" name="Picture 1" descr="Risk assessment matrix chart illustrating various risks based on likelihood (1 to 5) and impact (1 to 5) scales, with color-coded zones: green for low risk, yellow for moderate risk, and red for high risk. Notable risks include &quot;645: Biodiversity Loss&quot; and &quot;765: Legal Resilience&quot; in high likelihood and impact areas, while &quot;21: Budget Management&quot; and &quot;740: Nature Finance&quot; fall in moderate risk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54701" name="Picture 1" descr="Risk assessment matrix chart illustrating various risks based on likelihood (1 to 5) and impact (1 to 5) scales, with color-coded zones: green for low risk, yellow for moderate risk, and red for high risk. Notable risks include &quot;645: Biodiversity Loss&quot; and &quot;765: Legal Resilience&quot; in high likelihood and impact areas, while &quot;21: Budget Management&quot; and &quot;740: Nature Finance&quot; fall in moderate risk zones."/>
                    <pic:cNvPicPr/>
                  </pic:nvPicPr>
                  <pic:blipFill>
                    <a:blip r:embed="rId23"/>
                    <a:stretch>
                      <a:fillRect/>
                    </a:stretch>
                  </pic:blipFill>
                  <pic:spPr>
                    <a:xfrm>
                      <a:off x="0" y="0"/>
                      <a:ext cx="5625709" cy="5154052"/>
                    </a:xfrm>
                    <a:prstGeom prst="rect">
                      <a:avLst/>
                    </a:prstGeom>
                  </pic:spPr>
                </pic:pic>
              </a:graphicData>
            </a:graphic>
          </wp:inline>
        </w:drawing>
      </w:r>
    </w:p>
    <w:p w14:paraId="13D10030" w14:textId="77777777" w:rsidR="00552A70" w:rsidRDefault="00552A70" w:rsidP="00223C29">
      <w:pPr>
        <w:spacing w:after="0"/>
        <w:rPr>
          <w:rFonts w:ascii="Calibri" w:eastAsia="Times New Roman" w:hAnsi="Calibri" w:cs="Calibri"/>
          <w:b/>
          <w:bCs/>
          <w:szCs w:val="24"/>
        </w:rPr>
      </w:pPr>
    </w:p>
    <w:tbl>
      <w:tblPr>
        <w:tblW w:w="8789" w:type="dxa"/>
        <w:tblInd w:w="-15" w:type="dxa"/>
        <w:tblBorders>
          <w:top w:val="single" w:sz="4" w:space="0" w:color="auto"/>
          <w:left w:val="single" w:sz="4" w:space="0" w:color="auto"/>
          <w:bottom w:val="single" w:sz="4" w:space="0" w:color="auto"/>
          <w:right w:val="single" w:sz="4"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8789"/>
      </w:tblGrid>
      <w:tr w:rsidR="00223C29" w:rsidRPr="00CA47FF" w14:paraId="4D743F96" w14:textId="77777777" w:rsidTr="008B7D68">
        <w:trPr>
          <w:cantSplit/>
          <w:trHeight w:val="271"/>
          <w:tblHeader/>
        </w:trPr>
        <w:tc>
          <w:tcPr>
            <w:tcW w:w="8789" w:type="dxa"/>
            <w:tcBorders>
              <w:top w:val="single" w:sz="12" w:space="0" w:color="auto"/>
              <w:left w:val="single" w:sz="12" w:space="0" w:color="auto"/>
              <w:bottom w:val="single" w:sz="12" w:space="0" w:color="auto"/>
              <w:right w:val="single" w:sz="12" w:space="0" w:color="auto"/>
            </w:tcBorders>
            <w:shd w:val="clear" w:color="auto" w:fill="5E8CC0"/>
            <w:vAlign w:val="center"/>
          </w:tcPr>
          <w:p w14:paraId="3A4A3F89" w14:textId="77777777" w:rsidR="00223C29" w:rsidRPr="00CA47FF" w:rsidRDefault="00223C29" w:rsidP="008B7D68">
            <w:pPr>
              <w:spacing w:after="0"/>
              <w:rPr>
                <w:rFonts w:ascii="Calibri" w:hAnsi="Calibri" w:cs="Calibri"/>
                <w:b/>
                <w:bCs/>
                <w:color w:val="1F497D" w:themeColor="text2"/>
                <w:szCs w:val="24"/>
                <w:highlight w:val="yellow"/>
              </w:rPr>
            </w:pPr>
            <w:r>
              <w:rPr>
                <w:rFonts w:ascii="Calibri" w:hAnsi="Calibri" w:cs="Calibri"/>
                <w:b/>
                <w:bCs/>
                <w:szCs w:val="24"/>
              </w:rPr>
              <w:t>25/26 Q3 Corporate Risk Register Change Log</w:t>
            </w:r>
          </w:p>
        </w:tc>
      </w:tr>
      <w:tr w:rsidR="00223C29" w:rsidRPr="004D18D9" w14:paraId="2CC5EBF8" w14:textId="77777777" w:rsidTr="008B7D68">
        <w:trPr>
          <w:trHeight w:val="2159"/>
        </w:trPr>
        <w:tc>
          <w:tcPr>
            <w:tcW w:w="8789" w:type="dxa"/>
            <w:tcBorders>
              <w:top w:val="single" w:sz="12" w:space="0" w:color="auto"/>
              <w:left w:val="single" w:sz="12" w:space="0" w:color="auto"/>
              <w:bottom w:val="single" w:sz="4" w:space="0" w:color="auto"/>
              <w:right w:val="single" w:sz="12" w:space="0" w:color="auto"/>
            </w:tcBorders>
          </w:tcPr>
          <w:p w14:paraId="7FB84F01" w14:textId="77777777" w:rsidR="00223C29" w:rsidRPr="003D6FC2" w:rsidRDefault="00223C29" w:rsidP="008B7D68">
            <w:pPr>
              <w:spacing w:after="0"/>
              <w:rPr>
                <w:rFonts w:ascii="Calibri" w:hAnsi="Calibri" w:cs="Calibri"/>
                <w:b/>
                <w:bCs/>
                <w:sz w:val="22"/>
                <w:u w:val="single"/>
              </w:rPr>
            </w:pPr>
            <w:r w:rsidRPr="003D6FC2">
              <w:rPr>
                <w:rFonts w:ascii="Calibri" w:hAnsi="Calibri" w:cs="Calibri"/>
                <w:b/>
                <w:bCs/>
                <w:sz w:val="22"/>
                <w:u w:val="single"/>
              </w:rPr>
              <w:t>Change to Risk Register</w:t>
            </w:r>
          </w:p>
          <w:p w14:paraId="5CBBE0AF" w14:textId="77777777" w:rsidR="00223C29" w:rsidRPr="003D6FC2" w:rsidRDefault="00223C29" w:rsidP="008B7D68">
            <w:pPr>
              <w:spacing w:after="0"/>
              <w:rPr>
                <w:rFonts w:ascii="Calibri" w:hAnsi="Calibri" w:cs="Calibri"/>
                <w:b/>
                <w:bCs/>
                <w:sz w:val="22"/>
                <w:u w:val="single"/>
              </w:rPr>
            </w:pPr>
            <w:r w:rsidRPr="003D6FC2">
              <w:rPr>
                <w:rFonts w:ascii="Calibri" w:hAnsi="Calibri" w:cs="Calibri"/>
                <w:b/>
                <w:bCs/>
                <w:sz w:val="22"/>
              </w:rPr>
              <w:t>↑</w:t>
            </w:r>
            <w:r w:rsidRPr="003D6FC2">
              <w:rPr>
                <w:rFonts w:ascii="Calibri" w:hAnsi="Calibri" w:cs="Calibri"/>
                <w:sz w:val="22"/>
              </w:rPr>
              <w:t xml:space="preserve"> </w:t>
            </w:r>
            <w:r w:rsidRPr="003D6FC2">
              <w:rPr>
                <w:rFonts w:ascii="Calibri" w:hAnsi="Calibri" w:cs="Calibri"/>
                <w:b/>
                <w:color w:val="ED0000"/>
                <w:sz w:val="22"/>
              </w:rPr>
              <w:t xml:space="preserve">  1 NEW </w:t>
            </w:r>
            <w:r w:rsidRPr="003D6FC2">
              <w:rPr>
                <w:rFonts w:ascii="Calibri" w:hAnsi="Calibri" w:cs="Calibri"/>
                <w:b/>
                <w:bCs/>
                <w:sz w:val="22"/>
              </w:rPr>
              <w:t>Corporate Risk Added</w:t>
            </w:r>
          </w:p>
          <w:p w14:paraId="2EA77537" w14:textId="77777777" w:rsidR="00223C29" w:rsidRPr="003D6FC2" w:rsidRDefault="00223C29" w:rsidP="008B7D68">
            <w:pPr>
              <w:spacing w:after="0"/>
              <w:rPr>
                <w:rFonts w:ascii="Calibri" w:hAnsi="Calibri" w:cs="Calibri"/>
                <w:sz w:val="22"/>
              </w:rPr>
            </w:pPr>
            <w:r w:rsidRPr="003D6FC2">
              <w:rPr>
                <w:rFonts w:ascii="Calibri" w:hAnsi="Calibri" w:cs="Calibri"/>
                <w:sz w:val="22"/>
              </w:rPr>
              <w:t xml:space="preserve">       802: Threat to Support for Nature Positive Action </w:t>
            </w:r>
          </w:p>
          <w:p w14:paraId="69487813" w14:textId="77777777" w:rsidR="00223C29" w:rsidRPr="003D6FC2" w:rsidRDefault="00223C29" w:rsidP="008B7D68">
            <w:pPr>
              <w:spacing w:after="0"/>
              <w:rPr>
                <w:rFonts w:ascii="Calibri" w:hAnsi="Calibri" w:cs="Calibri"/>
                <w:sz w:val="22"/>
              </w:rPr>
            </w:pPr>
            <w:r w:rsidRPr="003D6FC2">
              <w:rPr>
                <w:rFonts w:ascii="Calibri" w:hAnsi="Calibri" w:cs="Calibri"/>
                <w:sz w:val="22"/>
              </w:rPr>
              <w:t xml:space="preserve">       (Developed following ARC/Board Horizon Scanning Sessions)</w:t>
            </w:r>
          </w:p>
          <w:p w14:paraId="1C335A7B" w14:textId="47AC923E" w:rsidR="00223C29" w:rsidRPr="003D6FC2" w:rsidRDefault="00223C29" w:rsidP="008B7D68">
            <w:pPr>
              <w:spacing w:after="0"/>
              <w:rPr>
                <w:rFonts w:ascii="Calibri" w:hAnsi="Calibri" w:cs="Calibri"/>
                <w:b/>
                <w:bCs/>
                <w:sz w:val="22"/>
              </w:rPr>
            </w:pPr>
            <w:proofErr w:type="gramStart"/>
            <w:r w:rsidRPr="003D6FC2">
              <w:rPr>
                <w:rFonts w:ascii="Calibri" w:hAnsi="Calibri" w:cs="Calibri"/>
                <w:b/>
                <w:bCs/>
                <w:sz w:val="22"/>
              </w:rPr>
              <w:t>↑</w:t>
            </w:r>
            <w:r w:rsidRPr="003D6FC2">
              <w:rPr>
                <w:rFonts w:ascii="Calibri" w:hAnsi="Calibri" w:cs="Calibri"/>
                <w:sz w:val="22"/>
              </w:rPr>
              <w:t xml:space="preserve">  </w:t>
            </w:r>
            <w:r w:rsidR="00A2483C" w:rsidRPr="003D6FC2">
              <w:rPr>
                <w:rFonts w:ascii="Calibri" w:hAnsi="Calibri" w:cs="Calibri"/>
                <w:b/>
                <w:bCs/>
                <w:color w:val="ED0000"/>
                <w:sz w:val="22"/>
              </w:rPr>
              <w:t>3</w:t>
            </w:r>
            <w:proofErr w:type="gramEnd"/>
            <w:r w:rsidRPr="003D6FC2">
              <w:rPr>
                <w:rFonts w:ascii="Calibri" w:hAnsi="Calibri" w:cs="Calibri"/>
                <w:b/>
                <w:color w:val="ED0000"/>
                <w:sz w:val="22"/>
              </w:rPr>
              <w:t xml:space="preserve"> </w:t>
            </w:r>
            <w:r w:rsidRPr="003D6FC2">
              <w:rPr>
                <w:rFonts w:ascii="Calibri" w:hAnsi="Calibri" w:cs="Calibri"/>
                <w:b/>
                <w:bCs/>
                <w:sz w:val="22"/>
              </w:rPr>
              <w:t>Risk Scores Increased</w:t>
            </w:r>
          </w:p>
          <w:p w14:paraId="7922D189" w14:textId="77777777" w:rsidR="00223C29" w:rsidRPr="003D6FC2" w:rsidRDefault="00223C29" w:rsidP="008B7D68">
            <w:pPr>
              <w:spacing w:after="0"/>
              <w:rPr>
                <w:rFonts w:ascii="Calibri" w:hAnsi="Calibri" w:cs="Calibri"/>
                <w:sz w:val="22"/>
              </w:rPr>
            </w:pPr>
            <w:r w:rsidRPr="003D6FC2">
              <w:rPr>
                <w:rFonts w:ascii="Calibri" w:hAnsi="Calibri" w:cs="Calibri"/>
                <w:b/>
                <w:bCs/>
                <w:sz w:val="22"/>
              </w:rPr>
              <w:t xml:space="preserve">       </w:t>
            </w:r>
            <w:r w:rsidRPr="003D6FC2">
              <w:rPr>
                <w:rFonts w:ascii="Calibri" w:hAnsi="Calibri" w:cs="Calibri"/>
                <w:sz w:val="22"/>
              </w:rPr>
              <w:t>53: Marine Protected Areas (From Medium to High)</w:t>
            </w:r>
          </w:p>
          <w:p w14:paraId="216BCFDC" w14:textId="01D60A34" w:rsidR="00A2483C" w:rsidRPr="003D6FC2" w:rsidRDefault="00A2483C" w:rsidP="008B7D68">
            <w:pPr>
              <w:spacing w:after="0"/>
              <w:rPr>
                <w:rFonts w:ascii="Calibri" w:hAnsi="Calibri" w:cs="Calibri"/>
                <w:sz w:val="22"/>
              </w:rPr>
            </w:pPr>
            <w:r w:rsidRPr="003D6FC2">
              <w:rPr>
                <w:rFonts w:ascii="Calibri" w:hAnsi="Calibri" w:cs="Calibri"/>
                <w:sz w:val="22"/>
              </w:rPr>
              <w:t xml:space="preserve">       85: Organisational Transformation (</w:t>
            </w:r>
            <w:r w:rsidR="00281DF5" w:rsidRPr="003D6FC2">
              <w:rPr>
                <w:rFonts w:ascii="Calibri" w:hAnsi="Calibri" w:cs="Calibri"/>
                <w:sz w:val="22"/>
              </w:rPr>
              <w:t>From Medium to High</w:t>
            </w:r>
            <w:r w:rsidRPr="003D6FC2">
              <w:rPr>
                <w:rFonts w:ascii="Calibri" w:hAnsi="Calibri" w:cs="Calibri"/>
                <w:sz w:val="22"/>
              </w:rPr>
              <w:t>)</w:t>
            </w:r>
          </w:p>
          <w:p w14:paraId="47CD5F18" w14:textId="1D721472" w:rsidR="00A2483C" w:rsidRPr="003D6FC2" w:rsidRDefault="00223C29" w:rsidP="008B7D68">
            <w:pPr>
              <w:spacing w:after="0"/>
              <w:rPr>
                <w:rFonts w:ascii="Calibri" w:hAnsi="Calibri" w:cs="Calibri"/>
                <w:sz w:val="22"/>
              </w:rPr>
            </w:pPr>
            <w:r w:rsidRPr="003D6FC2">
              <w:rPr>
                <w:rFonts w:ascii="Calibri" w:hAnsi="Calibri" w:cs="Calibri"/>
                <w:b/>
                <w:bCs/>
                <w:sz w:val="22"/>
              </w:rPr>
              <w:t xml:space="preserve">       </w:t>
            </w:r>
            <w:r w:rsidRPr="003D6FC2">
              <w:rPr>
                <w:rFonts w:ascii="Calibri" w:hAnsi="Calibri" w:cs="Calibri"/>
                <w:sz w:val="22"/>
              </w:rPr>
              <w:t xml:space="preserve">393: Future Funding </w:t>
            </w:r>
            <w:r w:rsidR="004B2164" w:rsidRPr="003D6FC2">
              <w:rPr>
                <w:rFonts w:ascii="Calibri" w:hAnsi="Calibri" w:cs="Calibri"/>
                <w:sz w:val="22"/>
              </w:rPr>
              <w:t>and</w:t>
            </w:r>
            <w:r w:rsidRPr="003D6FC2">
              <w:rPr>
                <w:rFonts w:ascii="Calibri" w:hAnsi="Calibri" w:cs="Calibri"/>
                <w:sz w:val="22"/>
              </w:rPr>
              <w:t xml:space="preserve"> Financial Sustainability (From High to Very High)</w:t>
            </w:r>
          </w:p>
        </w:tc>
      </w:tr>
      <w:tr w:rsidR="00223C29" w:rsidRPr="004D18D9" w14:paraId="64B2A236" w14:textId="77777777" w:rsidTr="008B7D68">
        <w:trPr>
          <w:trHeight w:val="375"/>
        </w:trPr>
        <w:tc>
          <w:tcPr>
            <w:tcW w:w="8789" w:type="dxa"/>
            <w:tcBorders>
              <w:top w:val="single" w:sz="4" w:space="0" w:color="auto"/>
              <w:left w:val="single" w:sz="12" w:space="0" w:color="auto"/>
              <w:bottom w:val="single" w:sz="12" w:space="0" w:color="auto"/>
              <w:right w:val="single" w:sz="12" w:space="0" w:color="auto"/>
            </w:tcBorders>
          </w:tcPr>
          <w:p w14:paraId="3FFA512D" w14:textId="77777777" w:rsidR="00223C29" w:rsidRPr="003D6FC2" w:rsidRDefault="00223C29" w:rsidP="008B7D68">
            <w:pPr>
              <w:spacing w:after="0"/>
              <w:rPr>
                <w:rFonts w:ascii="Calibri" w:hAnsi="Calibri" w:cs="Calibri"/>
                <w:b/>
                <w:bCs/>
                <w:sz w:val="22"/>
                <w:u w:val="single"/>
              </w:rPr>
            </w:pPr>
            <w:r w:rsidRPr="003D6FC2">
              <w:rPr>
                <w:rFonts w:ascii="Calibri" w:hAnsi="Calibri" w:cs="Calibri"/>
                <w:b/>
                <w:bCs/>
                <w:sz w:val="22"/>
                <w:u w:val="single"/>
              </w:rPr>
              <w:t xml:space="preserve">Corporate Risk Register Refresh </w:t>
            </w:r>
          </w:p>
          <w:p w14:paraId="0108FB27" w14:textId="11CB9B32" w:rsidR="00223C29" w:rsidRPr="003D6FC2" w:rsidRDefault="00A2483C" w:rsidP="00223C29">
            <w:pPr>
              <w:pStyle w:val="ListParagraph"/>
              <w:numPr>
                <w:ilvl w:val="0"/>
                <w:numId w:val="29"/>
              </w:numPr>
              <w:spacing w:after="0"/>
              <w:rPr>
                <w:rFonts w:ascii="Calibri" w:hAnsi="Calibri" w:cs="Calibri"/>
                <w:sz w:val="22"/>
              </w:rPr>
            </w:pPr>
            <w:r w:rsidRPr="003D6FC2">
              <w:rPr>
                <w:rFonts w:ascii="Calibri" w:hAnsi="Calibri" w:cs="Calibri"/>
                <w:sz w:val="22"/>
              </w:rPr>
              <w:t>Following</w:t>
            </w:r>
            <w:r w:rsidR="00223C29" w:rsidRPr="003D6FC2">
              <w:rPr>
                <w:rFonts w:ascii="Calibri" w:hAnsi="Calibri" w:cs="Calibri"/>
                <w:sz w:val="22"/>
              </w:rPr>
              <w:t xml:space="preserve"> ARC and Board Workshops</w:t>
            </w:r>
            <w:r w:rsidRPr="003D6FC2">
              <w:rPr>
                <w:rFonts w:ascii="Calibri" w:hAnsi="Calibri" w:cs="Calibri"/>
                <w:sz w:val="22"/>
              </w:rPr>
              <w:t xml:space="preserve"> in Q2</w:t>
            </w:r>
            <w:r w:rsidR="00223C29" w:rsidRPr="003D6FC2">
              <w:rPr>
                <w:rFonts w:ascii="Calibri" w:hAnsi="Calibri" w:cs="Calibri"/>
                <w:sz w:val="22"/>
              </w:rPr>
              <w:t xml:space="preserve">, 1 new corporate risk </w:t>
            </w:r>
            <w:r w:rsidRPr="003D6FC2">
              <w:rPr>
                <w:rFonts w:ascii="Calibri" w:hAnsi="Calibri" w:cs="Calibri"/>
                <w:sz w:val="22"/>
              </w:rPr>
              <w:t xml:space="preserve">has been </w:t>
            </w:r>
            <w:r w:rsidR="00A260B6" w:rsidRPr="003D6FC2">
              <w:rPr>
                <w:rFonts w:ascii="Calibri" w:hAnsi="Calibri" w:cs="Calibri"/>
                <w:sz w:val="22"/>
              </w:rPr>
              <w:t>created,</w:t>
            </w:r>
            <w:r w:rsidR="00223C29" w:rsidRPr="003D6FC2">
              <w:rPr>
                <w:rFonts w:ascii="Calibri" w:hAnsi="Calibri" w:cs="Calibri"/>
                <w:sz w:val="22"/>
              </w:rPr>
              <w:t xml:space="preserve"> and 9 risks </w:t>
            </w:r>
            <w:r w:rsidRPr="003D6FC2">
              <w:rPr>
                <w:rFonts w:ascii="Calibri" w:hAnsi="Calibri" w:cs="Calibri"/>
                <w:sz w:val="22"/>
              </w:rPr>
              <w:t xml:space="preserve">have been </w:t>
            </w:r>
            <w:r w:rsidR="00223C29" w:rsidRPr="003D6FC2">
              <w:rPr>
                <w:rFonts w:ascii="Calibri" w:hAnsi="Calibri" w:cs="Calibri"/>
                <w:sz w:val="22"/>
              </w:rPr>
              <w:t xml:space="preserve">reviewed and updated. </w:t>
            </w:r>
          </w:p>
          <w:p w14:paraId="5097A570" w14:textId="77777777" w:rsidR="00223C29" w:rsidRPr="003D6FC2" w:rsidRDefault="00223C29" w:rsidP="00223C29">
            <w:pPr>
              <w:pStyle w:val="ListParagraph"/>
              <w:numPr>
                <w:ilvl w:val="0"/>
                <w:numId w:val="29"/>
              </w:numPr>
              <w:spacing w:after="0"/>
              <w:rPr>
                <w:rFonts w:ascii="Calibri" w:hAnsi="Calibri" w:cs="Calibri"/>
                <w:sz w:val="22"/>
              </w:rPr>
            </w:pPr>
            <w:r w:rsidRPr="003D6FC2">
              <w:rPr>
                <w:rFonts w:ascii="Calibri" w:hAnsi="Calibri" w:cs="Calibri"/>
                <w:sz w:val="22"/>
              </w:rPr>
              <w:t>Q4 focus to develop outstanding ARC risk themes</w:t>
            </w:r>
            <w:r w:rsidRPr="003D6FC2">
              <w:rPr>
                <w:rFonts w:ascii="Calibri" w:eastAsia="Arial" w:hAnsi="Calibri" w:cs="Calibri"/>
                <w:sz w:val="22"/>
              </w:rPr>
              <w:t xml:space="preserve"> and support wider corporate plan development work. </w:t>
            </w:r>
          </w:p>
        </w:tc>
      </w:tr>
    </w:tbl>
    <w:p w14:paraId="4ECAB991" w14:textId="77777777" w:rsidR="009849E9" w:rsidRDefault="009849E9" w:rsidP="008D20BE">
      <w:pPr>
        <w:keepNext/>
        <w:keepLines/>
        <w:spacing w:before="40" w:after="0" w:line="259" w:lineRule="auto"/>
        <w:outlineLvl w:val="1"/>
        <w:rPr>
          <w:rFonts w:ascii="Calibri" w:eastAsiaTheme="majorEastAsia" w:hAnsi="Calibri" w:cs="Calibri"/>
          <w:b/>
          <w:color w:val="007DC3"/>
          <w:sz w:val="28"/>
          <w:szCs w:val="28"/>
        </w:rPr>
        <w:sectPr w:rsidR="009849E9" w:rsidSect="007B5077">
          <w:pgSz w:w="11906" w:h="16838" w:code="9"/>
          <w:pgMar w:top="1440" w:right="1440" w:bottom="1440" w:left="1440" w:header="567" w:footer="709" w:gutter="0"/>
          <w:cols w:space="708"/>
          <w:docGrid w:linePitch="360"/>
        </w:sectPr>
      </w:pPr>
    </w:p>
    <w:p w14:paraId="751C7DEE" w14:textId="6BF5764B" w:rsidR="002B6BB7" w:rsidRPr="00065524" w:rsidRDefault="00363127" w:rsidP="007B5077">
      <w:pPr>
        <w:pStyle w:val="Heading1"/>
        <w:rPr>
          <w:rFonts w:eastAsiaTheme="majorEastAsia"/>
        </w:rPr>
      </w:pPr>
      <w:r w:rsidRPr="00065524">
        <w:rPr>
          <w:rFonts w:eastAsiaTheme="majorEastAsia"/>
        </w:rPr>
        <w:lastRenderedPageBreak/>
        <w:t>A</w:t>
      </w:r>
      <w:r w:rsidR="00AD2E4D">
        <w:rPr>
          <w:rFonts w:eastAsiaTheme="majorEastAsia"/>
        </w:rPr>
        <w:t>ppendi</w:t>
      </w:r>
      <w:r w:rsidRPr="00065524">
        <w:rPr>
          <w:rFonts w:eastAsiaTheme="majorEastAsia"/>
        </w:rPr>
        <w:t xml:space="preserve">x </w:t>
      </w:r>
      <w:r w:rsidR="00701DEB" w:rsidRPr="00065524">
        <w:rPr>
          <w:rFonts w:eastAsiaTheme="majorEastAsia"/>
        </w:rPr>
        <w:t>4</w:t>
      </w:r>
      <w:r w:rsidRPr="00065524">
        <w:rPr>
          <w:rFonts w:eastAsiaTheme="majorEastAsia"/>
        </w:rPr>
        <w:t xml:space="preserve"> - </w:t>
      </w:r>
      <w:r w:rsidR="007B5077" w:rsidRPr="00065524">
        <w:rPr>
          <w:rFonts w:eastAsiaTheme="majorEastAsia"/>
        </w:rPr>
        <w:t>Detailed Performance Report</w:t>
      </w:r>
    </w:p>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5B1B32" w14:paraId="3545C7DC" w14:textId="77777777" w:rsidTr="007F26B5">
        <w:trPr>
          <w:cnfStyle w:val="100000000000" w:firstRow="1" w:lastRow="0" w:firstColumn="0" w:lastColumn="0" w:oddVBand="0" w:evenVBand="0" w:oddHBand="0" w:evenHBand="0" w:firstRowFirstColumn="0" w:firstRowLastColumn="0" w:lastRowFirstColumn="0" w:lastRowLastColumn="0"/>
          <w:cantSplit/>
          <w:trHeight w:val="416"/>
          <w:tblHeader/>
        </w:trPr>
        <w:tc>
          <w:tcPr>
            <w:cnfStyle w:val="001000000000" w:firstRow="0" w:lastRow="0" w:firstColumn="1" w:lastColumn="0" w:oddVBand="0" w:evenVBand="0" w:oddHBand="0" w:evenHBand="0" w:firstRowFirstColumn="0" w:firstRowLastColumn="0" w:lastRowFirstColumn="0" w:lastRowLastColumn="0"/>
            <w:tcW w:w="2312" w:type="pct"/>
            <w:shd w:val="clear" w:color="auto" w:fill="DBE5F1" w:themeFill="accent1" w:themeFillTint="33"/>
          </w:tcPr>
          <w:p w14:paraId="4DD2AAF0" w14:textId="77777777" w:rsidR="007F26B5" w:rsidRPr="004C5B78" w:rsidRDefault="007F26B5" w:rsidP="008B7D68">
            <w:pPr>
              <w:rPr>
                <w:rFonts w:ascii="Calibri" w:hAnsi="Calibri" w:cs="Calibri"/>
                <w:bCs w:val="0"/>
                <w:szCs w:val="24"/>
              </w:rPr>
            </w:pPr>
            <w:r w:rsidRPr="005B1B32">
              <w:rPr>
                <w:rFonts w:ascii="Calibri" w:hAnsi="Calibri" w:cs="Calibri"/>
                <w:szCs w:val="24"/>
              </w:rPr>
              <w:t>Q</w:t>
            </w:r>
            <w:r>
              <w:rPr>
                <w:rFonts w:ascii="Calibri" w:hAnsi="Calibri" w:cs="Calibri"/>
                <w:szCs w:val="24"/>
              </w:rPr>
              <w:t>3</w:t>
            </w:r>
            <w:r w:rsidRPr="005B1B32">
              <w:rPr>
                <w:rFonts w:ascii="Calibri" w:hAnsi="Calibri" w:cs="Calibri"/>
                <w:szCs w:val="24"/>
              </w:rPr>
              <w:t xml:space="preserve"> </w:t>
            </w:r>
            <w:r>
              <w:rPr>
                <w:rFonts w:ascii="Calibri" w:hAnsi="Calibri" w:cs="Calibri"/>
                <w:szCs w:val="24"/>
              </w:rPr>
              <w:t xml:space="preserve">BP </w:t>
            </w:r>
            <w:r w:rsidRPr="005B1B32">
              <w:rPr>
                <w:rFonts w:ascii="Calibri" w:hAnsi="Calibri" w:cs="Calibri"/>
                <w:szCs w:val="24"/>
              </w:rPr>
              <w:t>Focus</w:t>
            </w:r>
            <w:r>
              <w:rPr>
                <w:rFonts w:ascii="Calibri" w:hAnsi="Calibri" w:cs="Calibri"/>
                <w:szCs w:val="24"/>
              </w:rPr>
              <w:t xml:space="preserve"> </w:t>
            </w:r>
          </w:p>
        </w:tc>
        <w:tc>
          <w:tcPr>
            <w:tcW w:w="2688" w:type="pct"/>
            <w:shd w:val="clear" w:color="auto" w:fill="DBE5F1" w:themeFill="accent1" w:themeFillTint="33"/>
          </w:tcPr>
          <w:p w14:paraId="25F4A40A" w14:textId="77777777" w:rsidR="007F26B5" w:rsidRPr="004C5B78" w:rsidRDefault="007F26B5" w:rsidP="008B7D68">
            <w:pPr>
              <w:cnfStyle w:val="100000000000" w:firstRow="1" w:lastRow="0" w:firstColumn="0" w:lastColumn="0" w:oddVBand="0" w:evenVBand="0" w:oddHBand="0" w:evenHBand="0" w:firstRowFirstColumn="0" w:firstRowLastColumn="0" w:lastRowFirstColumn="0" w:lastRowLastColumn="0"/>
              <w:rPr>
                <w:rFonts w:ascii="Calibri" w:hAnsi="Calibri" w:cs="Calibri"/>
                <w:bCs w:val="0"/>
                <w:szCs w:val="24"/>
              </w:rPr>
            </w:pPr>
            <w:r>
              <w:rPr>
                <w:rFonts w:ascii="Calibri" w:hAnsi="Calibri" w:cs="Calibri"/>
                <w:bCs w:val="0"/>
                <w:szCs w:val="24"/>
              </w:rPr>
              <w:t>Q3 BP deliverable</w:t>
            </w:r>
          </w:p>
        </w:tc>
      </w:tr>
      <w:tr w:rsidR="007F26B5" w:rsidRPr="005B1B32" w14:paraId="1641B0C5" w14:textId="77777777" w:rsidTr="007F26B5">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51110D8D" w14:textId="77777777" w:rsidR="007F26B5" w:rsidRPr="00345AA3" w:rsidRDefault="007F26B5" w:rsidP="008B7D68">
            <w:pPr>
              <w:rPr>
                <w:rFonts w:ascii="Calibri" w:hAnsi="Calibri" w:cs="Calibri"/>
                <w:szCs w:val="24"/>
              </w:rPr>
            </w:pPr>
            <w:r>
              <w:rPr>
                <w:rFonts w:ascii="Calibri" w:hAnsi="Calibri" w:cs="Calibri"/>
                <w:szCs w:val="24"/>
              </w:rPr>
              <w:t xml:space="preserve"> </w:t>
            </w:r>
            <w:r w:rsidRPr="005B1B32">
              <w:rPr>
                <w:rFonts w:ascii="Calibri" w:hAnsi="Calibri" w:cs="Calibri"/>
                <w:szCs w:val="24"/>
              </w:rPr>
              <w:t>Lead the delivery of 30% of land and sea being protected by 2030</w:t>
            </w:r>
            <w:r>
              <w:rPr>
                <w:rFonts w:ascii="Calibri" w:hAnsi="Calibri" w:cs="Calibri"/>
                <w:szCs w:val="24"/>
              </w:rPr>
              <w:t xml:space="preserve"> </w:t>
            </w:r>
          </w:p>
        </w:tc>
      </w:tr>
      <w:tr w:rsidR="007F26B5" w:rsidRPr="005B1B32" w14:paraId="433DB621" w14:textId="77777777" w:rsidTr="007F26B5">
        <w:trPr>
          <w:trHeight w:val="567"/>
        </w:trPr>
        <w:tc>
          <w:tcPr>
            <w:cnfStyle w:val="001000000000" w:firstRow="0" w:lastRow="0" w:firstColumn="1" w:lastColumn="0" w:oddVBand="0" w:evenVBand="0" w:oddHBand="0" w:evenHBand="0" w:firstRowFirstColumn="0" w:firstRowLastColumn="0" w:lastRowFirstColumn="0" w:lastRowLastColumn="0"/>
            <w:tcW w:w="2312" w:type="pct"/>
          </w:tcPr>
          <w:p w14:paraId="7127212C" w14:textId="77777777" w:rsidR="007F26B5" w:rsidRPr="00895AC6" w:rsidRDefault="007F26B5" w:rsidP="008B7D68">
            <w:pPr>
              <w:ind w:left="459" w:hanging="459"/>
              <w:rPr>
                <w:rFonts w:ascii="Calibri" w:hAnsi="Calibri" w:cs="Calibri"/>
                <w:b w:val="0"/>
                <w:bCs w:val="0"/>
                <w:sz w:val="22"/>
              </w:rPr>
            </w:pPr>
            <w:proofErr w:type="gramStart"/>
            <w:r w:rsidRPr="00895AC6">
              <w:rPr>
                <w:rFonts w:ascii="Calibri" w:hAnsi="Calibri" w:cs="Calibri"/>
                <w:b w:val="0"/>
                <w:bCs w:val="0"/>
                <w:sz w:val="22"/>
              </w:rPr>
              <w:t>2.1  Finalise</w:t>
            </w:r>
            <w:proofErr w:type="gramEnd"/>
            <w:r w:rsidRPr="00895AC6">
              <w:rPr>
                <w:rFonts w:ascii="Calibri" w:hAnsi="Calibri" w:cs="Calibri"/>
                <w:b w:val="0"/>
                <w:bCs w:val="0"/>
                <w:sz w:val="22"/>
              </w:rPr>
              <w:t xml:space="preserve"> governance arrangements for Nature30 sites with PAC and Board. Undertake first Nature30 site process evaluation and refinement cycle. Agree arrangements for the new delivery model for 30x30 with Ops staff.</w:t>
            </w:r>
          </w:p>
          <w:p w14:paraId="05308A40" w14:textId="77777777" w:rsidR="007F26B5" w:rsidRPr="00895AC6" w:rsidRDefault="007F26B5" w:rsidP="008B7D68">
            <w:pPr>
              <w:ind w:left="459" w:hanging="459"/>
              <w:rPr>
                <w:rFonts w:ascii="Calibri" w:hAnsi="Calibri" w:cs="Calibri"/>
                <w:b w:val="0"/>
                <w:bCs w:val="0"/>
                <w:sz w:val="22"/>
              </w:rPr>
            </w:pPr>
            <w:r w:rsidRPr="00895AC6">
              <w:rPr>
                <w:rFonts w:ascii="Calibri" w:hAnsi="Calibri" w:cs="Calibri"/>
                <w:b w:val="0"/>
                <w:bCs w:val="0"/>
                <w:sz w:val="22"/>
              </w:rPr>
              <w:t>2.2   Launch final version of second (of six) Big Biodiversity Layer.</w:t>
            </w:r>
          </w:p>
          <w:p w14:paraId="32347711" w14:textId="77777777" w:rsidR="007F26B5" w:rsidRPr="00895AC6" w:rsidRDefault="007F26B5" w:rsidP="008B7D68">
            <w:pPr>
              <w:ind w:left="459" w:hanging="459"/>
              <w:rPr>
                <w:rFonts w:ascii="Calibri" w:hAnsi="Calibri" w:cs="Calibri"/>
                <w:b w:val="0"/>
                <w:bCs w:val="0"/>
                <w:sz w:val="22"/>
              </w:rPr>
            </w:pPr>
            <w:proofErr w:type="gramStart"/>
            <w:r w:rsidRPr="00895AC6">
              <w:rPr>
                <w:rFonts w:ascii="Calibri" w:hAnsi="Calibri" w:cs="Calibri"/>
                <w:b w:val="0"/>
                <w:bCs w:val="0"/>
                <w:sz w:val="22"/>
              </w:rPr>
              <w:t>2.3  Publish</w:t>
            </w:r>
            <w:proofErr w:type="gramEnd"/>
            <w:r w:rsidRPr="00895AC6">
              <w:rPr>
                <w:rFonts w:ascii="Calibri" w:hAnsi="Calibri" w:cs="Calibri"/>
                <w:b w:val="0"/>
                <w:bCs w:val="0"/>
                <w:sz w:val="22"/>
              </w:rPr>
              <w:t xml:space="preserve"> Suite-level objectives for 30x30 sites, final Delivering Healthy Ecosystems Framework and complete pre-consultation stakeholder engagement on MPA management measures and publish NatureScot advice.</w:t>
            </w:r>
          </w:p>
          <w:p w14:paraId="21C89B66" w14:textId="77777777" w:rsidR="007F26B5" w:rsidRPr="00895AC6" w:rsidRDefault="007F26B5" w:rsidP="008B7D68">
            <w:pPr>
              <w:ind w:left="459" w:hanging="459"/>
              <w:rPr>
                <w:rFonts w:ascii="Calibri" w:hAnsi="Calibri" w:cs="Calibri"/>
                <w:b w:val="0"/>
                <w:bCs w:val="0"/>
                <w:sz w:val="22"/>
              </w:rPr>
            </w:pPr>
            <w:proofErr w:type="gramStart"/>
            <w:r w:rsidRPr="00895AC6">
              <w:rPr>
                <w:rFonts w:ascii="Calibri" w:hAnsi="Calibri" w:cs="Calibri"/>
                <w:b w:val="0"/>
                <w:bCs w:val="0"/>
                <w:sz w:val="22"/>
              </w:rPr>
              <w:t>2.4  Provide</w:t>
            </w:r>
            <w:proofErr w:type="gramEnd"/>
            <w:r w:rsidRPr="00895AC6">
              <w:rPr>
                <w:rFonts w:ascii="Calibri" w:hAnsi="Calibri" w:cs="Calibri"/>
                <w:b w:val="0"/>
                <w:bCs w:val="0"/>
                <w:sz w:val="22"/>
              </w:rPr>
              <w:t xml:space="preserve"> support to Scottish Government on next steps as required including the stage 2 considerations of the National Park elements of the NEB.</w:t>
            </w:r>
          </w:p>
        </w:tc>
        <w:tc>
          <w:tcPr>
            <w:tcW w:w="2688" w:type="pct"/>
          </w:tcPr>
          <w:p w14:paraId="27FE51D4" w14:textId="2BF61D95" w:rsidR="007F26B5" w:rsidRPr="00895AC6" w:rsidRDefault="007F26B5" w:rsidP="008B7D68">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895AC6">
              <w:rPr>
                <w:rFonts w:ascii="Calibri" w:hAnsi="Calibri" w:cs="Calibri"/>
                <w:sz w:val="22"/>
              </w:rPr>
              <w:t xml:space="preserve">2.1   Scottish Government delegation of responsibility for Nature30 sites received. Process agreed in principle with Protected Areas Committee as has forward cycle of work to deliver this work. Heads of Operations have agreed delivery model.    </w:t>
            </w:r>
          </w:p>
          <w:p w14:paraId="2BD40179" w14:textId="77777777" w:rsidR="007F26B5" w:rsidRPr="00895AC6" w:rsidRDefault="007F26B5" w:rsidP="008B7D68">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895AC6">
              <w:rPr>
                <w:rFonts w:ascii="Calibri" w:hAnsi="Calibri" w:cs="Calibri"/>
                <w:sz w:val="22"/>
              </w:rPr>
              <w:t>2.2   Second BBL layer with GIG team ready for publishing</w:t>
            </w:r>
          </w:p>
          <w:p w14:paraId="7F494649" w14:textId="25CE6C8E" w:rsidR="007F26B5" w:rsidRPr="00895AC6" w:rsidRDefault="007F26B5" w:rsidP="008B7D68">
            <w:pPr>
              <w:ind w:left="459" w:hanging="459"/>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895AC6">
              <w:rPr>
                <w:rFonts w:ascii="Calibri" w:hAnsi="Calibri" w:cs="Calibri"/>
                <w:sz w:val="22"/>
              </w:rPr>
              <w:t>2.3   We completed internal briefings and planned external pre-consultation meetings (e.g. with local authorities) for the MPA management measures.  Our MPA advice is ready to be published. (</w:t>
            </w:r>
            <w:r w:rsidR="00FD71CF" w:rsidRPr="00895AC6">
              <w:rPr>
                <w:rFonts w:ascii="Calibri" w:hAnsi="Calibri" w:cs="Calibri"/>
                <w:sz w:val="22"/>
              </w:rPr>
              <w:t>C</w:t>
            </w:r>
            <w:r w:rsidRPr="00895AC6">
              <w:rPr>
                <w:rFonts w:ascii="Calibri" w:hAnsi="Calibri" w:cs="Calibri"/>
                <w:sz w:val="22"/>
              </w:rPr>
              <w:t xml:space="preserve">onsultation will not be launched until after the Scottish elections.) </w:t>
            </w:r>
          </w:p>
          <w:p w14:paraId="391A5BBA" w14:textId="1E38A9FC" w:rsidR="007F26B5" w:rsidRPr="00895AC6" w:rsidRDefault="007F26B5" w:rsidP="008B7D68">
            <w:pPr>
              <w:cnfStyle w:val="000000000000" w:firstRow="0" w:lastRow="0" w:firstColumn="0" w:lastColumn="0" w:oddVBand="0" w:evenVBand="0" w:oddHBand="0" w:evenHBand="0" w:firstRowFirstColumn="0" w:firstRowLastColumn="0" w:lastRowFirstColumn="0" w:lastRowLastColumn="0"/>
              <w:rPr>
                <w:rFonts w:ascii="Calibri" w:hAnsi="Calibri" w:cs="Calibri"/>
                <w:sz w:val="22"/>
              </w:rPr>
            </w:pPr>
            <w:r w:rsidRPr="00895AC6">
              <w:rPr>
                <w:rFonts w:ascii="Calibri" w:hAnsi="Calibri" w:cs="Calibri"/>
                <w:sz w:val="22"/>
              </w:rPr>
              <w:t>2.4   Supporting Scottish Government as necessary</w:t>
            </w:r>
          </w:p>
        </w:tc>
      </w:tr>
    </w:tbl>
    <w:p w14:paraId="17E65BBE" w14:textId="77777777" w:rsidR="00F30990" w:rsidRDefault="00F30990"/>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5B1B32" w14:paraId="36867EFF" w14:textId="77777777" w:rsidTr="007F26B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3180D560" w14:textId="77777777" w:rsidR="007F26B5" w:rsidRDefault="007F26B5" w:rsidP="008B7D68">
            <w:pPr>
              <w:rPr>
                <w:rFonts w:ascii="Calibri" w:hAnsi="Calibri" w:cs="Calibri"/>
                <w:szCs w:val="24"/>
              </w:rPr>
            </w:pPr>
            <w:r w:rsidRPr="005B1B32">
              <w:rPr>
                <w:rFonts w:ascii="Calibri" w:hAnsi="Calibri" w:cs="Calibri"/>
                <w:szCs w:val="24"/>
              </w:rPr>
              <w:t>Build stronger collaboration reducing the impacts of deer and modernise our wildlife management and underpinning licencing functions to enable a net zero and nature positive future</w:t>
            </w:r>
          </w:p>
        </w:tc>
      </w:tr>
      <w:tr w:rsidR="007F26B5" w:rsidRPr="005B1B32" w14:paraId="1C95841E" w14:textId="77777777" w:rsidTr="007F26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12" w:type="pct"/>
          </w:tcPr>
          <w:p w14:paraId="60C2BC2D" w14:textId="77777777" w:rsidR="007F26B5" w:rsidRPr="00895AC6" w:rsidRDefault="007F26B5" w:rsidP="008B7D68">
            <w:pPr>
              <w:ind w:left="465" w:hanging="465"/>
              <w:rPr>
                <w:rFonts w:ascii="Calibri" w:hAnsi="Calibri" w:cs="Calibri"/>
                <w:sz w:val="22"/>
              </w:rPr>
            </w:pPr>
            <w:r w:rsidRPr="00895AC6">
              <w:rPr>
                <w:rFonts w:ascii="Calibri" w:hAnsi="Calibri" w:cs="Calibri"/>
                <w:b w:val="0"/>
                <w:bCs w:val="0"/>
                <w:sz w:val="22"/>
              </w:rPr>
              <w:t xml:space="preserve"> 4.1   Monitor and report on cull delivery in regulatory priorities. Submit Species Licensing Review to Ministers. Develop online licensing route map. Deliver deer incentive schemes and support SAOS larder and venison processing scheme.</w:t>
            </w:r>
          </w:p>
          <w:p w14:paraId="63CEE310" w14:textId="77777777" w:rsidR="007F26B5" w:rsidRPr="00895AC6" w:rsidRDefault="007F26B5" w:rsidP="008B7D68">
            <w:pPr>
              <w:ind w:left="465" w:hanging="465"/>
              <w:rPr>
                <w:rFonts w:ascii="Calibri" w:hAnsi="Calibri" w:cs="Calibri"/>
                <w:sz w:val="22"/>
              </w:rPr>
            </w:pPr>
          </w:p>
          <w:p w14:paraId="309456D8" w14:textId="77777777" w:rsidR="007F26B5" w:rsidRPr="00895AC6" w:rsidRDefault="007F26B5" w:rsidP="008B7D68">
            <w:pPr>
              <w:ind w:left="465" w:hanging="465"/>
              <w:rPr>
                <w:rFonts w:ascii="Calibri" w:hAnsi="Calibri" w:cs="Calibri"/>
                <w:sz w:val="22"/>
              </w:rPr>
            </w:pPr>
          </w:p>
          <w:p w14:paraId="7E73186B" w14:textId="77777777" w:rsidR="007F26B5" w:rsidRPr="00895AC6" w:rsidRDefault="007F26B5" w:rsidP="008B7D68">
            <w:pPr>
              <w:ind w:left="465" w:hanging="465"/>
              <w:rPr>
                <w:rFonts w:ascii="Calibri" w:hAnsi="Calibri" w:cs="Calibri"/>
                <w:sz w:val="22"/>
              </w:rPr>
            </w:pPr>
          </w:p>
          <w:p w14:paraId="6C972F21" w14:textId="77777777" w:rsidR="007F26B5" w:rsidRPr="00895AC6" w:rsidRDefault="007F26B5" w:rsidP="008B7D68">
            <w:pPr>
              <w:ind w:left="465" w:hanging="465"/>
              <w:rPr>
                <w:rFonts w:ascii="Calibri" w:hAnsi="Calibri" w:cs="Calibri"/>
                <w:b w:val="0"/>
                <w:bCs w:val="0"/>
                <w:sz w:val="22"/>
              </w:rPr>
            </w:pPr>
          </w:p>
          <w:p w14:paraId="29B9E563" w14:textId="77777777" w:rsidR="007F26B5" w:rsidRPr="00895AC6" w:rsidRDefault="007F26B5" w:rsidP="008B7D68">
            <w:pPr>
              <w:ind w:left="452" w:hanging="452"/>
              <w:rPr>
                <w:rFonts w:ascii="Calibri" w:hAnsi="Calibri" w:cs="Calibri"/>
                <w:sz w:val="22"/>
              </w:rPr>
            </w:pPr>
            <w:r w:rsidRPr="00895AC6">
              <w:rPr>
                <w:rFonts w:ascii="Calibri" w:hAnsi="Calibri" w:cs="Calibri"/>
                <w:b w:val="0"/>
                <w:bCs w:val="0"/>
                <w:sz w:val="22"/>
              </w:rPr>
              <w:t>4.2   Complete payments for Sea Eagle Management and goose management schemes.</w:t>
            </w:r>
          </w:p>
          <w:p w14:paraId="07F26855" w14:textId="77777777" w:rsidR="007F26B5" w:rsidRPr="00895AC6" w:rsidRDefault="007F26B5" w:rsidP="008B7D68">
            <w:pPr>
              <w:ind w:left="452" w:hanging="452"/>
              <w:rPr>
                <w:rFonts w:ascii="Calibri" w:hAnsi="Calibri" w:cs="Calibri"/>
                <w:sz w:val="22"/>
              </w:rPr>
            </w:pPr>
          </w:p>
          <w:p w14:paraId="719B620F" w14:textId="77777777" w:rsidR="007F26B5" w:rsidRPr="00895AC6" w:rsidRDefault="007F26B5" w:rsidP="008B7D68">
            <w:pPr>
              <w:ind w:left="452" w:hanging="452"/>
              <w:rPr>
                <w:rFonts w:ascii="Calibri" w:hAnsi="Calibri" w:cs="Calibri"/>
                <w:b w:val="0"/>
                <w:bCs w:val="0"/>
                <w:sz w:val="22"/>
              </w:rPr>
            </w:pPr>
          </w:p>
          <w:p w14:paraId="5BA1D50A" w14:textId="77777777" w:rsidR="007F26B5" w:rsidRPr="00895AC6" w:rsidRDefault="007F26B5" w:rsidP="008B7D68">
            <w:pPr>
              <w:ind w:left="452" w:hanging="452"/>
              <w:rPr>
                <w:rFonts w:ascii="Calibri" w:hAnsi="Calibri" w:cs="Calibri"/>
                <w:sz w:val="22"/>
              </w:rPr>
            </w:pPr>
            <w:r w:rsidRPr="00895AC6">
              <w:rPr>
                <w:rFonts w:ascii="Calibri" w:hAnsi="Calibri" w:cs="Calibri"/>
                <w:b w:val="0"/>
                <w:bCs w:val="0"/>
                <w:sz w:val="22"/>
              </w:rPr>
              <w:lastRenderedPageBreak/>
              <w:t>4.3   Further development of the Scottish INNS Action Plan.</w:t>
            </w:r>
          </w:p>
          <w:p w14:paraId="37309DC9" w14:textId="77777777" w:rsidR="007F26B5" w:rsidRPr="00895AC6" w:rsidRDefault="007F26B5" w:rsidP="008B7D68">
            <w:pPr>
              <w:ind w:left="452" w:hanging="452"/>
              <w:rPr>
                <w:rFonts w:ascii="Calibri" w:hAnsi="Calibri" w:cs="Calibri"/>
                <w:b w:val="0"/>
                <w:bCs w:val="0"/>
                <w:sz w:val="22"/>
              </w:rPr>
            </w:pPr>
          </w:p>
          <w:p w14:paraId="6A76C4CF" w14:textId="77777777" w:rsidR="007F26B5" w:rsidRPr="00895AC6" w:rsidRDefault="007F26B5" w:rsidP="008B7D68">
            <w:pPr>
              <w:ind w:left="459" w:hanging="459"/>
              <w:rPr>
                <w:rFonts w:ascii="Calibri" w:hAnsi="Calibri" w:cs="Calibri"/>
                <w:sz w:val="22"/>
              </w:rPr>
            </w:pPr>
            <w:r w:rsidRPr="00895AC6">
              <w:rPr>
                <w:rFonts w:ascii="Calibri" w:hAnsi="Calibri" w:cs="Calibri"/>
                <w:b w:val="0"/>
                <w:bCs w:val="0"/>
                <w:sz w:val="22"/>
              </w:rPr>
              <w:t xml:space="preserve">4.4   </w:t>
            </w:r>
            <w:bookmarkStart w:id="11" w:name="_Hlk216766153"/>
            <w:r w:rsidRPr="00895AC6">
              <w:rPr>
                <w:rFonts w:ascii="Calibri" w:hAnsi="Calibri" w:cs="Calibri"/>
                <w:b w:val="0"/>
                <w:bCs w:val="0"/>
                <w:sz w:val="22"/>
              </w:rPr>
              <w:t>Delivery of licensing service within service standards, develop trapping licensing provisions and agree approach to licensing charging.</w:t>
            </w:r>
            <w:bookmarkEnd w:id="11"/>
          </w:p>
        </w:tc>
        <w:tc>
          <w:tcPr>
            <w:tcW w:w="2688" w:type="pct"/>
            <w:tcBorders>
              <w:bottom w:val="single" w:sz="4" w:space="0" w:color="BFBFBF" w:themeColor="background1" w:themeShade="BF"/>
            </w:tcBorders>
          </w:tcPr>
          <w:p w14:paraId="696933C8" w14:textId="7EDDF50C" w:rsidR="007F26B5" w:rsidRPr="00895AC6"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lastRenderedPageBreak/>
              <w:t>4.1   Section 7 cull delivery being monitored and steering group held along with regular round of Autumn DMG meetings. Deer incentives scheme underway with deer app monitoring, increased support rates in CNPA and new scheme launched in LLTNPA. SAOS larder fund has been oversubscribed with additional £150K provided by Scottish Government. Species licensing review to be submitted by end Dec. Online licensing route map and approach to licensing system build reviewed by oversight board with resourcing for expanding twin track of maintenance and development being scoped.</w:t>
            </w:r>
          </w:p>
          <w:p w14:paraId="03F45FCB" w14:textId="77777777" w:rsidR="007F26B5" w:rsidRPr="00895AC6"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 xml:space="preserve">4.2   Scheme MA offers all progressed and sent to applicants, with enhanced rates for SEMS scheme. Beaver release in Affric / Beauly Catchment, consultation underway in Ness – call for Expressions of Interests 28 responses collated throughout Scotland, </w:t>
            </w:r>
          </w:p>
          <w:p w14:paraId="510BA3F2" w14:textId="77777777" w:rsidR="007F26B5" w:rsidRPr="00895AC6"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lastRenderedPageBreak/>
              <w:t>4.3   Scottish INNS action plan developed and out for consultation with stakeholders. INNS Funding seminar held.</w:t>
            </w:r>
          </w:p>
          <w:p w14:paraId="341D4A13" w14:textId="73990482" w:rsidR="00B87A69" w:rsidRPr="00895AC6" w:rsidRDefault="007F26B5" w:rsidP="00B87A69">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 xml:space="preserve">4.4   </w:t>
            </w:r>
            <w:r w:rsidR="00B87A69" w:rsidRPr="00895AC6">
              <w:rPr>
                <w:rFonts w:ascii="Calibri" w:hAnsi="Calibri" w:cs="Calibri"/>
                <w:sz w:val="22"/>
              </w:rPr>
              <w:t>We continue to deliver our licensing service in accordance with our Service Level Statement</w:t>
            </w:r>
          </w:p>
          <w:p w14:paraId="0623609A" w14:textId="4157213B" w:rsidR="00B87A69" w:rsidRPr="00895AC6" w:rsidRDefault="00B87A69" w:rsidP="00B87A69">
            <w:pPr>
              <w:ind w:left="459" w:firstLine="7"/>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 xml:space="preserve">An external review of our Species Licensing Review (SLR), which includes proposals for charging, has been completed and we have provided initial feedback on the review to SG.  We are updating the SLR and will submit to </w:t>
            </w:r>
            <w:proofErr w:type="gramStart"/>
            <w:r w:rsidRPr="00895AC6">
              <w:rPr>
                <w:rFonts w:ascii="Calibri" w:hAnsi="Calibri" w:cs="Calibri"/>
                <w:sz w:val="22"/>
              </w:rPr>
              <w:t>SG  in</w:t>
            </w:r>
            <w:proofErr w:type="gramEnd"/>
            <w:r w:rsidRPr="00895AC6">
              <w:rPr>
                <w:rFonts w:ascii="Calibri" w:hAnsi="Calibri" w:cs="Calibri"/>
                <w:sz w:val="22"/>
              </w:rPr>
              <w:t xml:space="preserve"> January.  This will provide the basis for proposals for cost recovery.</w:t>
            </w:r>
          </w:p>
          <w:p w14:paraId="469D5368" w14:textId="21662EAC" w:rsidR="007F26B5" w:rsidRPr="00895AC6" w:rsidRDefault="00B87A69" w:rsidP="00B87A69">
            <w:pPr>
              <w:ind w:left="459" w:firstLine="7"/>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A new Head of Licensing, was appointed in November 2025.</w:t>
            </w:r>
          </w:p>
        </w:tc>
      </w:tr>
    </w:tbl>
    <w:p w14:paraId="10AF7070" w14:textId="77777777" w:rsidR="006A6B9F" w:rsidRDefault="006A6B9F"/>
    <w:p w14:paraId="0D4CEC97" w14:textId="77777777" w:rsidR="00F53EC6" w:rsidRPr="007B5077" w:rsidRDefault="00F53EC6" w:rsidP="00F53EC6">
      <w:pPr>
        <w:pStyle w:val="Heading2"/>
      </w:pPr>
      <w:r w:rsidRPr="007B5077">
        <w:t>Online Licensing Performance Measure</w:t>
      </w:r>
    </w:p>
    <w:tbl>
      <w:tblPr>
        <w:tblStyle w:val="TableGrid"/>
        <w:tblW w:w="0" w:type="auto"/>
        <w:tblLook w:val="04A0" w:firstRow="1" w:lastRow="0" w:firstColumn="1" w:lastColumn="0" w:noHBand="0" w:noVBand="1"/>
      </w:tblPr>
      <w:tblGrid>
        <w:gridCol w:w="3179"/>
        <w:gridCol w:w="939"/>
        <w:gridCol w:w="821"/>
        <w:gridCol w:w="8031"/>
      </w:tblGrid>
      <w:tr w:rsidR="00E02A94" w:rsidRPr="0011111E" w14:paraId="2715EC37" w14:textId="77777777" w:rsidTr="00EA6453">
        <w:trPr>
          <w:trHeight w:val="267"/>
        </w:trPr>
        <w:tc>
          <w:tcPr>
            <w:tcW w:w="3179" w:type="dxa"/>
            <w:shd w:val="clear" w:color="auto" w:fill="DDD9C3" w:themeFill="background2" w:themeFillShade="E6"/>
          </w:tcPr>
          <w:p w14:paraId="05F0694F" w14:textId="77777777" w:rsidR="00E02A94" w:rsidRPr="0011111E" w:rsidRDefault="00E02A94" w:rsidP="00525250">
            <w:pPr>
              <w:rPr>
                <w:b/>
                <w:bCs/>
              </w:rPr>
            </w:pPr>
            <w:r w:rsidRPr="0011111E">
              <w:rPr>
                <w:b/>
                <w:bCs/>
              </w:rPr>
              <w:t xml:space="preserve">Measure </w:t>
            </w:r>
          </w:p>
        </w:tc>
        <w:tc>
          <w:tcPr>
            <w:tcW w:w="939" w:type="dxa"/>
            <w:shd w:val="clear" w:color="auto" w:fill="DDD9C3" w:themeFill="background2" w:themeFillShade="E6"/>
          </w:tcPr>
          <w:p w14:paraId="7304B577" w14:textId="77777777" w:rsidR="00E02A94" w:rsidRPr="0011111E" w:rsidRDefault="00E02A94" w:rsidP="00525250">
            <w:pPr>
              <w:rPr>
                <w:b/>
                <w:bCs/>
              </w:rPr>
            </w:pPr>
            <w:r w:rsidRPr="0011111E">
              <w:rPr>
                <w:b/>
                <w:bCs/>
              </w:rPr>
              <w:t>Actual</w:t>
            </w:r>
          </w:p>
        </w:tc>
        <w:tc>
          <w:tcPr>
            <w:tcW w:w="653" w:type="dxa"/>
            <w:shd w:val="clear" w:color="auto" w:fill="DDD9C3" w:themeFill="background2" w:themeFillShade="E6"/>
          </w:tcPr>
          <w:p w14:paraId="16B29829" w14:textId="77777777" w:rsidR="00E02A94" w:rsidRPr="0011111E" w:rsidRDefault="00E02A94" w:rsidP="00525250">
            <w:pPr>
              <w:rPr>
                <w:b/>
                <w:bCs/>
              </w:rPr>
            </w:pPr>
            <w:r w:rsidRPr="0011111E">
              <w:rPr>
                <w:b/>
                <w:bCs/>
              </w:rPr>
              <w:t>R</w:t>
            </w:r>
            <w:r>
              <w:rPr>
                <w:b/>
                <w:bCs/>
              </w:rPr>
              <w:t>AG</w:t>
            </w:r>
          </w:p>
        </w:tc>
        <w:tc>
          <w:tcPr>
            <w:tcW w:w="8031" w:type="dxa"/>
            <w:shd w:val="clear" w:color="auto" w:fill="DDD9C3" w:themeFill="background2" w:themeFillShade="E6"/>
          </w:tcPr>
          <w:p w14:paraId="5146E041" w14:textId="77777777" w:rsidR="00E02A94" w:rsidRPr="0011111E" w:rsidRDefault="00E02A94" w:rsidP="00525250">
            <w:pPr>
              <w:rPr>
                <w:b/>
                <w:bCs/>
              </w:rPr>
            </w:pPr>
            <w:r w:rsidRPr="0011111E">
              <w:rPr>
                <w:b/>
                <w:bCs/>
              </w:rPr>
              <w:t>Comment</w:t>
            </w:r>
          </w:p>
        </w:tc>
      </w:tr>
      <w:tr w:rsidR="00E02A94" w14:paraId="20282547" w14:textId="77777777" w:rsidTr="00F53EC6">
        <w:trPr>
          <w:trHeight w:val="239"/>
        </w:trPr>
        <w:tc>
          <w:tcPr>
            <w:tcW w:w="3179" w:type="dxa"/>
          </w:tcPr>
          <w:p w14:paraId="75ED29FC" w14:textId="7959371F" w:rsidR="00E02A94" w:rsidRPr="007523B5" w:rsidRDefault="00E02A94" w:rsidP="00525250">
            <w:pPr>
              <w:rPr>
                <w:sz w:val="22"/>
              </w:rPr>
            </w:pPr>
            <w:r w:rsidRPr="00EA6453">
              <w:rPr>
                <w:sz w:val="22"/>
              </w:rPr>
              <w:t xml:space="preserve">Licences processed online </w:t>
            </w:r>
          </w:p>
        </w:tc>
        <w:tc>
          <w:tcPr>
            <w:tcW w:w="939" w:type="dxa"/>
          </w:tcPr>
          <w:p w14:paraId="2670A0F5" w14:textId="77777777" w:rsidR="00E02A94" w:rsidRPr="007523B5" w:rsidRDefault="00E02A94" w:rsidP="00525250">
            <w:pPr>
              <w:rPr>
                <w:sz w:val="22"/>
              </w:rPr>
            </w:pPr>
            <w:r w:rsidRPr="007523B5">
              <w:rPr>
                <w:sz w:val="22"/>
              </w:rPr>
              <w:t>355</w:t>
            </w:r>
          </w:p>
        </w:tc>
        <w:tc>
          <w:tcPr>
            <w:tcW w:w="653" w:type="dxa"/>
            <w:shd w:val="clear" w:color="auto" w:fill="FFC000"/>
          </w:tcPr>
          <w:p w14:paraId="49DBACF2" w14:textId="7F628BEC" w:rsidR="00E02A94" w:rsidRPr="006A6B9F" w:rsidRDefault="00F7526F" w:rsidP="00525250">
            <w:pPr>
              <w:rPr>
                <w:sz w:val="22"/>
              </w:rPr>
            </w:pPr>
            <w:r>
              <w:rPr>
                <w:sz w:val="22"/>
              </w:rPr>
              <w:t>Amber</w:t>
            </w:r>
          </w:p>
        </w:tc>
        <w:tc>
          <w:tcPr>
            <w:tcW w:w="8031" w:type="dxa"/>
          </w:tcPr>
          <w:p w14:paraId="47BC5C27" w14:textId="77777777" w:rsidR="00E02A94" w:rsidRPr="007523B5" w:rsidRDefault="00E02A94" w:rsidP="00525250">
            <w:pPr>
              <w:rPr>
                <w:sz w:val="22"/>
              </w:rPr>
            </w:pPr>
            <w:r w:rsidRPr="007523B5">
              <w:rPr>
                <w:sz w:val="22"/>
              </w:rPr>
              <w:t xml:space="preserve">73% reduction </w:t>
            </w:r>
            <w:proofErr w:type="gramStart"/>
            <w:r w:rsidRPr="007523B5">
              <w:rPr>
                <w:sz w:val="22"/>
              </w:rPr>
              <w:t>due  to</w:t>
            </w:r>
            <w:proofErr w:type="gramEnd"/>
            <w:r w:rsidRPr="007523B5">
              <w:rPr>
                <w:sz w:val="22"/>
              </w:rPr>
              <w:t xml:space="preserve"> seasonal fluctuation in numbers </w:t>
            </w:r>
          </w:p>
        </w:tc>
      </w:tr>
    </w:tbl>
    <w:p w14:paraId="4FDF6E0D" w14:textId="77777777" w:rsidR="00EA6453" w:rsidRDefault="00EA6453"/>
    <w:p w14:paraId="5F765416" w14:textId="77777777" w:rsidR="00EA6453" w:rsidRDefault="00EA6453"/>
    <w:p w14:paraId="6DEB4619" w14:textId="77777777" w:rsidR="00EA6453" w:rsidRDefault="00EA6453"/>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5B1B32" w14:paraId="4D2C07B8" w14:textId="77777777" w:rsidTr="007F26B5">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2EFA2361" w14:textId="77777777" w:rsidR="007F26B5" w:rsidRDefault="007F26B5" w:rsidP="008B7D68">
            <w:pPr>
              <w:rPr>
                <w:rFonts w:ascii="Calibri" w:hAnsi="Calibri" w:cs="Calibri"/>
                <w:szCs w:val="24"/>
              </w:rPr>
            </w:pPr>
            <w:r w:rsidRPr="00C14D55">
              <w:rPr>
                <w:rFonts w:ascii="Calibri" w:hAnsi="Calibri" w:cs="Calibri"/>
                <w:szCs w:val="24"/>
              </w:rPr>
              <w:t>Engage and influence planning and other regulatory systems to ensure they deliver for nature and climate</w:t>
            </w:r>
          </w:p>
        </w:tc>
      </w:tr>
      <w:tr w:rsidR="007F26B5" w:rsidRPr="00C14D55" w14:paraId="3BD9EE5B" w14:textId="77777777" w:rsidTr="007F26B5">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2312" w:type="pct"/>
          </w:tcPr>
          <w:p w14:paraId="2D3102A0" w14:textId="77777777" w:rsidR="007F26B5" w:rsidRPr="00895AC6" w:rsidRDefault="007F26B5" w:rsidP="008B7D68">
            <w:pPr>
              <w:ind w:left="452" w:hanging="452"/>
              <w:rPr>
                <w:rFonts w:ascii="Calibri" w:hAnsi="Calibri" w:cs="Calibri"/>
                <w:sz w:val="22"/>
              </w:rPr>
            </w:pPr>
            <w:bookmarkStart w:id="12" w:name="_Hlk178602051"/>
            <w:r w:rsidRPr="00895AC6">
              <w:rPr>
                <w:rFonts w:ascii="Calibri" w:hAnsi="Calibri" w:cs="Calibri"/>
                <w:b w:val="0"/>
                <w:bCs w:val="0"/>
                <w:sz w:val="22"/>
              </w:rPr>
              <w:t>3.1   Provide a report on our engagement with Renewables sector as part of Planning Performance Framework (PPF) reporting.</w:t>
            </w:r>
          </w:p>
          <w:p w14:paraId="4E0E812C" w14:textId="77777777" w:rsidR="007F26B5" w:rsidRPr="00895AC6" w:rsidRDefault="007F26B5" w:rsidP="008B7D68">
            <w:pPr>
              <w:ind w:left="452" w:hanging="452"/>
              <w:rPr>
                <w:rFonts w:ascii="Calibri" w:hAnsi="Calibri" w:cs="Calibri"/>
                <w:sz w:val="22"/>
              </w:rPr>
            </w:pPr>
          </w:p>
          <w:p w14:paraId="4C3E735D" w14:textId="77777777" w:rsidR="007F26B5" w:rsidRPr="00895AC6" w:rsidRDefault="007F26B5" w:rsidP="008B7D68">
            <w:pPr>
              <w:ind w:left="452" w:hanging="452"/>
              <w:rPr>
                <w:rFonts w:ascii="Calibri" w:hAnsi="Calibri" w:cs="Calibri"/>
                <w:b w:val="0"/>
                <w:bCs w:val="0"/>
                <w:sz w:val="22"/>
              </w:rPr>
            </w:pPr>
          </w:p>
          <w:p w14:paraId="12DC9C51" w14:textId="77777777" w:rsidR="007F26B5" w:rsidRPr="00895AC6" w:rsidRDefault="007F26B5" w:rsidP="008B7D68">
            <w:pPr>
              <w:ind w:left="459" w:hanging="459"/>
              <w:rPr>
                <w:rFonts w:ascii="Calibri" w:hAnsi="Calibri" w:cs="Calibri"/>
                <w:sz w:val="22"/>
              </w:rPr>
            </w:pPr>
            <w:r w:rsidRPr="00895AC6">
              <w:rPr>
                <w:rFonts w:ascii="Calibri" w:hAnsi="Calibri" w:cs="Calibri"/>
                <w:b w:val="0"/>
                <w:bCs w:val="0"/>
                <w:sz w:val="22"/>
              </w:rPr>
              <w:t>3.3   Develop a likely approach to peatland habitats.</w:t>
            </w:r>
          </w:p>
        </w:tc>
        <w:tc>
          <w:tcPr>
            <w:tcW w:w="2688" w:type="pct"/>
            <w:tcBorders>
              <w:top w:val="single" w:sz="4" w:space="0" w:color="BFBFBF" w:themeColor="background1" w:themeShade="BF"/>
              <w:right w:val="single" w:sz="4" w:space="0" w:color="BFBFBF" w:themeColor="background1" w:themeShade="BF"/>
            </w:tcBorders>
          </w:tcPr>
          <w:p w14:paraId="3465879F" w14:textId="32EE11CA" w:rsidR="007F26B5" w:rsidRPr="00895AC6" w:rsidRDefault="007F26B5" w:rsidP="008B7D68">
            <w:pPr>
              <w:ind w:left="465" w:hanging="465"/>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 xml:space="preserve">3.1   As part of the Annual Determination Timescales meeting with industry and Scottish Government, we participated in reporting our performance and have engaged in the Programme for Government of key agency planning services, the actions from which are due in late December.   </w:t>
            </w:r>
          </w:p>
          <w:p w14:paraId="3610C171" w14:textId="601D3432" w:rsidR="007F26B5" w:rsidRPr="00895AC6" w:rsidRDefault="007F26B5" w:rsidP="008B7D68">
            <w:pPr>
              <w:ind w:left="464" w:hanging="464"/>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3.3   The approach to the Scottish Planning Biodiversity Metric ha</w:t>
            </w:r>
            <w:r w:rsidR="0050584B" w:rsidRPr="00895AC6">
              <w:rPr>
                <w:rFonts w:ascii="Calibri" w:hAnsi="Calibri" w:cs="Calibri"/>
                <w:sz w:val="22"/>
              </w:rPr>
              <w:t>s</w:t>
            </w:r>
            <w:r w:rsidRPr="00895AC6">
              <w:rPr>
                <w:rFonts w:ascii="Calibri" w:hAnsi="Calibri" w:cs="Calibri"/>
                <w:sz w:val="22"/>
              </w:rPr>
              <w:t xml:space="preserve"> evolved and the peatland approach is being developed with dependencies on other work in NatureScot.  The expectation is that the development of an approach to peatland will continue into next year.  </w:t>
            </w:r>
          </w:p>
        </w:tc>
      </w:tr>
    </w:tbl>
    <w:p w14:paraId="11B7393E" w14:textId="77777777" w:rsidR="000C2B93" w:rsidRDefault="000C2B93"/>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C14D55" w14:paraId="58D41E88" w14:textId="77777777" w:rsidTr="007F26B5">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5000" w:type="pct"/>
            <w:gridSpan w:val="2"/>
            <w:tcBorders>
              <w:right w:val="single" w:sz="4" w:space="0" w:color="BFBFBF" w:themeColor="background1" w:themeShade="BF"/>
            </w:tcBorders>
            <w:shd w:val="clear" w:color="auto" w:fill="92D050"/>
          </w:tcPr>
          <w:p w14:paraId="3299FEE3" w14:textId="77777777" w:rsidR="007F26B5" w:rsidRDefault="007F26B5" w:rsidP="008B7D68">
            <w:pPr>
              <w:rPr>
                <w:rFonts w:ascii="Calibri" w:hAnsi="Calibri" w:cs="Calibri"/>
                <w:szCs w:val="24"/>
              </w:rPr>
            </w:pPr>
            <w:r w:rsidRPr="009C2BEF">
              <w:rPr>
                <w:rFonts w:ascii="Calibri" w:hAnsi="Calibri" w:cs="Calibri"/>
                <w:szCs w:val="24"/>
              </w:rPr>
              <w:lastRenderedPageBreak/>
              <w:t>Influence the transformation of marine management through new marine planning, protection and fisheries management frameworks, and working with the marine renewable energy sector</w:t>
            </w:r>
          </w:p>
        </w:tc>
      </w:tr>
      <w:tr w:rsidR="007F26B5" w:rsidRPr="005B1B32" w14:paraId="18ACB96C" w14:textId="77777777" w:rsidTr="007F26B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312" w:type="pct"/>
          </w:tcPr>
          <w:p w14:paraId="5CA43FF7" w14:textId="77777777" w:rsidR="007F26B5" w:rsidRPr="00895AC6" w:rsidRDefault="007F26B5" w:rsidP="008B7D68">
            <w:pPr>
              <w:ind w:left="459" w:hanging="459"/>
              <w:rPr>
                <w:rFonts w:ascii="Calibri" w:hAnsi="Calibri" w:cs="Calibri"/>
                <w:sz w:val="22"/>
              </w:rPr>
            </w:pPr>
            <w:bookmarkStart w:id="13" w:name="_Hlk178602124"/>
            <w:r w:rsidRPr="00895AC6">
              <w:rPr>
                <w:rFonts w:ascii="Calibri" w:hAnsi="Calibri" w:cs="Calibri"/>
                <w:b w:val="0"/>
                <w:bCs w:val="0"/>
                <w:sz w:val="22"/>
              </w:rPr>
              <w:t xml:space="preserve">1.6   Influence marine and coastal strategies and plans to deliver recovery and resilience of Scotland’s coasts and seas. </w:t>
            </w:r>
          </w:p>
          <w:p w14:paraId="6B8DBDCD" w14:textId="77777777" w:rsidR="007F26B5" w:rsidRPr="00895AC6" w:rsidRDefault="007F26B5" w:rsidP="008B7D68">
            <w:pPr>
              <w:ind w:left="459" w:hanging="459"/>
              <w:rPr>
                <w:rFonts w:ascii="Calibri" w:hAnsi="Calibri" w:cs="Calibri"/>
                <w:sz w:val="22"/>
              </w:rPr>
            </w:pPr>
          </w:p>
          <w:p w14:paraId="10A101CE" w14:textId="77777777" w:rsidR="007F26B5" w:rsidRPr="00895AC6" w:rsidRDefault="007F26B5" w:rsidP="008B7D68">
            <w:pPr>
              <w:ind w:left="459" w:hanging="459"/>
              <w:rPr>
                <w:rFonts w:ascii="Calibri" w:hAnsi="Calibri" w:cs="Calibri"/>
                <w:sz w:val="22"/>
              </w:rPr>
            </w:pPr>
          </w:p>
          <w:p w14:paraId="1E9FAC24" w14:textId="77777777" w:rsidR="007F26B5" w:rsidRPr="00895AC6" w:rsidRDefault="007F26B5" w:rsidP="008B7D68">
            <w:pPr>
              <w:ind w:left="459" w:hanging="459"/>
              <w:rPr>
                <w:rFonts w:ascii="Calibri" w:hAnsi="Calibri" w:cs="Calibri"/>
                <w:b w:val="0"/>
                <w:bCs w:val="0"/>
                <w:sz w:val="22"/>
              </w:rPr>
            </w:pPr>
          </w:p>
          <w:p w14:paraId="2436CA89" w14:textId="77777777" w:rsidR="007F26B5" w:rsidRPr="00895AC6" w:rsidRDefault="007F26B5" w:rsidP="008B7D68">
            <w:pPr>
              <w:ind w:left="459" w:hanging="459"/>
              <w:rPr>
                <w:rFonts w:ascii="Calibri" w:hAnsi="Calibri" w:cs="Calibri"/>
                <w:b w:val="0"/>
                <w:bCs w:val="0"/>
                <w:sz w:val="22"/>
              </w:rPr>
            </w:pPr>
            <w:r w:rsidRPr="00895AC6">
              <w:rPr>
                <w:rFonts w:ascii="Calibri" w:hAnsi="Calibri" w:cs="Calibri"/>
                <w:b w:val="0"/>
                <w:bCs w:val="0"/>
                <w:sz w:val="22"/>
              </w:rPr>
              <w:t>3.2   Deliver an effective programme of marine energy advice to secure compensation and nature positive development to meet Net Zero targets.</w:t>
            </w:r>
          </w:p>
        </w:tc>
        <w:tc>
          <w:tcPr>
            <w:tcW w:w="2688" w:type="pct"/>
            <w:tcBorders>
              <w:right w:val="single" w:sz="4" w:space="0" w:color="BFBFBF" w:themeColor="background1" w:themeShade="BF"/>
            </w:tcBorders>
          </w:tcPr>
          <w:p w14:paraId="6504C182" w14:textId="296BA8EA" w:rsidR="007F26B5" w:rsidRPr="00895AC6"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 xml:space="preserve">1.6   Scottish Government published the Marine and Coastal Restoration Plan and (with other administrations) the UK Cetacean Conservation Strategy – both SBS actions.  We had significant involvement in plan development and consultation. Shetland Regional Marine Plan also published following a lengthy development process. </w:t>
            </w:r>
          </w:p>
          <w:p w14:paraId="4CF81A76" w14:textId="77777777" w:rsidR="007F26B5" w:rsidRDefault="007F26B5" w:rsidP="008B7D68">
            <w:pPr>
              <w:ind w:left="464" w:hanging="464"/>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3.2   We provided advice on 3 Offshore Wind applications with Supplementary Environmental Information, one S36 application and several cable applications. We also provided advice on draft Statutory Instruments as part of Energy Act reform and are finalising plans for Cost Recovery for Offshore Wind advice.</w:t>
            </w:r>
          </w:p>
          <w:p w14:paraId="02808CF8" w14:textId="77777777" w:rsidR="00895AC6" w:rsidRPr="00895AC6" w:rsidRDefault="00895AC6" w:rsidP="008B7D68">
            <w:pPr>
              <w:ind w:left="464" w:hanging="464"/>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tc>
      </w:tr>
    </w:tbl>
    <w:p w14:paraId="615234AF" w14:textId="77777777" w:rsidR="00F53EC6" w:rsidRDefault="00F53EC6"/>
    <w:p w14:paraId="6DD90050" w14:textId="77777777" w:rsidR="00877B0E" w:rsidRPr="007B5077" w:rsidRDefault="00877B0E" w:rsidP="00877B0E">
      <w:pPr>
        <w:pStyle w:val="Heading2"/>
      </w:pPr>
      <w:r w:rsidRPr="007B5077">
        <w:t>Marine Energy Consultation Performance Measure</w:t>
      </w:r>
    </w:p>
    <w:tbl>
      <w:tblPr>
        <w:tblStyle w:val="TableGrid"/>
        <w:tblW w:w="0" w:type="auto"/>
        <w:tblLook w:val="04A0" w:firstRow="1" w:lastRow="0" w:firstColumn="1" w:lastColumn="0" w:noHBand="0" w:noVBand="1"/>
      </w:tblPr>
      <w:tblGrid>
        <w:gridCol w:w="3179"/>
        <w:gridCol w:w="939"/>
        <w:gridCol w:w="766"/>
        <w:gridCol w:w="8031"/>
      </w:tblGrid>
      <w:tr w:rsidR="00E02A94" w:rsidRPr="0011111E" w14:paraId="49FD9623" w14:textId="77777777" w:rsidTr="00525250">
        <w:trPr>
          <w:trHeight w:val="267"/>
        </w:trPr>
        <w:tc>
          <w:tcPr>
            <w:tcW w:w="3179" w:type="dxa"/>
            <w:shd w:val="clear" w:color="auto" w:fill="DDD9C3" w:themeFill="background2" w:themeFillShade="E6"/>
          </w:tcPr>
          <w:p w14:paraId="58F88C29" w14:textId="77777777" w:rsidR="00E02A94" w:rsidRPr="0011111E" w:rsidRDefault="00E02A94" w:rsidP="00525250">
            <w:pPr>
              <w:rPr>
                <w:b/>
                <w:bCs/>
              </w:rPr>
            </w:pPr>
            <w:r w:rsidRPr="0011111E">
              <w:rPr>
                <w:b/>
                <w:bCs/>
              </w:rPr>
              <w:t xml:space="preserve">Measure </w:t>
            </w:r>
          </w:p>
        </w:tc>
        <w:tc>
          <w:tcPr>
            <w:tcW w:w="939" w:type="dxa"/>
            <w:shd w:val="clear" w:color="auto" w:fill="DDD9C3" w:themeFill="background2" w:themeFillShade="E6"/>
          </w:tcPr>
          <w:p w14:paraId="5225D50A" w14:textId="77777777" w:rsidR="00E02A94" w:rsidRPr="0011111E" w:rsidRDefault="00E02A94" w:rsidP="00525250">
            <w:pPr>
              <w:rPr>
                <w:b/>
                <w:bCs/>
              </w:rPr>
            </w:pPr>
            <w:r w:rsidRPr="0011111E">
              <w:rPr>
                <w:b/>
                <w:bCs/>
              </w:rPr>
              <w:t>Actual</w:t>
            </w:r>
          </w:p>
        </w:tc>
        <w:tc>
          <w:tcPr>
            <w:tcW w:w="653" w:type="dxa"/>
            <w:shd w:val="clear" w:color="auto" w:fill="DDD9C3" w:themeFill="background2" w:themeFillShade="E6"/>
          </w:tcPr>
          <w:p w14:paraId="106AB9CD" w14:textId="77777777" w:rsidR="00E02A94" w:rsidRPr="0011111E" w:rsidRDefault="00E02A94" w:rsidP="00525250">
            <w:pPr>
              <w:rPr>
                <w:b/>
                <w:bCs/>
              </w:rPr>
            </w:pPr>
            <w:r w:rsidRPr="0011111E">
              <w:rPr>
                <w:b/>
                <w:bCs/>
              </w:rPr>
              <w:t>R</w:t>
            </w:r>
            <w:r>
              <w:rPr>
                <w:b/>
                <w:bCs/>
              </w:rPr>
              <w:t>AG</w:t>
            </w:r>
          </w:p>
        </w:tc>
        <w:tc>
          <w:tcPr>
            <w:tcW w:w="8031" w:type="dxa"/>
            <w:shd w:val="clear" w:color="auto" w:fill="DDD9C3" w:themeFill="background2" w:themeFillShade="E6"/>
          </w:tcPr>
          <w:p w14:paraId="221991DD" w14:textId="77777777" w:rsidR="00E02A94" w:rsidRPr="0011111E" w:rsidRDefault="00E02A94" w:rsidP="00525250">
            <w:pPr>
              <w:rPr>
                <w:b/>
                <w:bCs/>
              </w:rPr>
            </w:pPr>
            <w:r w:rsidRPr="0011111E">
              <w:rPr>
                <w:b/>
                <w:bCs/>
              </w:rPr>
              <w:t>Comment</w:t>
            </w:r>
          </w:p>
        </w:tc>
      </w:tr>
      <w:tr w:rsidR="00E02A94" w14:paraId="1D2EE95A" w14:textId="77777777" w:rsidTr="00877B0E">
        <w:trPr>
          <w:trHeight w:val="239"/>
        </w:trPr>
        <w:tc>
          <w:tcPr>
            <w:tcW w:w="3179" w:type="dxa"/>
          </w:tcPr>
          <w:p w14:paraId="2075A82A" w14:textId="0003FCAF" w:rsidR="00E02A94" w:rsidRPr="007523B5" w:rsidRDefault="00E02A94" w:rsidP="00877B0E">
            <w:pPr>
              <w:rPr>
                <w:sz w:val="22"/>
              </w:rPr>
            </w:pPr>
            <w:r w:rsidRPr="00877B0E">
              <w:rPr>
                <w:sz w:val="22"/>
              </w:rPr>
              <w:t xml:space="preserve">Marine energy consultations </w:t>
            </w:r>
          </w:p>
        </w:tc>
        <w:tc>
          <w:tcPr>
            <w:tcW w:w="939" w:type="dxa"/>
          </w:tcPr>
          <w:p w14:paraId="5CC118DD" w14:textId="248D24BC" w:rsidR="00E02A94" w:rsidRPr="007523B5" w:rsidRDefault="00E02A94" w:rsidP="00877B0E">
            <w:pPr>
              <w:rPr>
                <w:sz w:val="22"/>
              </w:rPr>
            </w:pPr>
            <w:r w:rsidRPr="007523B5">
              <w:rPr>
                <w:sz w:val="22"/>
              </w:rPr>
              <w:t>90</w:t>
            </w:r>
          </w:p>
        </w:tc>
        <w:tc>
          <w:tcPr>
            <w:tcW w:w="653" w:type="dxa"/>
            <w:shd w:val="clear" w:color="auto" w:fill="00B050"/>
          </w:tcPr>
          <w:p w14:paraId="76E3CCAB" w14:textId="3F323255" w:rsidR="00E02A94" w:rsidRPr="006A6B9F" w:rsidRDefault="00F7526F" w:rsidP="00877B0E">
            <w:pPr>
              <w:rPr>
                <w:sz w:val="22"/>
              </w:rPr>
            </w:pPr>
            <w:r>
              <w:rPr>
                <w:sz w:val="22"/>
              </w:rPr>
              <w:t>Green</w:t>
            </w:r>
          </w:p>
        </w:tc>
        <w:tc>
          <w:tcPr>
            <w:tcW w:w="8031" w:type="dxa"/>
          </w:tcPr>
          <w:p w14:paraId="6E4D0E6A" w14:textId="52827F23" w:rsidR="00E02A94" w:rsidRPr="007523B5" w:rsidRDefault="00E02A94" w:rsidP="00877B0E">
            <w:pPr>
              <w:rPr>
                <w:sz w:val="22"/>
              </w:rPr>
            </w:pPr>
            <w:r w:rsidRPr="007523B5">
              <w:rPr>
                <w:sz w:val="22"/>
              </w:rPr>
              <w:t>Many pre-application and derogation consultations underway.</w:t>
            </w:r>
          </w:p>
        </w:tc>
      </w:tr>
    </w:tbl>
    <w:p w14:paraId="1FBA306C" w14:textId="77777777" w:rsidR="00F53EC6" w:rsidRDefault="00F53EC6"/>
    <w:p w14:paraId="1847EC82" w14:textId="77777777" w:rsidR="00F53EC6" w:rsidRDefault="00F53EC6"/>
    <w:p w14:paraId="33B6518C" w14:textId="77777777" w:rsidR="00F53EC6" w:rsidRDefault="00F53EC6"/>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5B1B32" w14:paraId="2BD44DBB" w14:textId="77777777" w:rsidTr="007F26B5">
        <w:trPr>
          <w:cnfStyle w:val="100000000000" w:firstRow="1" w:lastRow="0" w:firstColumn="0" w:lastColumn="0" w:oddVBand="0" w:evenVBand="0" w:oddHBand="0"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bookmarkEnd w:id="12"/>
          <w:bookmarkEnd w:id="13"/>
          <w:p w14:paraId="355227F9" w14:textId="77777777" w:rsidR="007F26B5" w:rsidRDefault="007F26B5" w:rsidP="008B7D68">
            <w:pPr>
              <w:rPr>
                <w:rFonts w:ascii="Calibri" w:hAnsi="Calibri" w:cs="Calibri"/>
                <w:szCs w:val="24"/>
              </w:rPr>
            </w:pPr>
            <w:r w:rsidRPr="001A2A0A">
              <w:rPr>
                <w:rFonts w:ascii="Calibri" w:hAnsi="Calibri" w:cs="Calibri"/>
                <w:szCs w:val="24"/>
              </w:rPr>
              <w:t>Scale up Peatland Restoration by delivering Peatland ACTION funding to projects</w:t>
            </w:r>
          </w:p>
        </w:tc>
      </w:tr>
      <w:tr w:rsidR="007F26B5" w:rsidRPr="00D36897" w14:paraId="247EA19B" w14:textId="77777777" w:rsidTr="007F26B5">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312" w:type="pct"/>
          </w:tcPr>
          <w:p w14:paraId="0AB6C359" w14:textId="77777777" w:rsidR="007F26B5" w:rsidRPr="00895AC6" w:rsidRDefault="007F26B5" w:rsidP="008B7D68">
            <w:pPr>
              <w:ind w:left="447" w:hanging="447"/>
              <w:rPr>
                <w:rFonts w:ascii="Calibri" w:hAnsi="Calibri" w:cs="Calibri"/>
                <w:b w:val="0"/>
                <w:bCs w:val="0"/>
                <w:sz w:val="22"/>
              </w:rPr>
            </w:pPr>
            <w:bookmarkStart w:id="14" w:name="_Hlk161416668"/>
            <w:r w:rsidRPr="00895AC6">
              <w:rPr>
                <w:rFonts w:ascii="Calibri" w:hAnsi="Calibri" w:cs="Calibri"/>
                <w:b w:val="0"/>
                <w:bCs w:val="0"/>
                <w:sz w:val="22"/>
              </w:rPr>
              <w:t xml:space="preserve">1.1   Manage and support £17m of grant offers to ensure project delivery will put 12,000 hectares of degraded peat on the road to recovery in 2025/26.  Issue multi-year and new offers for project delivery in 2026/27.  Continue to manage the Project Development Support Scheme to realise a longer-term pipeline of investable projects.  Alongside technical work to develop the </w:t>
            </w:r>
            <w:r w:rsidRPr="00895AC6">
              <w:rPr>
                <w:rFonts w:ascii="Calibri" w:hAnsi="Calibri" w:cs="Calibri"/>
                <w:b w:val="0"/>
                <w:bCs w:val="0"/>
                <w:sz w:val="22"/>
              </w:rPr>
              <w:lastRenderedPageBreak/>
              <w:t>restoration sector, assess applications for piloting new Carbon Contract process to secure blended finance for projects in 2026/27 that will underpin acceleration of restoration with reduced public finance support.</w:t>
            </w:r>
          </w:p>
        </w:tc>
        <w:tc>
          <w:tcPr>
            <w:tcW w:w="2688" w:type="pct"/>
          </w:tcPr>
          <w:p w14:paraId="2070DA97" w14:textId="775BDEAD" w:rsidR="007F26B5" w:rsidRPr="00895AC6"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b/>
                <w:bCs/>
                <w:sz w:val="22"/>
              </w:rPr>
            </w:pPr>
            <w:bookmarkStart w:id="15" w:name="_Hlk201150469"/>
            <w:r w:rsidRPr="00895AC6">
              <w:rPr>
                <w:rFonts w:ascii="Calibri" w:hAnsi="Calibri" w:cs="Calibri"/>
                <w:sz w:val="22"/>
              </w:rPr>
              <w:lastRenderedPageBreak/>
              <w:t xml:space="preserve">1.1   </w:t>
            </w:r>
            <w:bookmarkEnd w:id="15"/>
            <w:r w:rsidRPr="00895AC6">
              <w:rPr>
                <w:rFonts w:ascii="Calibri" w:hAnsi="Calibri" w:cs="Calibri"/>
                <w:sz w:val="22"/>
              </w:rPr>
              <w:t xml:space="preserve">We committed £17m of grant offers/direct delivery agreements to </w:t>
            </w:r>
            <w:r w:rsidR="0050584B" w:rsidRPr="00895AC6">
              <w:rPr>
                <w:rFonts w:ascii="Calibri" w:hAnsi="Calibri" w:cs="Calibri"/>
                <w:sz w:val="22"/>
              </w:rPr>
              <w:t>meet</w:t>
            </w:r>
            <w:r w:rsidRPr="00895AC6">
              <w:rPr>
                <w:rFonts w:ascii="Calibri" w:hAnsi="Calibri" w:cs="Calibri"/>
                <w:sz w:val="22"/>
              </w:rPr>
              <w:t xml:space="preserve"> 2025/26 target of putting 12,000 of degraded peatland on the road to recovery.   We committed £8m of funds for project delivery in 2026/27.  We continued to develop the restoration sector for further expansion </w:t>
            </w:r>
            <w:r w:rsidR="0050584B" w:rsidRPr="00895AC6">
              <w:rPr>
                <w:rFonts w:ascii="Calibri" w:hAnsi="Calibri" w:cs="Calibri"/>
                <w:sz w:val="22"/>
              </w:rPr>
              <w:t>and</w:t>
            </w:r>
            <w:r w:rsidRPr="00895AC6">
              <w:rPr>
                <w:rFonts w:ascii="Calibri" w:hAnsi="Calibri" w:cs="Calibri"/>
                <w:sz w:val="22"/>
              </w:rPr>
              <w:t xml:space="preserve"> to develop our monitoring network and </w:t>
            </w:r>
            <w:r w:rsidR="0050584B" w:rsidRPr="00895AC6">
              <w:rPr>
                <w:rFonts w:ascii="Calibri" w:hAnsi="Calibri" w:cs="Calibri"/>
                <w:sz w:val="22"/>
              </w:rPr>
              <w:t xml:space="preserve">by </w:t>
            </w:r>
            <w:r w:rsidRPr="00895AC6">
              <w:rPr>
                <w:rFonts w:ascii="Calibri" w:hAnsi="Calibri" w:cs="Calibri"/>
                <w:sz w:val="22"/>
              </w:rPr>
              <w:t>explor</w:t>
            </w:r>
            <w:r w:rsidR="0050584B" w:rsidRPr="00895AC6">
              <w:rPr>
                <w:rFonts w:ascii="Calibri" w:hAnsi="Calibri" w:cs="Calibri"/>
                <w:sz w:val="22"/>
              </w:rPr>
              <w:t>ing</w:t>
            </w:r>
            <w:r w:rsidRPr="00895AC6">
              <w:rPr>
                <w:rFonts w:ascii="Calibri" w:hAnsi="Calibri" w:cs="Calibri"/>
                <w:sz w:val="22"/>
              </w:rPr>
              <w:t xml:space="preserve"> the scope of carbon contracts as a means of drawing in blended finance.</w:t>
            </w:r>
          </w:p>
        </w:tc>
      </w:tr>
    </w:tbl>
    <w:p w14:paraId="11B1B770" w14:textId="77777777" w:rsidR="00D32A2B" w:rsidRDefault="00D32A2B"/>
    <w:p w14:paraId="56AAB024" w14:textId="77777777" w:rsidR="00D32A2B" w:rsidRPr="007B5077" w:rsidRDefault="00D32A2B" w:rsidP="00D32A2B">
      <w:pPr>
        <w:pStyle w:val="Heading2"/>
      </w:pPr>
      <w:r w:rsidRPr="007B5077">
        <w:t>Peatland Performance Measure</w:t>
      </w:r>
    </w:p>
    <w:tbl>
      <w:tblPr>
        <w:tblStyle w:val="TableGrid"/>
        <w:tblW w:w="0" w:type="auto"/>
        <w:tblLook w:val="04A0" w:firstRow="1" w:lastRow="0" w:firstColumn="1" w:lastColumn="0" w:noHBand="0" w:noVBand="1"/>
      </w:tblPr>
      <w:tblGrid>
        <w:gridCol w:w="3179"/>
        <w:gridCol w:w="939"/>
        <w:gridCol w:w="766"/>
        <w:gridCol w:w="8031"/>
      </w:tblGrid>
      <w:tr w:rsidR="00E02A94" w:rsidRPr="0011111E" w14:paraId="3D7B72EC" w14:textId="77777777" w:rsidTr="00525250">
        <w:trPr>
          <w:trHeight w:val="267"/>
        </w:trPr>
        <w:tc>
          <w:tcPr>
            <w:tcW w:w="3179" w:type="dxa"/>
            <w:shd w:val="clear" w:color="auto" w:fill="DDD9C3" w:themeFill="background2" w:themeFillShade="E6"/>
          </w:tcPr>
          <w:p w14:paraId="44F5167F" w14:textId="77777777" w:rsidR="00E02A94" w:rsidRPr="0011111E" w:rsidRDefault="00E02A94" w:rsidP="00525250">
            <w:pPr>
              <w:rPr>
                <w:b/>
                <w:bCs/>
              </w:rPr>
            </w:pPr>
            <w:r w:rsidRPr="0011111E">
              <w:rPr>
                <w:b/>
                <w:bCs/>
              </w:rPr>
              <w:t xml:space="preserve">Measure </w:t>
            </w:r>
          </w:p>
        </w:tc>
        <w:tc>
          <w:tcPr>
            <w:tcW w:w="939" w:type="dxa"/>
            <w:shd w:val="clear" w:color="auto" w:fill="DDD9C3" w:themeFill="background2" w:themeFillShade="E6"/>
          </w:tcPr>
          <w:p w14:paraId="096CE36D" w14:textId="77777777" w:rsidR="00E02A94" w:rsidRPr="0011111E" w:rsidRDefault="00E02A94" w:rsidP="00525250">
            <w:pPr>
              <w:rPr>
                <w:b/>
                <w:bCs/>
              </w:rPr>
            </w:pPr>
            <w:r w:rsidRPr="0011111E">
              <w:rPr>
                <w:b/>
                <w:bCs/>
              </w:rPr>
              <w:t>Actual</w:t>
            </w:r>
          </w:p>
        </w:tc>
        <w:tc>
          <w:tcPr>
            <w:tcW w:w="653" w:type="dxa"/>
            <w:shd w:val="clear" w:color="auto" w:fill="DDD9C3" w:themeFill="background2" w:themeFillShade="E6"/>
          </w:tcPr>
          <w:p w14:paraId="315D858B" w14:textId="77777777" w:rsidR="00E02A94" w:rsidRPr="0011111E" w:rsidRDefault="00E02A94" w:rsidP="00525250">
            <w:pPr>
              <w:rPr>
                <w:b/>
                <w:bCs/>
              </w:rPr>
            </w:pPr>
            <w:r w:rsidRPr="0011111E">
              <w:rPr>
                <w:b/>
                <w:bCs/>
              </w:rPr>
              <w:t>R</w:t>
            </w:r>
            <w:r>
              <w:rPr>
                <w:b/>
                <w:bCs/>
              </w:rPr>
              <w:t>AG</w:t>
            </w:r>
          </w:p>
        </w:tc>
        <w:tc>
          <w:tcPr>
            <w:tcW w:w="8031" w:type="dxa"/>
            <w:shd w:val="clear" w:color="auto" w:fill="DDD9C3" w:themeFill="background2" w:themeFillShade="E6"/>
          </w:tcPr>
          <w:p w14:paraId="7F0D54CF" w14:textId="77777777" w:rsidR="00E02A94" w:rsidRPr="0011111E" w:rsidRDefault="00E02A94" w:rsidP="00525250">
            <w:pPr>
              <w:rPr>
                <w:b/>
                <w:bCs/>
              </w:rPr>
            </w:pPr>
            <w:r w:rsidRPr="0011111E">
              <w:rPr>
                <w:b/>
                <w:bCs/>
              </w:rPr>
              <w:t>Comment</w:t>
            </w:r>
          </w:p>
        </w:tc>
      </w:tr>
      <w:tr w:rsidR="00E02A94" w14:paraId="0F1F37E0" w14:textId="77777777" w:rsidTr="00525250">
        <w:trPr>
          <w:trHeight w:val="239"/>
        </w:trPr>
        <w:tc>
          <w:tcPr>
            <w:tcW w:w="3179" w:type="dxa"/>
          </w:tcPr>
          <w:p w14:paraId="43F4ACF6" w14:textId="745855C9" w:rsidR="00E02A94" w:rsidRPr="007523B5" w:rsidRDefault="00E02A94" w:rsidP="00D32A2B">
            <w:pPr>
              <w:rPr>
                <w:sz w:val="22"/>
              </w:rPr>
            </w:pPr>
            <w:r w:rsidRPr="00D32A2B">
              <w:rPr>
                <w:sz w:val="22"/>
              </w:rPr>
              <w:t>Hectares of peatland recovery.</w:t>
            </w:r>
            <w:r w:rsidRPr="007523B5">
              <w:rPr>
                <w:sz w:val="22"/>
              </w:rPr>
              <w:t xml:space="preserve"> </w:t>
            </w:r>
          </w:p>
        </w:tc>
        <w:tc>
          <w:tcPr>
            <w:tcW w:w="939" w:type="dxa"/>
          </w:tcPr>
          <w:p w14:paraId="1C9C426B" w14:textId="38C733EE" w:rsidR="00E02A94" w:rsidRPr="007523B5" w:rsidRDefault="00E02A94" w:rsidP="00D32A2B">
            <w:pPr>
              <w:rPr>
                <w:sz w:val="22"/>
              </w:rPr>
            </w:pPr>
            <w:r w:rsidRPr="007523B5">
              <w:rPr>
                <w:sz w:val="22"/>
              </w:rPr>
              <w:t>4595</w:t>
            </w:r>
          </w:p>
        </w:tc>
        <w:tc>
          <w:tcPr>
            <w:tcW w:w="653" w:type="dxa"/>
            <w:shd w:val="clear" w:color="auto" w:fill="00B050"/>
          </w:tcPr>
          <w:p w14:paraId="31ACCFAC" w14:textId="2F08C6A5" w:rsidR="00E02A94" w:rsidRPr="006A6B9F" w:rsidRDefault="00F7526F" w:rsidP="00D32A2B">
            <w:pPr>
              <w:rPr>
                <w:sz w:val="22"/>
              </w:rPr>
            </w:pPr>
            <w:r>
              <w:rPr>
                <w:sz w:val="22"/>
              </w:rPr>
              <w:t>Green</w:t>
            </w:r>
          </w:p>
        </w:tc>
        <w:tc>
          <w:tcPr>
            <w:tcW w:w="8031" w:type="dxa"/>
          </w:tcPr>
          <w:p w14:paraId="3B6E3CCC" w14:textId="43C0BD32" w:rsidR="00E02A94" w:rsidRPr="007523B5" w:rsidRDefault="00E02A94" w:rsidP="00D32A2B">
            <w:pPr>
              <w:rPr>
                <w:sz w:val="22"/>
              </w:rPr>
            </w:pPr>
            <w:r w:rsidRPr="007523B5">
              <w:rPr>
                <w:sz w:val="22"/>
              </w:rPr>
              <w:t xml:space="preserve">The figure is for projects completed to date in this quarter. </w:t>
            </w:r>
          </w:p>
        </w:tc>
      </w:tr>
    </w:tbl>
    <w:p w14:paraId="76CF182F" w14:textId="77777777" w:rsidR="00D32A2B" w:rsidRDefault="00D32A2B"/>
    <w:p w14:paraId="1BBF1626" w14:textId="77777777" w:rsidR="00D32A2B" w:rsidRDefault="00D32A2B"/>
    <w:p w14:paraId="70162871" w14:textId="77777777" w:rsidR="00D32A2B" w:rsidRDefault="00D32A2B"/>
    <w:p w14:paraId="3DD39A73" w14:textId="77777777" w:rsidR="00D32A2B" w:rsidRDefault="00D32A2B"/>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5B1B32" w14:paraId="14E256D1" w14:textId="77777777" w:rsidTr="007F26B5">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bookmarkEnd w:id="14"/>
          <w:p w14:paraId="290A8D7A" w14:textId="77777777" w:rsidR="007F26B5" w:rsidRPr="00F57526" w:rsidRDefault="007F26B5" w:rsidP="008B7D68">
            <w:pPr>
              <w:pStyle w:val="ListParagraph"/>
              <w:ind w:left="0" w:firstLine="22"/>
              <w:rPr>
                <w:rFonts w:ascii="Calibri" w:hAnsi="Calibri" w:cs="Calibri"/>
                <w:szCs w:val="24"/>
              </w:rPr>
            </w:pPr>
            <w:r w:rsidRPr="007C3BF9">
              <w:rPr>
                <w:rFonts w:ascii="Calibri" w:hAnsi="Calibri" w:cs="Calibri"/>
                <w:szCs w:val="24"/>
              </w:rPr>
              <w:t>Demonstrate how agriculture can be transformed with new approaches to deliver targeted outcomes for nature and climate</w:t>
            </w:r>
          </w:p>
        </w:tc>
      </w:tr>
      <w:tr w:rsidR="007F26B5" w:rsidRPr="005B1B32" w14:paraId="59928EE0" w14:textId="77777777" w:rsidTr="007F26B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312" w:type="pct"/>
          </w:tcPr>
          <w:p w14:paraId="2D7E6769" w14:textId="1BABE976" w:rsidR="007F26B5" w:rsidRPr="00895AC6" w:rsidRDefault="007F26B5" w:rsidP="0050584B">
            <w:pPr>
              <w:ind w:left="448" w:hanging="448"/>
              <w:rPr>
                <w:rFonts w:ascii="Calibri" w:hAnsi="Calibri" w:cs="Calibri"/>
                <w:b w:val="0"/>
                <w:bCs w:val="0"/>
                <w:sz w:val="22"/>
              </w:rPr>
            </w:pPr>
            <w:r w:rsidRPr="00895AC6">
              <w:rPr>
                <w:rFonts w:ascii="Calibri" w:hAnsi="Calibri" w:cs="Calibri"/>
                <w:b w:val="0"/>
                <w:bCs w:val="0"/>
                <w:sz w:val="22"/>
              </w:rPr>
              <w:t>1.2   Complete application assessments and make recommendations to Ministers.</w:t>
            </w:r>
            <w:r w:rsidRPr="00895AC6">
              <w:rPr>
                <w:rFonts w:ascii="Calibri" w:hAnsi="Calibri" w:cs="Calibri"/>
                <w:sz w:val="22"/>
              </w:rPr>
              <w:t xml:space="preserve"> </w:t>
            </w:r>
            <w:r w:rsidRPr="00895AC6">
              <w:rPr>
                <w:rFonts w:ascii="Calibri" w:hAnsi="Calibri" w:cs="Calibri"/>
                <w:b w:val="0"/>
                <w:bCs w:val="0"/>
                <w:sz w:val="22"/>
              </w:rPr>
              <w:t xml:space="preserve"> Secure Ministers’ approval for 2026 scheme and completed new amendments.</w:t>
            </w:r>
          </w:p>
          <w:p w14:paraId="10FD6EC6" w14:textId="73750F39" w:rsidR="007F26B5" w:rsidRPr="00895AC6" w:rsidRDefault="007F26B5" w:rsidP="0050584B">
            <w:pPr>
              <w:ind w:left="452" w:hanging="452"/>
              <w:rPr>
                <w:rFonts w:ascii="Calibri" w:hAnsi="Calibri" w:cs="Calibri"/>
                <w:b w:val="0"/>
                <w:bCs w:val="0"/>
                <w:sz w:val="22"/>
              </w:rPr>
            </w:pPr>
            <w:r w:rsidRPr="00895AC6">
              <w:rPr>
                <w:rFonts w:ascii="Calibri" w:hAnsi="Calibri" w:cs="Calibri"/>
                <w:b w:val="0"/>
                <w:bCs w:val="0"/>
                <w:sz w:val="22"/>
              </w:rPr>
              <w:t>1.3   Help SG finalise the Tier 2 Greening measures to be launched in 2026.</w:t>
            </w:r>
            <w:r w:rsidR="0050584B" w:rsidRPr="00895AC6">
              <w:rPr>
                <w:rFonts w:ascii="Calibri" w:hAnsi="Calibri" w:cs="Calibri"/>
                <w:b w:val="0"/>
                <w:bCs w:val="0"/>
                <w:sz w:val="22"/>
              </w:rPr>
              <w:t xml:space="preserve"> </w:t>
            </w:r>
            <w:r w:rsidRPr="00895AC6">
              <w:rPr>
                <w:rFonts w:ascii="Calibri" w:hAnsi="Calibri" w:cs="Calibri"/>
                <w:b w:val="0"/>
                <w:bCs w:val="0"/>
                <w:sz w:val="22"/>
              </w:rPr>
              <w:t>Secure ministerial approval for AECS 2025 budget and AECS 26 launch.</w:t>
            </w:r>
          </w:p>
          <w:p w14:paraId="658F4D63" w14:textId="77777777" w:rsidR="007F26B5" w:rsidRPr="00895AC6" w:rsidRDefault="007F26B5" w:rsidP="008B7D68">
            <w:pPr>
              <w:ind w:left="459" w:hanging="459"/>
              <w:rPr>
                <w:rFonts w:ascii="Calibri" w:hAnsi="Calibri" w:cs="Calibri"/>
                <w:b w:val="0"/>
                <w:bCs w:val="0"/>
                <w:sz w:val="22"/>
              </w:rPr>
            </w:pPr>
            <w:r w:rsidRPr="00895AC6">
              <w:rPr>
                <w:rFonts w:ascii="Calibri" w:hAnsi="Calibri" w:cs="Calibri"/>
                <w:b w:val="0"/>
                <w:bCs w:val="0"/>
                <w:sz w:val="22"/>
              </w:rPr>
              <w:t xml:space="preserve">1.4   Participate in Technical Assurance Review with SG auditors. The recommendations will inform SG’s Agricultural Reform Programme (ARP) data strategy and whole farm plan development and how </w:t>
            </w:r>
            <w:proofErr w:type="spellStart"/>
            <w:r w:rsidRPr="00895AC6">
              <w:rPr>
                <w:rFonts w:ascii="Calibri" w:hAnsi="Calibri" w:cs="Calibri"/>
                <w:b w:val="0"/>
                <w:bCs w:val="0"/>
                <w:sz w:val="22"/>
              </w:rPr>
              <w:t>FarmBioScot</w:t>
            </w:r>
            <w:proofErr w:type="spellEnd"/>
            <w:r w:rsidRPr="00895AC6">
              <w:rPr>
                <w:rFonts w:ascii="Calibri" w:hAnsi="Calibri" w:cs="Calibri"/>
                <w:b w:val="0"/>
                <w:bCs w:val="0"/>
                <w:sz w:val="22"/>
              </w:rPr>
              <w:t xml:space="preserve"> App will be further piloted in 2025 and 2026.</w:t>
            </w:r>
          </w:p>
        </w:tc>
        <w:tc>
          <w:tcPr>
            <w:tcW w:w="2688" w:type="pct"/>
          </w:tcPr>
          <w:p w14:paraId="4598B64A" w14:textId="77777777" w:rsidR="007F26B5" w:rsidRPr="00895AC6"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 xml:space="preserve">1.2   Completed AECS application assessments and made recommendations to Ministers. </w:t>
            </w:r>
          </w:p>
          <w:p w14:paraId="0E96213C" w14:textId="77777777" w:rsidR="007F26B5" w:rsidRPr="00895AC6" w:rsidRDefault="007F26B5" w:rsidP="008B7D68">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p w14:paraId="3085A0F0" w14:textId="77777777" w:rsidR="007F26B5" w:rsidRPr="00895AC6"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1.3   Secured Ministers’ approval for 2026 AECS scheme and completed new amendments.</w:t>
            </w:r>
          </w:p>
          <w:p w14:paraId="117BDC20" w14:textId="77777777" w:rsidR="007F26B5" w:rsidRPr="00895AC6" w:rsidRDefault="007F26B5" w:rsidP="008B7D68">
            <w:pPr>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p w14:paraId="57B86F4C" w14:textId="77777777" w:rsidR="007F26B5" w:rsidRPr="00895AC6" w:rsidRDefault="007F26B5" w:rsidP="0050584B">
            <w:pPr>
              <w:ind w:left="466" w:hanging="46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895AC6">
              <w:rPr>
                <w:rFonts w:ascii="Calibri" w:hAnsi="Calibri" w:cs="Calibri"/>
                <w:sz w:val="22"/>
              </w:rPr>
              <w:t xml:space="preserve">1.4   Completed Farm Biodiversity Scotland project ‘Measure’ phase testing and began developing ‘Management’ phase.  </w:t>
            </w:r>
          </w:p>
        </w:tc>
      </w:tr>
    </w:tbl>
    <w:p w14:paraId="01F43C3A" w14:textId="77777777" w:rsidR="000C2B93" w:rsidRDefault="000C2B93"/>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5B1B32" w14:paraId="57932E76" w14:textId="77777777" w:rsidTr="007F26B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FFC000"/>
          </w:tcPr>
          <w:p w14:paraId="6680002A" w14:textId="77777777" w:rsidR="007F26B5" w:rsidRDefault="007F26B5" w:rsidP="008B7D68">
            <w:pPr>
              <w:rPr>
                <w:rFonts w:ascii="Calibri" w:hAnsi="Calibri" w:cs="Calibri"/>
                <w:szCs w:val="24"/>
              </w:rPr>
            </w:pPr>
            <w:r w:rsidRPr="005B1B32">
              <w:rPr>
                <w:rFonts w:ascii="Calibri" w:hAnsi="Calibri" w:cs="Calibri"/>
                <w:szCs w:val="24"/>
              </w:rPr>
              <w:lastRenderedPageBreak/>
              <w:t>Influence the regulatory, policy, market and institutional infrastructure needed to stimulate private sector investment into nature</w:t>
            </w:r>
          </w:p>
        </w:tc>
      </w:tr>
      <w:tr w:rsidR="007F26B5" w:rsidRPr="005B1B32" w14:paraId="259C5ED9" w14:textId="77777777" w:rsidTr="007F26B5">
        <w:trPr>
          <w:cnfStyle w:val="000000100000" w:firstRow="0" w:lastRow="0" w:firstColumn="0" w:lastColumn="0" w:oddVBand="0" w:evenVBand="0" w:oddHBand="1" w:evenHBand="0" w:firstRowFirstColumn="0" w:firstRowLastColumn="0" w:lastRowFirstColumn="0" w:lastRowLastColumn="0"/>
          <w:trHeight w:val="1783"/>
        </w:trPr>
        <w:tc>
          <w:tcPr>
            <w:cnfStyle w:val="001000000000" w:firstRow="0" w:lastRow="0" w:firstColumn="1" w:lastColumn="0" w:oddVBand="0" w:evenVBand="0" w:oddHBand="0" w:evenHBand="0" w:firstRowFirstColumn="0" w:firstRowLastColumn="0" w:lastRowFirstColumn="0" w:lastRowLastColumn="0"/>
            <w:tcW w:w="2312" w:type="pct"/>
          </w:tcPr>
          <w:p w14:paraId="446A5197" w14:textId="77777777" w:rsidR="007F26B5" w:rsidRPr="00FE0971" w:rsidRDefault="007F26B5" w:rsidP="008B7D68">
            <w:pPr>
              <w:ind w:left="487" w:hanging="487"/>
              <w:rPr>
                <w:rFonts w:ascii="Calibri" w:hAnsi="Calibri" w:cs="Calibri"/>
                <w:sz w:val="22"/>
              </w:rPr>
            </w:pPr>
            <w:r w:rsidRPr="00FE0971">
              <w:rPr>
                <w:rFonts w:ascii="Calibri" w:hAnsi="Calibri" w:cs="Calibri"/>
                <w:b w:val="0"/>
                <w:bCs w:val="0"/>
                <w:sz w:val="22"/>
              </w:rPr>
              <w:t>3.4   Continue to develop the prospectus.</w:t>
            </w:r>
          </w:p>
          <w:p w14:paraId="68042974" w14:textId="77777777" w:rsidR="0050584B" w:rsidRPr="00FE0971" w:rsidRDefault="0050584B" w:rsidP="008B7D68">
            <w:pPr>
              <w:ind w:left="487" w:hanging="487"/>
              <w:rPr>
                <w:rFonts w:ascii="Calibri" w:hAnsi="Calibri" w:cs="Calibri"/>
                <w:sz w:val="22"/>
              </w:rPr>
            </w:pPr>
          </w:p>
          <w:p w14:paraId="7F313522" w14:textId="77777777" w:rsidR="0050584B" w:rsidRPr="00FE0971" w:rsidRDefault="0050584B" w:rsidP="008B7D68">
            <w:pPr>
              <w:ind w:left="487" w:hanging="487"/>
              <w:rPr>
                <w:rFonts w:ascii="Calibri" w:hAnsi="Calibri" w:cs="Calibri"/>
                <w:sz w:val="22"/>
              </w:rPr>
            </w:pPr>
          </w:p>
          <w:p w14:paraId="5CE6A66F" w14:textId="77777777" w:rsidR="007F26B5" w:rsidRPr="00FE0971" w:rsidRDefault="007F26B5" w:rsidP="008B7D68">
            <w:pPr>
              <w:ind w:left="459" w:hanging="459"/>
              <w:rPr>
                <w:rFonts w:ascii="Calibri" w:hAnsi="Calibri" w:cs="Calibri"/>
                <w:sz w:val="22"/>
              </w:rPr>
            </w:pPr>
          </w:p>
          <w:p w14:paraId="178BD03C" w14:textId="77777777" w:rsidR="007F26B5" w:rsidRPr="00FE0971" w:rsidRDefault="007F26B5" w:rsidP="008B7D68">
            <w:pPr>
              <w:ind w:left="459" w:hanging="459"/>
              <w:rPr>
                <w:rFonts w:ascii="Calibri" w:hAnsi="Calibri" w:cs="Calibri"/>
                <w:sz w:val="22"/>
              </w:rPr>
            </w:pPr>
            <w:r w:rsidRPr="00FE0971">
              <w:rPr>
                <w:rFonts w:ascii="Calibri" w:hAnsi="Calibri" w:cs="Calibri"/>
                <w:b w:val="0"/>
                <w:bCs w:val="0"/>
                <w:sz w:val="22"/>
              </w:rPr>
              <w:t>3.5   Support continued FIRNS project delivery through technical advice and existing Community of Practice.</w:t>
            </w:r>
          </w:p>
        </w:tc>
        <w:tc>
          <w:tcPr>
            <w:tcW w:w="2688" w:type="pct"/>
          </w:tcPr>
          <w:p w14:paraId="69C05474" w14:textId="02B0F6B7" w:rsidR="007F26B5" w:rsidRPr="00FE0971" w:rsidRDefault="007F26B5" w:rsidP="0050584B">
            <w:pPr>
              <w:ind w:left="464" w:hanging="464"/>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FE0971">
              <w:rPr>
                <w:rFonts w:ascii="Calibri" w:hAnsi="Calibri" w:cs="Calibri"/>
                <w:sz w:val="22"/>
              </w:rPr>
              <w:t xml:space="preserve">3.4   Prospectus development progressing according to plan. Contract for the digital platform awarded to EOLAS and inception meeting covered. We </w:t>
            </w:r>
            <w:r w:rsidR="0050584B" w:rsidRPr="00FE0971">
              <w:rPr>
                <w:rFonts w:ascii="Calibri" w:hAnsi="Calibri" w:cs="Calibri"/>
                <w:sz w:val="22"/>
              </w:rPr>
              <w:t>aim to deliver the MVP by</w:t>
            </w:r>
            <w:r w:rsidRPr="00FE0971">
              <w:rPr>
                <w:rFonts w:ascii="Calibri" w:hAnsi="Calibri" w:cs="Calibri"/>
                <w:sz w:val="22"/>
              </w:rPr>
              <w:t xml:space="preserve"> early March. The platform will connect with the Natural Capital tool, providing a deeper layer of data</w:t>
            </w:r>
            <w:r w:rsidR="0050584B" w:rsidRPr="00FE0971">
              <w:rPr>
                <w:rFonts w:ascii="Calibri" w:hAnsi="Calibri" w:cs="Calibri"/>
                <w:sz w:val="22"/>
              </w:rPr>
              <w:t>.</w:t>
            </w:r>
            <w:r w:rsidRPr="00FE0971">
              <w:rPr>
                <w:rFonts w:ascii="Calibri" w:hAnsi="Calibri" w:cs="Calibri"/>
                <w:sz w:val="22"/>
              </w:rPr>
              <w:t xml:space="preserve"> </w:t>
            </w:r>
          </w:p>
          <w:p w14:paraId="1274CAFF" w14:textId="71BB04D4" w:rsidR="007F26B5" w:rsidRPr="00FE0971"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FE0971">
              <w:rPr>
                <w:rFonts w:ascii="Calibri" w:hAnsi="Calibri" w:cs="Calibri"/>
                <w:sz w:val="22"/>
              </w:rPr>
              <w:t xml:space="preserve">3.5   Contract to support FIRNS programme and projects awarded to SIS and first workshops/webinars delivered. FIRNS projects making progress and we will have good </w:t>
            </w:r>
            <w:r w:rsidR="0050584B" w:rsidRPr="00FE0971">
              <w:rPr>
                <w:rFonts w:ascii="Calibri" w:hAnsi="Calibri" w:cs="Calibri"/>
                <w:sz w:val="22"/>
              </w:rPr>
              <w:t>case studies</w:t>
            </w:r>
            <w:r w:rsidRPr="00FE0971">
              <w:rPr>
                <w:rFonts w:ascii="Calibri" w:hAnsi="Calibri" w:cs="Calibri"/>
                <w:sz w:val="22"/>
              </w:rPr>
              <w:t xml:space="preserve"> to share next year. We are </w:t>
            </w:r>
            <w:r w:rsidR="0050584B" w:rsidRPr="00FE0971">
              <w:rPr>
                <w:rFonts w:ascii="Calibri" w:hAnsi="Calibri" w:cs="Calibri"/>
                <w:sz w:val="22"/>
              </w:rPr>
              <w:t>looking</w:t>
            </w:r>
            <w:r w:rsidRPr="00FE0971">
              <w:rPr>
                <w:rFonts w:ascii="Calibri" w:hAnsi="Calibri" w:cs="Calibri"/>
                <w:sz w:val="22"/>
              </w:rPr>
              <w:t xml:space="preserve"> </w:t>
            </w:r>
            <w:r w:rsidR="0050584B" w:rsidRPr="00FE0971">
              <w:rPr>
                <w:rFonts w:ascii="Calibri" w:hAnsi="Calibri" w:cs="Calibri"/>
                <w:sz w:val="22"/>
              </w:rPr>
              <w:t>to</w:t>
            </w:r>
            <w:r w:rsidRPr="00FE0971">
              <w:rPr>
                <w:rFonts w:ascii="Calibri" w:hAnsi="Calibri" w:cs="Calibri"/>
                <w:sz w:val="22"/>
              </w:rPr>
              <w:t xml:space="preserve"> the next round of funding.</w:t>
            </w:r>
          </w:p>
        </w:tc>
      </w:tr>
    </w:tbl>
    <w:p w14:paraId="00BBD507" w14:textId="77777777" w:rsidR="000C2B93" w:rsidRDefault="000C2B93"/>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7F26B5" w:rsidRPr="005B1B32" w14:paraId="4D24214F" w14:textId="77777777" w:rsidTr="007F26B5">
        <w:trPr>
          <w:cnfStyle w:val="100000000000" w:firstRow="1" w:lastRow="0" w:firstColumn="0" w:lastColumn="0" w:oddVBand="0" w:evenVBand="0" w:oddHBand="0"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7AEF65DF" w14:textId="77777777" w:rsidR="007F26B5" w:rsidRDefault="007F26B5" w:rsidP="008B7D68">
            <w:pPr>
              <w:rPr>
                <w:rFonts w:ascii="Calibri" w:hAnsi="Calibri" w:cs="Calibri"/>
                <w:szCs w:val="24"/>
              </w:rPr>
            </w:pPr>
            <w:r w:rsidRPr="00783AB5">
              <w:rPr>
                <w:rFonts w:ascii="Calibri" w:hAnsi="Calibri" w:cs="Calibri"/>
                <w:szCs w:val="24"/>
              </w:rPr>
              <w:t>Drive the establishment of Natural Capital as an integral part of public and private business planning and investment decisions at national, landscape and landholding/business scales</w:t>
            </w:r>
          </w:p>
        </w:tc>
      </w:tr>
      <w:tr w:rsidR="007F26B5" w:rsidRPr="005B1B32" w14:paraId="76A1D152" w14:textId="77777777" w:rsidTr="007F26B5">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2312" w:type="pct"/>
          </w:tcPr>
          <w:p w14:paraId="7E1EB2EE" w14:textId="77777777" w:rsidR="007F26B5" w:rsidRPr="00FE0971" w:rsidRDefault="007F26B5" w:rsidP="0050584B">
            <w:pPr>
              <w:ind w:left="447" w:hanging="447"/>
              <w:rPr>
                <w:rFonts w:ascii="Calibri" w:hAnsi="Calibri" w:cs="Calibri"/>
                <w:sz w:val="22"/>
              </w:rPr>
            </w:pPr>
            <w:r w:rsidRPr="00FE0971">
              <w:rPr>
                <w:rFonts w:ascii="Calibri" w:hAnsi="Calibri" w:cs="Calibri"/>
                <w:b w:val="0"/>
                <w:bCs w:val="0"/>
                <w:sz w:val="22"/>
              </w:rPr>
              <w:t>1.5   Scoping of food provision model as part of co-design process. Incorporate additional functionality into tool through further modules. Engage to promote the Natural Capital Tool.</w:t>
            </w:r>
          </w:p>
          <w:p w14:paraId="283A0A72" w14:textId="77777777" w:rsidR="0050584B" w:rsidRPr="00FE0971" w:rsidRDefault="0050584B" w:rsidP="0050584B">
            <w:pPr>
              <w:ind w:left="447" w:hanging="447"/>
              <w:rPr>
                <w:rFonts w:ascii="Calibri" w:hAnsi="Calibri" w:cs="Calibri"/>
                <w:b w:val="0"/>
                <w:bCs w:val="0"/>
                <w:sz w:val="22"/>
              </w:rPr>
            </w:pPr>
          </w:p>
          <w:p w14:paraId="7AC34F7D" w14:textId="77777777" w:rsidR="007F26B5" w:rsidRPr="00FE0971" w:rsidRDefault="007F26B5" w:rsidP="008B7D68">
            <w:pPr>
              <w:tabs>
                <w:tab w:val="left" w:pos="346"/>
              </w:tabs>
              <w:ind w:left="487" w:hanging="487"/>
              <w:rPr>
                <w:rFonts w:ascii="Calibri" w:hAnsi="Calibri" w:cs="Calibri"/>
                <w:b w:val="0"/>
                <w:bCs w:val="0"/>
                <w:sz w:val="22"/>
              </w:rPr>
            </w:pPr>
            <w:r w:rsidRPr="00FE0971">
              <w:rPr>
                <w:rFonts w:ascii="Calibri" w:hAnsi="Calibri" w:cs="Calibri"/>
                <w:b w:val="0"/>
                <w:bCs w:val="0"/>
                <w:sz w:val="22"/>
              </w:rPr>
              <w:t>3.6   Market infrastructure procurement: procure, contract and manage supplier.</w:t>
            </w:r>
          </w:p>
        </w:tc>
        <w:tc>
          <w:tcPr>
            <w:tcW w:w="2688" w:type="pct"/>
          </w:tcPr>
          <w:p w14:paraId="31CD7881" w14:textId="3B2B201D" w:rsidR="007F26B5" w:rsidRPr="00FE0971"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roofErr w:type="gramStart"/>
            <w:r w:rsidRPr="00FE0971">
              <w:rPr>
                <w:rFonts w:ascii="Calibri" w:hAnsi="Calibri" w:cs="Calibri"/>
                <w:sz w:val="22"/>
              </w:rPr>
              <w:t>1.5  Task</w:t>
            </w:r>
            <w:proofErr w:type="gramEnd"/>
            <w:r w:rsidRPr="00FE0971">
              <w:rPr>
                <w:rFonts w:ascii="Calibri" w:hAnsi="Calibri" w:cs="Calibri"/>
                <w:sz w:val="22"/>
              </w:rPr>
              <w:t xml:space="preserve"> considered completed. Research done on what the food provision model would look </w:t>
            </w:r>
            <w:proofErr w:type="gramStart"/>
            <w:r w:rsidRPr="00FE0971">
              <w:rPr>
                <w:rFonts w:ascii="Calibri" w:hAnsi="Calibri" w:cs="Calibri"/>
                <w:sz w:val="22"/>
              </w:rPr>
              <w:t>like</w:t>
            </w:r>
            <w:proofErr w:type="gramEnd"/>
            <w:r w:rsidR="0050584B" w:rsidRPr="00FE0971">
              <w:rPr>
                <w:rFonts w:ascii="Calibri" w:hAnsi="Calibri" w:cs="Calibri"/>
                <w:sz w:val="22"/>
              </w:rPr>
              <w:t xml:space="preserve"> and</w:t>
            </w:r>
            <w:r w:rsidRPr="00FE0971">
              <w:rPr>
                <w:rFonts w:ascii="Calibri" w:hAnsi="Calibri" w:cs="Calibri"/>
                <w:sz w:val="22"/>
              </w:rPr>
              <w:t xml:space="preserve"> the conclusion is that it wouldn't be a useful feature. Instead</w:t>
            </w:r>
            <w:r w:rsidR="0050584B" w:rsidRPr="00FE0971">
              <w:rPr>
                <w:rFonts w:ascii="Calibri" w:hAnsi="Calibri" w:cs="Calibri"/>
                <w:sz w:val="22"/>
              </w:rPr>
              <w:t>,</w:t>
            </w:r>
            <w:r w:rsidRPr="00FE0971">
              <w:rPr>
                <w:rFonts w:ascii="Calibri" w:hAnsi="Calibri" w:cs="Calibri"/>
                <w:sz w:val="22"/>
              </w:rPr>
              <w:t xml:space="preserve"> we are adapting the tool to be more farmer friendly - changing our habitats to align with those used Farm </w:t>
            </w:r>
            <w:proofErr w:type="spellStart"/>
            <w:r w:rsidRPr="00FE0971">
              <w:rPr>
                <w:rFonts w:ascii="Calibri" w:hAnsi="Calibri" w:cs="Calibri"/>
                <w:sz w:val="22"/>
              </w:rPr>
              <w:t>BioScot</w:t>
            </w:r>
            <w:proofErr w:type="spellEnd"/>
            <w:r w:rsidRPr="00FE0971">
              <w:rPr>
                <w:rFonts w:ascii="Calibri" w:hAnsi="Calibri" w:cs="Calibri"/>
                <w:sz w:val="22"/>
              </w:rPr>
              <w:t xml:space="preserve"> and AECS. </w:t>
            </w:r>
          </w:p>
          <w:p w14:paraId="0F3EC896" w14:textId="4AA69052" w:rsidR="007F26B5" w:rsidRPr="00FE0971" w:rsidRDefault="007F26B5" w:rsidP="008B7D68">
            <w:pPr>
              <w:ind w:left="459" w:hanging="459"/>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FE0971">
              <w:rPr>
                <w:rFonts w:ascii="Calibri" w:hAnsi="Calibri" w:cs="Calibri"/>
                <w:sz w:val="22"/>
              </w:rPr>
              <w:t xml:space="preserve">3.6 </w:t>
            </w:r>
            <w:r w:rsidR="0050584B" w:rsidRPr="00FE0971">
              <w:rPr>
                <w:rFonts w:ascii="Calibri" w:hAnsi="Calibri" w:cs="Calibri"/>
                <w:sz w:val="22"/>
              </w:rPr>
              <w:t xml:space="preserve">  </w:t>
            </w:r>
            <w:r w:rsidRPr="00FE0971">
              <w:rPr>
                <w:rFonts w:ascii="Calibri" w:hAnsi="Calibri" w:cs="Calibri"/>
                <w:sz w:val="22"/>
              </w:rPr>
              <w:t>Contracts effective and work ongoing.</w:t>
            </w:r>
          </w:p>
        </w:tc>
      </w:tr>
    </w:tbl>
    <w:p w14:paraId="5282D896" w14:textId="77777777" w:rsidR="000C2B93" w:rsidRDefault="000C2B93"/>
    <w:tbl>
      <w:tblPr>
        <w:tblStyle w:val="PlainTable1"/>
        <w:tblW w:w="5000" w:type="pct"/>
        <w:tblLook w:val="04A0" w:firstRow="1" w:lastRow="0" w:firstColumn="1" w:lastColumn="0" w:noHBand="0" w:noVBand="1"/>
        <w:tblCaption w:val="90 Day plan for NatureScot Priorities"/>
        <w:tblDescription w:val="List of what we plan to achieve over the next 90 days against each of the NatureScot priorities "/>
      </w:tblPr>
      <w:tblGrid>
        <w:gridCol w:w="6657"/>
        <w:gridCol w:w="7739"/>
      </w:tblGrid>
      <w:tr w:rsidR="00FD71CF" w:rsidRPr="005B1B32" w14:paraId="456CBCDF" w14:textId="77777777" w:rsidTr="00FD71CF">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92D050"/>
          </w:tcPr>
          <w:p w14:paraId="3CD7FF5F" w14:textId="5452CCD7" w:rsidR="00FD71CF" w:rsidRPr="00465B18" w:rsidRDefault="00FD71CF" w:rsidP="00465B18">
            <w:pPr>
              <w:rPr>
                <w:rFonts w:ascii="Calibri" w:hAnsi="Calibri" w:cs="Calibri"/>
                <w:szCs w:val="24"/>
              </w:rPr>
            </w:pPr>
            <w:r w:rsidRPr="00465B18">
              <w:rPr>
                <w:rFonts w:ascii="Calibri" w:hAnsi="Calibri" w:cs="Calibri"/>
                <w:szCs w:val="24"/>
              </w:rPr>
              <w:t>Deliver new ways of working to stimulate achievement of our ambitions</w:t>
            </w:r>
          </w:p>
        </w:tc>
      </w:tr>
      <w:tr w:rsidR="007F26B5" w:rsidRPr="005B1B32" w14:paraId="606D647E" w14:textId="77777777" w:rsidTr="007F26B5">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312" w:type="pct"/>
          </w:tcPr>
          <w:p w14:paraId="77969D49" w14:textId="77777777" w:rsidR="007F26B5" w:rsidRPr="00FE0971" w:rsidRDefault="007F26B5" w:rsidP="008B7D68">
            <w:pPr>
              <w:ind w:left="457" w:hanging="457"/>
              <w:rPr>
                <w:rFonts w:ascii="Calibri" w:hAnsi="Calibri" w:cs="Calibri"/>
                <w:sz w:val="22"/>
              </w:rPr>
            </w:pPr>
            <w:r w:rsidRPr="00FE0971">
              <w:rPr>
                <w:rFonts w:ascii="Calibri" w:hAnsi="Calibri" w:cs="Calibri"/>
                <w:b w:val="0"/>
                <w:bCs w:val="0"/>
                <w:sz w:val="22"/>
              </w:rPr>
              <w:t>5.1   Strategic Resource and workforce Planning: Deliver in time for start of the new Corporate Plan.</w:t>
            </w:r>
          </w:p>
          <w:p w14:paraId="1F48C0CF" w14:textId="77777777" w:rsidR="00FD71CF" w:rsidRPr="00FE0971" w:rsidRDefault="00FD71CF" w:rsidP="008B7D68">
            <w:pPr>
              <w:ind w:left="457" w:hanging="457"/>
              <w:rPr>
                <w:rFonts w:ascii="Calibri" w:hAnsi="Calibri" w:cs="Calibri"/>
                <w:sz w:val="22"/>
              </w:rPr>
            </w:pPr>
          </w:p>
          <w:p w14:paraId="7F569E13" w14:textId="77777777" w:rsidR="00FD71CF" w:rsidRPr="00FE0971" w:rsidRDefault="00FD71CF" w:rsidP="008B7D68">
            <w:pPr>
              <w:ind w:left="457" w:hanging="457"/>
              <w:rPr>
                <w:rFonts w:ascii="Calibri" w:hAnsi="Calibri" w:cs="Calibri"/>
                <w:b w:val="0"/>
                <w:bCs w:val="0"/>
                <w:sz w:val="22"/>
              </w:rPr>
            </w:pPr>
          </w:p>
          <w:p w14:paraId="681CF766" w14:textId="77777777" w:rsidR="007F26B5" w:rsidRPr="00FE0971" w:rsidRDefault="007F26B5" w:rsidP="008B7D68">
            <w:pPr>
              <w:rPr>
                <w:rFonts w:ascii="Calibri" w:hAnsi="Calibri" w:cs="Calibri"/>
                <w:sz w:val="22"/>
              </w:rPr>
            </w:pPr>
            <w:r w:rsidRPr="00FE0971">
              <w:rPr>
                <w:rFonts w:ascii="Calibri" w:hAnsi="Calibri" w:cs="Calibri"/>
                <w:b w:val="0"/>
                <w:bCs w:val="0"/>
                <w:sz w:val="22"/>
              </w:rPr>
              <w:t>5.2   Conclude NatureScot Estate Strategy Review.</w:t>
            </w:r>
          </w:p>
          <w:p w14:paraId="3C8D5355" w14:textId="77777777" w:rsidR="00FD71CF" w:rsidRPr="00FE0971" w:rsidRDefault="00FD71CF" w:rsidP="008B7D68">
            <w:pPr>
              <w:rPr>
                <w:rFonts w:ascii="Calibri" w:hAnsi="Calibri" w:cs="Calibri"/>
                <w:sz w:val="22"/>
              </w:rPr>
            </w:pPr>
          </w:p>
          <w:p w14:paraId="0CCA1AF8" w14:textId="77777777" w:rsidR="00FD71CF" w:rsidRPr="00FE0971" w:rsidRDefault="00FD71CF" w:rsidP="008B7D68">
            <w:pPr>
              <w:rPr>
                <w:rFonts w:ascii="Calibri" w:hAnsi="Calibri" w:cs="Calibri"/>
                <w:sz w:val="22"/>
              </w:rPr>
            </w:pPr>
          </w:p>
          <w:p w14:paraId="09DA1B1C" w14:textId="77777777" w:rsidR="00FD71CF" w:rsidRPr="00FE0971" w:rsidRDefault="00FD71CF" w:rsidP="008B7D68">
            <w:pPr>
              <w:rPr>
                <w:rFonts w:ascii="Calibri" w:hAnsi="Calibri" w:cs="Calibri"/>
                <w:sz w:val="22"/>
              </w:rPr>
            </w:pPr>
          </w:p>
          <w:p w14:paraId="669B894B" w14:textId="00A889AE" w:rsidR="007F26B5" w:rsidRPr="00FE0971" w:rsidRDefault="007F26B5" w:rsidP="00FD71CF">
            <w:pPr>
              <w:ind w:left="447" w:hanging="447"/>
              <w:rPr>
                <w:rFonts w:ascii="Calibri" w:hAnsi="Calibri" w:cs="Calibri"/>
                <w:b w:val="0"/>
                <w:bCs w:val="0"/>
                <w:sz w:val="22"/>
              </w:rPr>
            </w:pPr>
            <w:r w:rsidRPr="00FE0971">
              <w:rPr>
                <w:rFonts w:ascii="Calibri" w:hAnsi="Calibri" w:cs="Calibri"/>
                <w:b w:val="0"/>
                <w:bCs w:val="0"/>
                <w:sz w:val="22"/>
              </w:rPr>
              <w:lastRenderedPageBreak/>
              <w:t xml:space="preserve">5.3   Implement </w:t>
            </w:r>
            <w:r w:rsidR="00E70738" w:rsidRPr="00FE0971">
              <w:rPr>
                <w:rFonts w:ascii="Calibri" w:hAnsi="Calibri" w:cs="Calibri"/>
                <w:b w:val="0"/>
                <w:bCs w:val="0"/>
                <w:sz w:val="22"/>
              </w:rPr>
              <w:t>back-office</w:t>
            </w:r>
            <w:r w:rsidRPr="00FE0971">
              <w:rPr>
                <w:rFonts w:ascii="Calibri" w:hAnsi="Calibri" w:cs="Calibri"/>
                <w:b w:val="0"/>
                <w:bCs w:val="0"/>
                <w:sz w:val="22"/>
              </w:rPr>
              <w:t xml:space="preserve"> Information Management software.</w:t>
            </w:r>
            <w:r w:rsidR="005934AD" w:rsidRPr="00FE0971">
              <w:rPr>
                <w:rFonts w:ascii="Calibri" w:hAnsi="Calibri" w:cs="Calibri"/>
                <w:b w:val="0"/>
                <w:bCs w:val="0"/>
                <w:sz w:val="22"/>
              </w:rPr>
              <w:t xml:space="preserve"> </w:t>
            </w:r>
            <w:r w:rsidRPr="00FE0971">
              <w:rPr>
                <w:rFonts w:ascii="Calibri" w:hAnsi="Calibri" w:cs="Calibri"/>
                <w:b w:val="0"/>
                <w:bCs w:val="0"/>
                <w:sz w:val="22"/>
              </w:rPr>
              <w:t>Prepare proposal for BI “Data Lake” and business case.</w:t>
            </w:r>
            <w:r w:rsidR="00FD71CF" w:rsidRPr="00FE0971">
              <w:rPr>
                <w:rFonts w:ascii="Calibri" w:hAnsi="Calibri" w:cs="Calibri"/>
                <w:b w:val="0"/>
                <w:bCs w:val="0"/>
                <w:sz w:val="22"/>
              </w:rPr>
              <w:t xml:space="preserve"> </w:t>
            </w:r>
            <w:r w:rsidRPr="00FE0971">
              <w:rPr>
                <w:rFonts w:ascii="Calibri" w:hAnsi="Calibri" w:cs="Calibri"/>
                <w:b w:val="0"/>
                <w:bCs w:val="0"/>
                <w:sz w:val="22"/>
              </w:rPr>
              <w:t>GIS Programme: plan for migration of data, metadata, GIS services.</w:t>
            </w:r>
            <w:r w:rsidR="00FD71CF" w:rsidRPr="00FE0971">
              <w:rPr>
                <w:rFonts w:ascii="Calibri" w:hAnsi="Calibri" w:cs="Calibri"/>
                <w:b w:val="0"/>
                <w:bCs w:val="0"/>
                <w:sz w:val="22"/>
              </w:rPr>
              <w:t xml:space="preserve"> </w:t>
            </w:r>
            <w:r w:rsidRPr="00FE0971">
              <w:rPr>
                <w:rFonts w:ascii="Calibri" w:hAnsi="Calibri" w:cs="Calibri"/>
                <w:b w:val="0"/>
                <w:bCs w:val="0"/>
                <w:sz w:val="22"/>
              </w:rPr>
              <w:t>Decommission end of life bespoke and on-prem applications.</w:t>
            </w:r>
          </w:p>
          <w:p w14:paraId="360CC7D7" w14:textId="77777777" w:rsidR="00FD71CF" w:rsidRPr="00FE0971" w:rsidRDefault="00FD71CF" w:rsidP="008B7D68">
            <w:pPr>
              <w:ind w:firstLine="487"/>
              <w:rPr>
                <w:rFonts w:ascii="Calibri" w:hAnsi="Calibri" w:cs="Calibri"/>
                <w:sz w:val="22"/>
              </w:rPr>
            </w:pPr>
          </w:p>
          <w:p w14:paraId="63753491" w14:textId="77777777" w:rsidR="005934AD" w:rsidRPr="00FE0971" w:rsidRDefault="005934AD" w:rsidP="008B7D68">
            <w:pPr>
              <w:ind w:firstLine="487"/>
              <w:rPr>
                <w:rFonts w:ascii="Calibri" w:hAnsi="Calibri" w:cs="Calibri"/>
                <w:b w:val="0"/>
                <w:bCs w:val="0"/>
                <w:sz w:val="22"/>
              </w:rPr>
            </w:pPr>
          </w:p>
          <w:p w14:paraId="23277687" w14:textId="129E6031" w:rsidR="007F26B5" w:rsidRPr="00FE0971" w:rsidRDefault="007F26B5" w:rsidP="00FD71CF">
            <w:pPr>
              <w:ind w:left="487" w:hanging="487"/>
              <w:rPr>
                <w:rFonts w:ascii="Calibri" w:hAnsi="Calibri" w:cs="Calibri"/>
                <w:sz w:val="22"/>
              </w:rPr>
            </w:pPr>
            <w:r w:rsidRPr="00FE0971">
              <w:rPr>
                <w:rFonts w:ascii="Calibri" w:hAnsi="Calibri" w:cs="Calibri"/>
                <w:b w:val="0"/>
                <w:bCs w:val="0"/>
                <w:sz w:val="22"/>
              </w:rPr>
              <w:t>6.1   Pilot: people management skills and leadership programmes for collective</w:t>
            </w:r>
            <w:r w:rsidR="00FD71CF" w:rsidRPr="00FE0971">
              <w:rPr>
                <w:rFonts w:ascii="Calibri" w:hAnsi="Calibri" w:cs="Calibri"/>
                <w:b w:val="0"/>
                <w:bCs w:val="0"/>
                <w:sz w:val="22"/>
              </w:rPr>
              <w:t xml:space="preserve"> </w:t>
            </w:r>
            <w:r w:rsidRPr="00FE0971">
              <w:rPr>
                <w:rFonts w:ascii="Calibri" w:hAnsi="Calibri" w:cs="Calibri"/>
                <w:b w:val="0"/>
                <w:bCs w:val="0"/>
                <w:sz w:val="22"/>
              </w:rPr>
              <w:t>and individual leadership linked to IDGs, including IDG Leadership Labs Programme.</w:t>
            </w:r>
          </w:p>
          <w:p w14:paraId="5DD25998" w14:textId="77777777" w:rsidR="00FD71CF" w:rsidRPr="00FE0971" w:rsidRDefault="00FD71CF" w:rsidP="008B7D68">
            <w:pPr>
              <w:ind w:left="487"/>
              <w:rPr>
                <w:rFonts w:ascii="Calibri" w:hAnsi="Calibri" w:cs="Calibri"/>
                <w:sz w:val="22"/>
              </w:rPr>
            </w:pPr>
          </w:p>
          <w:p w14:paraId="72316807" w14:textId="77777777" w:rsidR="00FD71CF" w:rsidRPr="00FE0971" w:rsidRDefault="00FD71CF" w:rsidP="008B7D68">
            <w:pPr>
              <w:ind w:left="487"/>
              <w:rPr>
                <w:rFonts w:ascii="Calibri" w:hAnsi="Calibri" w:cs="Calibri"/>
                <w:b w:val="0"/>
                <w:bCs w:val="0"/>
                <w:sz w:val="22"/>
              </w:rPr>
            </w:pPr>
          </w:p>
          <w:p w14:paraId="5DC92BEE" w14:textId="21DCFA3C" w:rsidR="007F26B5" w:rsidRPr="00FE0971" w:rsidRDefault="007F26B5" w:rsidP="005934AD">
            <w:pPr>
              <w:ind w:left="452" w:hanging="452"/>
              <w:rPr>
                <w:rFonts w:ascii="Calibri" w:hAnsi="Calibri" w:cs="Calibri"/>
                <w:b w:val="0"/>
                <w:bCs w:val="0"/>
                <w:sz w:val="22"/>
              </w:rPr>
            </w:pPr>
            <w:r w:rsidRPr="00FE0971">
              <w:rPr>
                <w:rFonts w:ascii="Calibri" w:hAnsi="Calibri" w:cs="Calibri"/>
                <w:b w:val="0"/>
                <w:bCs w:val="0"/>
                <w:sz w:val="22"/>
              </w:rPr>
              <w:t>6.2   COP30: External and internal promotion.</w:t>
            </w:r>
            <w:r w:rsidR="005934AD" w:rsidRPr="00FE0971">
              <w:rPr>
                <w:rFonts w:ascii="Calibri" w:hAnsi="Calibri" w:cs="Calibri"/>
                <w:b w:val="0"/>
                <w:bCs w:val="0"/>
                <w:sz w:val="22"/>
              </w:rPr>
              <w:t xml:space="preserve"> </w:t>
            </w:r>
            <w:r w:rsidRPr="00FE0971">
              <w:rPr>
                <w:rFonts w:ascii="Calibri" w:hAnsi="Calibri" w:cs="Calibri"/>
                <w:b w:val="0"/>
                <w:bCs w:val="0"/>
                <w:sz w:val="22"/>
              </w:rPr>
              <w:t>Virtual staff Conference.</w:t>
            </w:r>
            <w:r w:rsidR="005934AD" w:rsidRPr="00FE0971">
              <w:rPr>
                <w:rFonts w:ascii="Calibri" w:hAnsi="Calibri" w:cs="Calibri"/>
                <w:b w:val="0"/>
                <w:bCs w:val="0"/>
                <w:sz w:val="22"/>
              </w:rPr>
              <w:t xml:space="preserve"> </w:t>
            </w:r>
            <w:r w:rsidRPr="00FE0971">
              <w:rPr>
                <w:rFonts w:ascii="Calibri" w:hAnsi="Calibri" w:cs="Calibri"/>
                <w:b w:val="0"/>
                <w:bCs w:val="0"/>
                <w:sz w:val="22"/>
              </w:rPr>
              <w:t>Nature of Scotland Awards: working with priority stakeholders to promote and support.</w:t>
            </w:r>
            <w:r w:rsidR="005934AD" w:rsidRPr="00FE0971">
              <w:rPr>
                <w:rFonts w:ascii="Calibri" w:hAnsi="Calibri" w:cs="Calibri"/>
                <w:b w:val="0"/>
                <w:bCs w:val="0"/>
                <w:sz w:val="22"/>
              </w:rPr>
              <w:t xml:space="preserve"> </w:t>
            </w:r>
            <w:r w:rsidRPr="00FE0971">
              <w:rPr>
                <w:rFonts w:ascii="Calibri" w:hAnsi="Calibri" w:cs="Calibri"/>
                <w:b w:val="0"/>
                <w:bCs w:val="0"/>
                <w:sz w:val="22"/>
              </w:rPr>
              <w:t>Seasonal promotion of Make Space for Nature campaign and The Scottish Outdoor Access code’s 20</w:t>
            </w:r>
            <w:r w:rsidRPr="00FE0971">
              <w:rPr>
                <w:rFonts w:ascii="Calibri" w:hAnsi="Calibri" w:cs="Calibri"/>
                <w:b w:val="0"/>
                <w:bCs w:val="0"/>
                <w:sz w:val="22"/>
                <w:vertAlign w:val="superscript"/>
              </w:rPr>
              <w:t>th</w:t>
            </w:r>
            <w:r w:rsidRPr="00FE0971">
              <w:rPr>
                <w:rFonts w:ascii="Calibri" w:hAnsi="Calibri" w:cs="Calibri"/>
                <w:b w:val="0"/>
                <w:bCs w:val="0"/>
                <w:sz w:val="22"/>
              </w:rPr>
              <w:t xml:space="preserve"> anniversary in 2025.</w:t>
            </w:r>
          </w:p>
          <w:p w14:paraId="542B1455" w14:textId="103D03DE" w:rsidR="00E81E84" w:rsidRPr="00FE0971" w:rsidRDefault="007F26B5" w:rsidP="005934AD">
            <w:pPr>
              <w:ind w:left="452"/>
              <w:rPr>
                <w:rFonts w:ascii="Calibri" w:hAnsi="Calibri" w:cs="Calibri"/>
                <w:b w:val="0"/>
                <w:bCs w:val="0"/>
                <w:sz w:val="22"/>
              </w:rPr>
            </w:pPr>
            <w:r w:rsidRPr="00FE0971">
              <w:rPr>
                <w:rFonts w:ascii="Calibri" w:hAnsi="Calibri" w:cs="Calibri"/>
                <w:b w:val="0"/>
                <w:bCs w:val="0"/>
                <w:sz w:val="22"/>
              </w:rPr>
              <w:t>Accessibility: Lead contractor support for continued work to meet evolving accessibility legislation.</w:t>
            </w:r>
          </w:p>
          <w:p w14:paraId="1E7A18A6" w14:textId="65D69D53" w:rsidR="007F26B5" w:rsidRPr="00FE0971" w:rsidRDefault="007F26B5" w:rsidP="005934AD">
            <w:pPr>
              <w:ind w:left="447" w:hanging="447"/>
              <w:rPr>
                <w:rFonts w:ascii="Calibri" w:hAnsi="Calibri" w:cs="Calibri"/>
                <w:b w:val="0"/>
                <w:bCs w:val="0"/>
                <w:sz w:val="22"/>
              </w:rPr>
            </w:pPr>
            <w:r w:rsidRPr="00FE0971">
              <w:rPr>
                <w:rFonts w:ascii="Calibri" w:hAnsi="Calibri" w:cs="Calibri"/>
                <w:b w:val="0"/>
                <w:bCs w:val="0"/>
                <w:sz w:val="22"/>
              </w:rPr>
              <w:t>7.1   Test new SharePoint Learning Hub (People management skills).</w:t>
            </w:r>
            <w:r w:rsidR="005934AD" w:rsidRPr="00FE0971">
              <w:rPr>
                <w:rFonts w:ascii="Calibri" w:hAnsi="Calibri" w:cs="Calibri"/>
                <w:b w:val="0"/>
                <w:bCs w:val="0"/>
                <w:sz w:val="22"/>
              </w:rPr>
              <w:t xml:space="preserve"> </w:t>
            </w:r>
            <w:r w:rsidRPr="00FE0971">
              <w:rPr>
                <w:rFonts w:ascii="Calibri" w:hAnsi="Calibri" w:cs="Calibri"/>
                <w:b w:val="0"/>
                <w:bCs w:val="0"/>
                <w:sz w:val="22"/>
              </w:rPr>
              <w:t>SIT Action plan delivery.</w:t>
            </w:r>
          </w:p>
          <w:p w14:paraId="4D106BB3" w14:textId="77777777" w:rsidR="007F26B5" w:rsidRPr="00FE0971" w:rsidRDefault="007F26B5" w:rsidP="008B7D68">
            <w:pPr>
              <w:ind w:left="459" w:hanging="459"/>
              <w:rPr>
                <w:rFonts w:ascii="Calibri" w:hAnsi="Calibri" w:cs="Calibri"/>
                <w:b w:val="0"/>
                <w:bCs w:val="0"/>
                <w:sz w:val="22"/>
              </w:rPr>
            </w:pPr>
          </w:p>
          <w:p w14:paraId="7134534D" w14:textId="00D4CF43" w:rsidR="007F26B5" w:rsidRPr="00FE0971" w:rsidRDefault="007F26B5" w:rsidP="00E81E84">
            <w:pPr>
              <w:rPr>
                <w:rFonts w:ascii="Calibri" w:hAnsi="Calibri" w:cs="Calibri"/>
                <w:b w:val="0"/>
                <w:bCs w:val="0"/>
                <w:sz w:val="22"/>
              </w:rPr>
            </w:pPr>
          </w:p>
        </w:tc>
        <w:tc>
          <w:tcPr>
            <w:tcW w:w="2688" w:type="pct"/>
          </w:tcPr>
          <w:p w14:paraId="405C7307" w14:textId="649D9C45" w:rsidR="007F26B5" w:rsidRPr="00FE0971" w:rsidRDefault="007F26B5" w:rsidP="00FD71CF">
            <w:pPr>
              <w:ind w:left="466" w:hanging="46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FE0971">
              <w:rPr>
                <w:rFonts w:ascii="Calibri" w:hAnsi="Calibri" w:cs="Calibri"/>
                <w:sz w:val="22"/>
              </w:rPr>
              <w:lastRenderedPageBreak/>
              <w:t xml:space="preserve">5.1 </w:t>
            </w:r>
            <w:r w:rsidR="00FD71CF" w:rsidRPr="00FE0971">
              <w:rPr>
                <w:rFonts w:ascii="Calibri" w:hAnsi="Calibri" w:cs="Calibri"/>
                <w:sz w:val="22"/>
              </w:rPr>
              <w:t xml:space="preserve">  </w:t>
            </w:r>
            <w:r w:rsidRPr="00FE0971">
              <w:rPr>
                <w:rFonts w:ascii="Calibri" w:hAnsi="Calibri" w:cs="Calibri"/>
                <w:sz w:val="22"/>
              </w:rPr>
              <w:t xml:space="preserve">Conditions for </w:t>
            </w:r>
            <w:r w:rsidR="00E81E84" w:rsidRPr="00FE0971">
              <w:rPr>
                <w:rFonts w:ascii="Calibri" w:hAnsi="Calibri" w:cs="Calibri"/>
                <w:sz w:val="22"/>
              </w:rPr>
              <w:t>S</w:t>
            </w:r>
            <w:r w:rsidRPr="00FE0971">
              <w:rPr>
                <w:rFonts w:ascii="Calibri" w:hAnsi="Calibri" w:cs="Calibri"/>
                <w:sz w:val="22"/>
              </w:rPr>
              <w:t xml:space="preserve">uccess, which will guide transformation work including strategic resource and workforce </w:t>
            </w:r>
            <w:r w:rsidR="00E81E84" w:rsidRPr="00FE0971">
              <w:rPr>
                <w:rFonts w:ascii="Calibri" w:hAnsi="Calibri" w:cs="Calibri"/>
                <w:sz w:val="22"/>
              </w:rPr>
              <w:t xml:space="preserve">(SWP) </w:t>
            </w:r>
            <w:r w:rsidRPr="00FE0971">
              <w:rPr>
                <w:rFonts w:ascii="Calibri" w:hAnsi="Calibri" w:cs="Calibri"/>
                <w:sz w:val="22"/>
              </w:rPr>
              <w:t xml:space="preserve">planning, are embedded in the new Corporate Plan. Cornerstones phase 1 to identify current resource deployment is well underway and scoping of SWP has begun. </w:t>
            </w:r>
          </w:p>
          <w:p w14:paraId="4C26FEAE" w14:textId="436F3D4F" w:rsidR="007F26B5" w:rsidRPr="00FE0971" w:rsidRDefault="007F26B5" w:rsidP="00FD71CF">
            <w:pPr>
              <w:ind w:left="466" w:hanging="46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bookmarkStart w:id="16" w:name="_Hlk220486239"/>
            <w:r w:rsidRPr="00FE0971">
              <w:rPr>
                <w:rFonts w:ascii="Calibri" w:hAnsi="Calibri" w:cs="Calibri"/>
                <w:sz w:val="22"/>
              </w:rPr>
              <w:t xml:space="preserve">5.2 </w:t>
            </w:r>
            <w:r w:rsidR="00FD71CF" w:rsidRPr="00FE0971">
              <w:rPr>
                <w:rFonts w:ascii="Calibri" w:hAnsi="Calibri" w:cs="Calibri"/>
                <w:sz w:val="22"/>
              </w:rPr>
              <w:t xml:space="preserve">  </w:t>
            </w:r>
            <w:r w:rsidRPr="00FE0971">
              <w:rPr>
                <w:rFonts w:ascii="Calibri" w:hAnsi="Calibri" w:cs="Calibri"/>
                <w:sz w:val="22"/>
              </w:rPr>
              <w:t xml:space="preserve">SG signed off business case for Pullar House. Consultation with </w:t>
            </w:r>
            <w:proofErr w:type="spellStart"/>
            <w:r w:rsidRPr="00FE0971">
              <w:rPr>
                <w:rFonts w:ascii="Calibri" w:hAnsi="Calibri" w:cs="Calibri"/>
                <w:sz w:val="22"/>
              </w:rPr>
              <w:t>Battleby</w:t>
            </w:r>
            <w:proofErr w:type="spellEnd"/>
            <w:r w:rsidRPr="00FE0971">
              <w:rPr>
                <w:rFonts w:ascii="Calibri" w:hAnsi="Calibri" w:cs="Calibri"/>
                <w:sz w:val="22"/>
              </w:rPr>
              <w:t xml:space="preserve"> staff will </w:t>
            </w:r>
            <w:r w:rsidR="00FD71CF" w:rsidRPr="00FE0971">
              <w:rPr>
                <w:rFonts w:ascii="Calibri" w:hAnsi="Calibri" w:cs="Calibri"/>
                <w:sz w:val="22"/>
              </w:rPr>
              <w:t>start</w:t>
            </w:r>
            <w:r w:rsidRPr="00FE0971">
              <w:rPr>
                <w:rFonts w:ascii="Calibri" w:hAnsi="Calibri" w:cs="Calibri"/>
                <w:sz w:val="22"/>
              </w:rPr>
              <w:t xml:space="preserve"> in </w:t>
            </w:r>
            <w:r w:rsidR="00FD71CF" w:rsidRPr="00FE0971">
              <w:rPr>
                <w:rFonts w:ascii="Calibri" w:hAnsi="Calibri" w:cs="Calibri"/>
                <w:sz w:val="22"/>
              </w:rPr>
              <w:t>2026</w:t>
            </w:r>
            <w:r w:rsidRPr="00FE0971">
              <w:rPr>
                <w:rFonts w:ascii="Calibri" w:hAnsi="Calibri" w:cs="Calibri"/>
                <w:sz w:val="22"/>
              </w:rPr>
              <w:t xml:space="preserve">. The SG led space planning exercise for Inverness/Dingwall area is underway and a communication has been </w:t>
            </w:r>
            <w:r w:rsidR="00FD71CF" w:rsidRPr="00FE0971">
              <w:rPr>
                <w:rFonts w:ascii="Calibri" w:hAnsi="Calibri" w:cs="Calibri"/>
                <w:sz w:val="22"/>
              </w:rPr>
              <w:t>issued</w:t>
            </w:r>
            <w:r w:rsidRPr="00FE0971">
              <w:rPr>
                <w:rFonts w:ascii="Calibri" w:hAnsi="Calibri" w:cs="Calibri"/>
                <w:sz w:val="22"/>
              </w:rPr>
              <w:t xml:space="preserve">. </w:t>
            </w:r>
          </w:p>
          <w:bookmarkEnd w:id="16"/>
          <w:p w14:paraId="17AFC6E4" w14:textId="40109EFB" w:rsidR="007F26B5" w:rsidRPr="00FE0971" w:rsidRDefault="007F26B5" w:rsidP="00FD71CF">
            <w:pPr>
              <w:ind w:left="466" w:hanging="46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FE0971">
              <w:rPr>
                <w:rFonts w:ascii="Calibri" w:hAnsi="Calibri" w:cs="Calibri"/>
                <w:sz w:val="22"/>
              </w:rPr>
              <w:t xml:space="preserve">5.3 </w:t>
            </w:r>
            <w:r w:rsidR="00FD71CF" w:rsidRPr="00FE0971">
              <w:rPr>
                <w:rFonts w:ascii="Calibri" w:hAnsi="Calibri" w:cs="Calibri"/>
                <w:sz w:val="22"/>
              </w:rPr>
              <w:t xml:space="preserve">  </w:t>
            </w:r>
            <w:r w:rsidRPr="00FE0971">
              <w:rPr>
                <w:rFonts w:ascii="Calibri" w:hAnsi="Calibri" w:cs="Calibri"/>
                <w:sz w:val="22"/>
              </w:rPr>
              <w:t xml:space="preserve">The upgrade to Windows </w:t>
            </w:r>
            <w:proofErr w:type="gramStart"/>
            <w:r w:rsidRPr="00FE0971">
              <w:rPr>
                <w:rFonts w:ascii="Calibri" w:hAnsi="Calibri" w:cs="Calibri"/>
                <w:sz w:val="22"/>
              </w:rPr>
              <w:t>11  was</w:t>
            </w:r>
            <w:proofErr w:type="gramEnd"/>
            <w:r w:rsidRPr="00FE0971">
              <w:rPr>
                <w:rFonts w:ascii="Calibri" w:hAnsi="Calibri" w:cs="Calibri"/>
                <w:sz w:val="22"/>
              </w:rPr>
              <w:t xml:space="preserve"> successfully delivered. V</w:t>
            </w:r>
            <w:r w:rsidR="007B724A">
              <w:rPr>
                <w:rFonts w:ascii="Calibri" w:hAnsi="Calibri" w:cs="Calibri"/>
                <w:sz w:val="22"/>
              </w:rPr>
              <w:t xml:space="preserve">irtual </w:t>
            </w:r>
            <w:r w:rsidRPr="00FE0971">
              <w:rPr>
                <w:rFonts w:ascii="Calibri" w:hAnsi="Calibri" w:cs="Calibri"/>
                <w:sz w:val="22"/>
              </w:rPr>
              <w:t>P</w:t>
            </w:r>
            <w:r w:rsidR="007B724A">
              <w:rPr>
                <w:rFonts w:ascii="Calibri" w:hAnsi="Calibri" w:cs="Calibri"/>
                <w:sz w:val="22"/>
              </w:rPr>
              <w:t xml:space="preserve">rivate </w:t>
            </w:r>
            <w:r w:rsidRPr="00FE0971">
              <w:rPr>
                <w:rFonts w:ascii="Calibri" w:hAnsi="Calibri" w:cs="Calibri"/>
                <w:sz w:val="22"/>
              </w:rPr>
              <w:t>N</w:t>
            </w:r>
            <w:r w:rsidR="007B724A">
              <w:rPr>
                <w:rFonts w:ascii="Calibri" w:hAnsi="Calibri" w:cs="Calibri"/>
                <w:sz w:val="22"/>
              </w:rPr>
              <w:t>etwork (VPN)</w:t>
            </w:r>
            <w:r w:rsidRPr="00FE0971">
              <w:rPr>
                <w:rFonts w:ascii="Calibri" w:hAnsi="Calibri" w:cs="Calibri"/>
                <w:sz w:val="22"/>
              </w:rPr>
              <w:t xml:space="preserve"> replacement successfully implemented mitigating a major </w:t>
            </w:r>
            <w:r w:rsidRPr="00FE0971">
              <w:rPr>
                <w:rFonts w:ascii="Calibri" w:hAnsi="Calibri" w:cs="Calibri"/>
                <w:sz w:val="22"/>
              </w:rPr>
              <w:lastRenderedPageBreak/>
              <w:t>security risk and increasing available access times. GIS programme</w:t>
            </w:r>
            <w:r w:rsidR="00FD71CF" w:rsidRPr="00FE0971">
              <w:rPr>
                <w:rFonts w:ascii="Calibri" w:hAnsi="Calibri" w:cs="Calibri"/>
                <w:sz w:val="22"/>
              </w:rPr>
              <w:t xml:space="preserve"> p</w:t>
            </w:r>
            <w:r w:rsidRPr="00FE0971">
              <w:rPr>
                <w:rFonts w:ascii="Calibri" w:hAnsi="Calibri" w:cs="Calibri"/>
                <w:sz w:val="22"/>
              </w:rPr>
              <w:t xml:space="preserve">rocurement/implementation is delayed, but migration plans are ongoing. Frontier </w:t>
            </w:r>
            <w:r w:rsidR="00E81E84" w:rsidRPr="00FE0971">
              <w:rPr>
                <w:rFonts w:ascii="Calibri" w:hAnsi="Calibri" w:cs="Calibri"/>
                <w:sz w:val="22"/>
              </w:rPr>
              <w:t>C</w:t>
            </w:r>
            <w:r w:rsidRPr="00FE0971">
              <w:rPr>
                <w:rFonts w:ascii="Calibri" w:hAnsi="Calibri" w:cs="Calibri"/>
                <w:sz w:val="22"/>
              </w:rPr>
              <w:t>onnect work to deliver office connectivity is substantially complete with visits proposed for Ayr and Bowmore (the last remaining offices) once BT complete the installations.</w:t>
            </w:r>
          </w:p>
          <w:p w14:paraId="4D6DD811" w14:textId="77777777" w:rsidR="007F26B5" w:rsidRPr="00FE0971" w:rsidRDefault="007F26B5" w:rsidP="0050584B">
            <w:pPr>
              <w:ind w:left="360"/>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p w14:paraId="330658F6" w14:textId="2AA6A91C" w:rsidR="007F26B5" w:rsidRPr="00FE0971" w:rsidRDefault="007F26B5" w:rsidP="00FD71CF">
            <w:pPr>
              <w:ind w:left="466" w:hanging="46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FE0971">
              <w:rPr>
                <w:rFonts w:ascii="Calibri" w:hAnsi="Calibri" w:cs="Calibri"/>
                <w:sz w:val="22"/>
              </w:rPr>
              <w:t xml:space="preserve">6.1 </w:t>
            </w:r>
            <w:r w:rsidR="00FD71CF" w:rsidRPr="00FE0971">
              <w:rPr>
                <w:rFonts w:ascii="Calibri" w:hAnsi="Calibri" w:cs="Calibri"/>
                <w:sz w:val="22"/>
              </w:rPr>
              <w:t xml:space="preserve">  </w:t>
            </w:r>
            <w:r w:rsidRPr="00FE0971">
              <w:rPr>
                <w:rFonts w:ascii="Calibri" w:hAnsi="Calibri" w:cs="Calibri"/>
                <w:sz w:val="22"/>
              </w:rPr>
              <w:t>IDG Summit on “Bridging Polarities, From Inner Growth to Outer Change” was attended both in person and at “watch parties in Edinburgh, Inverness and Perth. Leadership Exchange programme Autumn cohort has been selected and provides a framework to offer an insight into different organisation cultures, constraints and opportunities.</w:t>
            </w:r>
          </w:p>
          <w:p w14:paraId="39CB341D" w14:textId="64188485" w:rsidR="007F26B5" w:rsidRPr="00FE0971" w:rsidRDefault="007F26B5" w:rsidP="005934AD">
            <w:pPr>
              <w:ind w:left="466" w:hanging="42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roofErr w:type="gramStart"/>
            <w:r w:rsidRPr="00FE0971">
              <w:rPr>
                <w:rFonts w:ascii="Calibri" w:hAnsi="Calibri" w:cs="Calibri"/>
                <w:sz w:val="22"/>
              </w:rPr>
              <w:t>6.2  Corporate</w:t>
            </w:r>
            <w:proofErr w:type="gramEnd"/>
            <w:r w:rsidRPr="00FE0971">
              <w:rPr>
                <w:rFonts w:ascii="Calibri" w:hAnsi="Calibri" w:cs="Calibri"/>
                <w:sz w:val="22"/>
              </w:rPr>
              <w:t xml:space="preserve"> Plan has received sign-off from Cabinet Secretary.</w:t>
            </w:r>
          </w:p>
          <w:p w14:paraId="0BAFCD68" w14:textId="6150B9FC" w:rsidR="007F26B5" w:rsidRPr="00FE0971" w:rsidRDefault="007F26B5" w:rsidP="005934AD">
            <w:pPr>
              <w:ind w:left="46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r w:rsidRPr="00FE0971">
              <w:rPr>
                <w:rFonts w:ascii="Calibri" w:hAnsi="Calibri" w:cs="Calibri"/>
                <w:sz w:val="22"/>
              </w:rPr>
              <w:t>8 new SOAC 20 awards made including one to CEMVO</w:t>
            </w:r>
            <w:r w:rsidR="00FD71CF" w:rsidRPr="00FE0971">
              <w:rPr>
                <w:rFonts w:ascii="Calibri" w:hAnsi="Calibri" w:cs="Calibri"/>
                <w:sz w:val="22"/>
              </w:rPr>
              <w:t xml:space="preserve">. </w:t>
            </w:r>
            <w:r w:rsidRPr="00FE0971">
              <w:rPr>
                <w:rFonts w:ascii="Calibri" w:hAnsi="Calibri" w:cs="Calibri"/>
                <w:sz w:val="22"/>
              </w:rPr>
              <w:t>Successful SOA</w:t>
            </w:r>
            <w:r w:rsidR="00E81E84" w:rsidRPr="00FE0971">
              <w:rPr>
                <w:rFonts w:ascii="Calibri" w:hAnsi="Calibri" w:cs="Calibri"/>
                <w:sz w:val="22"/>
              </w:rPr>
              <w:t>C</w:t>
            </w:r>
            <w:r w:rsidRPr="00FE0971">
              <w:rPr>
                <w:rFonts w:ascii="Calibri" w:hAnsi="Calibri" w:cs="Calibri"/>
                <w:sz w:val="22"/>
              </w:rPr>
              <w:t xml:space="preserve"> network event hosted at </w:t>
            </w:r>
            <w:proofErr w:type="spellStart"/>
            <w:r w:rsidRPr="00FE0971">
              <w:rPr>
                <w:rFonts w:ascii="Calibri" w:hAnsi="Calibri" w:cs="Calibri"/>
                <w:sz w:val="22"/>
              </w:rPr>
              <w:t>Battleby</w:t>
            </w:r>
            <w:proofErr w:type="spellEnd"/>
            <w:r w:rsidRPr="00FE0971">
              <w:rPr>
                <w:rFonts w:ascii="Calibri" w:hAnsi="Calibri" w:cs="Calibri"/>
                <w:sz w:val="22"/>
              </w:rPr>
              <w:t xml:space="preserve"> with good coverage from Out of Doors</w:t>
            </w:r>
            <w:r w:rsidR="00FD71CF" w:rsidRPr="00FE0971">
              <w:rPr>
                <w:rFonts w:ascii="Calibri" w:hAnsi="Calibri" w:cs="Calibri"/>
                <w:sz w:val="22"/>
              </w:rPr>
              <w:t>.</w:t>
            </w:r>
            <w:r w:rsidR="005934AD" w:rsidRPr="00FE0971">
              <w:rPr>
                <w:rFonts w:ascii="Calibri" w:hAnsi="Calibri" w:cs="Calibri"/>
                <w:sz w:val="22"/>
              </w:rPr>
              <w:t xml:space="preserve"> </w:t>
            </w:r>
            <w:r w:rsidRPr="00FE0971">
              <w:rPr>
                <w:rFonts w:ascii="Calibri" w:hAnsi="Calibri" w:cs="Calibri"/>
                <w:sz w:val="22"/>
              </w:rPr>
              <w:t>Preparation for spring MSFN campaign underway.</w:t>
            </w:r>
          </w:p>
          <w:p w14:paraId="7267B6CA" w14:textId="77777777" w:rsidR="007F26B5" w:rsidRPr="00FE0971" w:rsidRDefault="007F26B5" w:rsidP="00FD71CF">
            <w:pPr>
              <w:ind w:left="40"/>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p w14:paraId="6FE89134" w14:textId="77777777" w:rsidR="005934AD" w:rsidRPr="00FE0971" w:rsidRDefault="005934AD" w:rsidP="00FD71CF">
            <w:pPr>
              <w:ind w:left="40"/>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p w14:paraId="47B49F0C" w14:textId="77777777" w:rsidR="005934AD" w:rsidRPr="00FE0971" w:rsidRDefault="005934AD" w:rsidP="00FD71CF">
            <w:pPr>
              <w:ind w:left="40"/>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
          <w:p w14:paraId="214EA06E" w14:textId="59C2E2E6" w:rsidR="007F26B5" w:rsidRPr="00FE0971" w:rsidRDefault="007F26B5" w:rsidP="00E81E84">
            <w:pPr>
              <w:ind w:left="466" w:hanging="426"/>
              <w:cnfStyle w:val="000000100000" w:firstRow="0" w:lastRow="0" w:firstColumn="0" w:lastColumn="0" w:oddVBand="0" w:evenVBand="0" w:oddHBand="1" w:evenHBand="0" w:firstRowFirstColumn="0" w:firstRowLastColumn="0" w:lastRowFirstColumn="0" w:lastRowLastColumn="0"/>
              <w:rPr>
                <w:rFonts w:ascii="Calibri" w:hAnsi="Calibri" w:cs="Calibri"/>
                <w:sz w:val="22"/>
              </w:rPr>
            </w:pPr>
            <w:proofErr w:type="gramStart"/>
            <w:r w:rsidRPr="00FE0971">
              <w:rPr>
                <w:rFonts w:ascii="Calibri" w:hAnsi="Calibri" w:cs="Calibri"/>
                <w:sz w:val="22"/>
              </w:rPr>
              <w:t xml:space="preserve">7.1 </w:t>
            </w:r>
            <w:r w:rsidR="005934AD" w:rsidRPr="00FE0971">
              <w:rPr>
                <w:rFonts w:ascii="Calibri" w:hAnsi="Calibri" w:cs="Calibri"/>
                <w:sz w:val="22"/>
              </w:rPr>
              <w:t xml:space="preserve"> </w:t>
            </w:r>
            <w:r w:rsidRPr="00FE0971">
              <w:rPr>
                <w:rFonts w:ascii="Calibri" w:hAnsi="Calibri" w:cs="Calibri"/>
                <w:sz w:val="22"/>
              </w:rPr>
              <w:t>Learning</w:t>
            </w:r>
            <w:proofErr w:type="gramEnd"/>
            <w:r w:rsidRPr="00FE0971">
              <w:rPr>
                <w:rFonts w:ascii="Calibri" w:hAnsi="Calibri" w:cs="Calibri"/>
                <w:sz w:val="22"/>
              </w:rPr>
              <w:t xml:space="preserve"> Hub growing as more skills clusters added. Fusion data dashboards have been developed to support teams with people management.</w:t>
            </w:r>
            <w:r w:rsidR="005934AD" w:rsidRPr="00FE0971">
              <w:rPr>
                <w:rFonts w:ascii="Calibri" w:hAnsi="Calibri" w:cs="Calibri"/>
                <w:sz w:val="22"/>
              </w:rPr>
              <w:t xml:space="preserve"> </w:t>
            </w:r>
            <w:r w:rsidRPr="00FE0971">
              <w:rPr>
                <w:rFonts w:ascii="Calibri" w:hAnsi="Calibri" w:cs="Calibri"/>
                <w:sz w:val="22"/>
              </w:rPr>
              <w:t xml:space="preserve">Four key recommendations arising from the </w:t>
            </w:r>
            <w:r w:rsidR="00E81E84" w:rsidRPr="00FE0971">
              <w:rPr>
                <w:rFonts w:ascii="Calibri" w:hAnsi="Calibri" w:cs="Calibri"/>
                <w:sz w:val="22"/>
              </w:rPr>
              <w:t>S</w:t>
            </w:r>
            <w:r w:rsidRPr="00FE0971">
              <w:rPr>
                <w:rFonts w:ascii="Calibri" w:hAnsi="Calibri" w:cs="Calibri"/>
                <w:sz w:val="22"/>
              </w:rPr>
              <w:t xml:space="preserve">tress </w:t>
            </w:r>
            <w:r w:rsidR="00E81E84" w:rsidRPr="00FE0971">
              <w:rPr>
                <w:rFonts w:ascii="Calibri" w:hAnsi="Calibri" w:cs="Calibri"/>
                <w:sz w:val="22"/>
              </w:rPr>
              <w:t>I</w:t>
            </w:r>
            <w:r w:rsidRPr="00FE0971">
              <w:rPr>
                <w:rFonts w:ascii="Calibri" w:hAnsi="Calibri" w:cs="Calibri"/>
                <w:sz w:val="22"/>
              </w:rPr>
              <w:t xml:space="preserve">ndicator </w:t>
            </w:r>
            <w:r w:rsidR="00E81E84" w:rsidRPr="00FE0971">
              <w:rPr>
                <w:rFonts w:ascii="Calibri" w:hAnsi="Calibri" w:cs="Calibri"/>
                <w:sz w:val="22"/>
              </w:rPr>
              <w:t>T</w:t>
            </w:r>
            <w:r w:rsidRPr="00FE0971">
              <w:rPr>
                <w:rFonts w:ascii="Calibri" w:hAnsi="Calibri" w:cs="Calibri"/>
                <w:sz w:val="22"/>
              </w:rPr>
              <w:t>ool have been agreed</w:t>
            </w:r>
            <w:r w:rsidR="005934AD" w:rsidRPr="00FE0971">
              <w:rPr>
                <w:rFonts w:ascii="Calibri" w:hAnsi="Calibri" w:cs="Calibri"/>
                <w:sz w:val="22"/>
              </w:rPr>
              <w:t xml:space="preserve">. </w:t>
            </w:r>
            <w:r w:rsidRPr="00FE0971">
              <w:rPr>
                <w:rFonts w:ascii="Calibri" w:hAnsi="Calibri" w:cs="Calibri"/>
                <w:sz w:val="22"/>
              </w:rPr>
              <w:t>Pay negotiations concluded and settlement agreed</w:t>
            </w:r>
            <w:r w:rsidR="005934AD" w:rsidRPr="00FE0971">
              <w:rPr>
                <w:rFonts w:ascii="Calibri" w:hAnsi="Calibri" w:cs="Calibri"/>
                <w:sz w:val="22"/>
              </w:rPr>
              <w:t>.</w:t>
            </w:r>
          </w:p>
        </w:tc>
      </w:tr>
    </w:tbl>
    <w:p w14:paraId="2DDD5A21" w14:textId="2D50D3F3" w:rsidR="0096019C" w:rsidRDefault="0096019C" w:rsidP="009C29B2"/>
    <w:tbl>
      <w:tblPr>
        <w:tblStyle w:val="TableGrid"/>
        <w:tblW w:w="0" w:type="auto"/>
        <w:tblLook w:val="04A0" w:firstRow="1" w:lastRow="0" w:firstColumn="1" w:lastColumn="0" w:noHBand="0" w:noVBand="1"/>
      </w:tblPr>
      <w:tblGrid>
        <w:gridCol w:w="3179"/>
        <w:gridCol w:w="939"/>
        <w:gridCol w:w="821"/>
        <w:gridCol w:w="8031"/>
      </w:tblGrid>
      <w:tr w:rsidR="00E02A94" w:rsidRPr="0011111E" w14:paraId="7B7A760C" w14:textId="77777777" w:rsidTr="005A47BC">
        <w:trPr>
          <w:trHeight w:val="267"/>
        </w:trPr>
        <w:tc>
          <w:tcPr>
            <w:tcW w:w="3179" w:type="dxa"/>
            <w:shd w:val="clear" w:color="auto" w:fill="DDD9C3" w:themeFill="background2" w:themeFillShade="E6"/>
          </w:tcPr>
          <w:p w14:paraId="1BAA2D89" w14:textId="77777777" w:rsidR="00E02A94" w:rsidRPr="0011111E" w:rsidRDefault="00E02A94" w:rsidP="00525250">
            <w:pPr>
              <w:rPr>
                <w:b/>
                <w:bCs/>
              </w:rPr>
            </w:pPr>
            <w:r w:rsidRPr="0011111E">
              <w:rPr>
                <w:b/>
                <w:bCs/>
              </w:rPr>
              <w:t xml:space="preserve">Measure </w:t>
            </w:r>
          </w:p>
        </w:tc>
        <w:tc>
          <w:tcPr>
            <w:tcW w:w="939" w:type="dxa"/>
            <w:shd w:val="clear" w:color="auto" w:fill="DDD9C3" w:themeFill="background2" w:themeFillShade="E6"/>
          </w:tcPr>
          <w:p w14:paraId="6AA19092" w14:textId="77777777" w:rsidR="00E02A94" w:rsidRPr="0011111E" w:rsidRDefault="00E02A94" w:rsidP="00525250">
            <w:pPr>
              <w:rPr>
                <w:b/>
                <w:bCs/>
              </w:rPr>
            </w:pPr>
            <w:r w:rsidRPr="0011111E">
              <w:rPr>
                <w:b/>
                <w:bCs/>
              </w:rPr>
              <w:t>Actual</w:t>
            </w:r>
          </w:p>
        </w:tc>
        <w:tc>
          <w:tcPr>
            <w:tcW w:w="653" w:type="dxa"/>
            <w:shd w:val="clear" w:color="auto" w:fill="DDD9C3" w:themeFill="background2" w:themeFillShade="E6"/>
          </w:tcPr>
          <w:p w14:paraId="53342CE5" w14:textId="77777777" w:rsidR="00E02A94" w:rsidRPr="0011111E" w:rsidRDefault="00E02A94" w:rsidP="00525250">
            <w:pPr>
              <w:rPr>
                <w:b/>
                <w:bCs/>
              </w:rPr>
            </w:pPr>
            <w:r w:rsidRPr="0011111E">
              <w:rPr>
                <w:b/>
                <w:bCs/>
              </w:rPr>
              <w:t>R</w:t>
            </w:r>
            <w:r>
              <w:rPr>
                <w:b/>
                <w:bCs/>
              </w:rPr>
              <w:t>AG</w:t>
            </w:r>
          </w:p>
        </w:tc>
        <w:tc>
          <w:tcPr>
            <w:tcW w:w="8031" w:type="dxa"/>
            <w:shd w:val="clear" w:color="auto" w:fill="DDD9C3" w:themeFill="background2" w:themeFillShade="E6"/>
          </w:tcPr>
          <w:p w14:paraId="2977FEE6" w14:textId="77777777" w:rsidR="00E02A94" w:rsidRPr="0011111E" w:rsidRDefault="00E02A94" w:rsidP="00525250">
            <w:pPr>
              <w:rPr>
                <w:b/>
                <w:bCs/>
              </w:rPr>
            </w:pPr>
            <w:r w:rsidRPr="0011111E">
              <w:rPr>
                <w:b/>
                <w:bCs/>
              </w:rPr>
              <w:t>Comment</w:t>
            </w:r>
          </w:p>
        </w:tc>
      </w:tr>
      <w:tr w:rsidR="00E02A94" w14:paraId="72D117ED" w14:textId="77777777" w:rsidTr="00BA4D16">
        <w:trPr>
          <w:trHeight w:val="239"/>
        </w:trPr>
        <w:tc>
          <w:tcPr>
            <w:tcW w:w="3179" w:type="dxa"/>
          </w:tcPr>
          <w:p w14:paraId="0D2950DB" w14:textId="5466EB8C" w:rsidR="00E02A94" w:rsidRPr="00261257" w:rsidRDefault="00E02A94" w:rsidP="00CB0059">
            <w:pPr>
              <w:rPr>
                <w:sz w:val="22"/>
              </w:rPr>
            </w:pPr>
            <w:proofErr w:type="spellStart"/>
            <w:r w:rsidRPr="00BA4D16">
              <w:rPr>
                <w:sz w:val="22"/>
              </w:rPr>
              <w:t>Sq</w:t>
            </w:r>
            <w:proofErr w:type="spellEnd"/>
            <w:r w:rsidRPr="00BA4D16">
              <w:rPr>
                <w:sz w:val="22"/>
              </w:rPr>
              <w:t xml:space="preserve"> meterage of Floorspace </w:t>
            </w:r>
          </w:p>
        </w:tc>
        <w:tc>
          <w:tcPr>
            <w:tcW w:w="939" w:type="dxa"/>
          </w:tcPr>
          <w:p w14:paraId="050F9364" w14:textId="5D8C85E7" w:rsidR="00E02A94" w:rsidRDefault="00E02A94" w:rsidP="00CB0059">
            <w:pPr>
              <w:rPr>
                <w:sz w:val="22"/>
              </w:rPr>
            </w:pPr>
            <w:r w:rsidRPr="007523B5">
              <w:rPr>
                <w:sz w:val="22"/>
              </w:rPr>
              <w:t>5335</w:t>
            </w:r>
          </w:p>
        </w:tc>
        <w:tc>
          <w:tcPr>
            <w:tcW w:w="653" w:type="dxa"/>
            <w:shd w:val="clear" w:color="auto" w:fill="FFC000"/>
          </w:tcPr>
          <w:p w14:paraId="41960EC9" w14:textId="7AFF8916" w:rsidR="00E02A94" w:rsidRPr="007523B5" w:rsidRDefault="00F7526F" w:rsidP="00CB0059">
            <w:pPr>
              <w:rPr>
                <w:sz w:val="22"/>
              </w:rPr>
            </w:pPr>
            <w:r>
              <w:rPr>
                <w:sz w:val="22"/>
              </w:rPr>
              <w:t>Amber</w:t>
            </w:r>
          </w:p>
        </w:tc>
        <w:tc>
          <w:tcPr>
            <w:tcW w:w="8031" w:type="dxa"/>
          </w:tcPr>
          <w:p w14:paraId="15C64851" w14:textId="738B531A" w:rsidR="00E02A94" w:rsidRDefault="00E02A94" w:rsidP="00CB0059">
            <w:pPr>
              <w:rPr>
                <w:sz w:val="22"/>
              </w:rPr>
            </w:pPr>
            <w:r w:rsidRPr="007523B5">
              <w:rPr>
                <w:sz w:val="22"/>
              </w:rPr>
              <w:t xml:space="preserve">Slight drop </w:t>
            </w:r>
            <w:r>
              <w:rPr>
                <w:sz w:val="22"/>
              </w:rPr>
              <w:t xml:space="preserve">in period </w:t>
            </w:r>
            <w:r w:rsidRPr="007523B5">
              <w:rPr>
                <w:sz w:val="22"/>
              </w:rPr>
              <w:t>due to review of space at Cupar</w:t>
            </w:r>
          </w:p>
        </w:tc>
      </w:tr>
      <w:tr w:rsidR="00E02A94" w14:paraId="4196B6CF" w14:textId="77777777" w:rsidTr="00261257">
        <w:trPr>
          <w:trHeight w:val="239"/>
        </w:trPr>
        <w:tc>
          <w:tcPr>
            <w:tcW w:w="3179" w:type="dxa"/>
          </w:tcPr>
          <w:p w14:paraId="0B9E4D0A" w14:textId="15A0E0BD" w:rsidR="00E02A94" w:rsidRPr="007523B5" w:rsidRDefault="00E02A94" w:rsidP="00261257">
            <w:pPr>
              <w:rPr>
                <w:sz w:val="22"/>
              </w:rPr>
            </w:pPr>
            <w:r w:rsidRPr="00261257">
              <w:rPr>
                <w:sz w:val="22"/>
              </w:rPr>
              <w:t xml:space="preserve">% of Implement Audit </w:t>
            </w:r>
          </w:p>
        </w:tc>
        <w:tc>
          <w:tcPr>
            <w:tcW w:w="939" w:type="dxa"/>
          </w:tcPr>
          <w:p w14:paraId="52FE31A7" w14:textId="10B902B6" w:rsidR="00E02A94" w:rsidRPr="007523B5" w:rsidRDefault="00E02A94" w:rsidP="00261257">
            <w:pPr>
              <w:rPr>
                <w:sz w:val="22"/>
              </w:rPr>
            </w:pPr>
            <w:r>
              <w:rPr>
                <w:sz w:val="22"/>
              </w:rPr>
              <w:t>77%</w:t>
            </w:r>
          </w:p>
        </w:tc>
        <w:tc>
          <w:tcPr>
            <w:tcW w:w="653" w:type="dxa"/>
            <w:shd w:val="clear" w:color="auto" w:fill="00B050"/>
          </w:tcPr>
          <w:p w14:paraId="7CC3B645" w14:textId="145BFEBF" w:rsidR="00E02A94" w:rsidRPr="007523B5" w:rsidRDefault="00F7526F" w:rsidP="00261257">
            <w:pPr>
              <w:rPr>
                <w:sz w:val="22"/>
              </w:rPr>
            </w:pPr>
            <w:r>
              <w:rPr>
                <w:sz w:val="22"/>
              </w:rPr>
              <w:t>Green</w:t>
            </w:r>
          </w:p>
        </w:tc>
        <w:tc>
          <w:tcPr>
            <w:tcW w:w="8031" w:type="dxa"/>
          </w:tcPr>
          <w:p w14:paraId="26BD273B" w14:textId="1EBC8A1C" w:rsidR="00E02A94" w:rsidRPr="007523B5" w:rsidRDefault="00E02A94" w:rsidP="00261257">
            <w:pPr>
              <w:rPr>
                <w:sz w:val="22"/>
              </w:rPr>
            </w:pPr>
            <w:r>
              <w:rPr>
                <w:sz w:val="22"/>
              </w:rPr>
              <w:t>Priority 1 rate is 86%</w:t>
            </w:r>
          </w:p>
        </w:tc>
      </w:tr>
      <w:tr w:rsidR="00E02A94" w14:paraId="56335984" w14:textId="77777777" w:rsidTr="00261257">
        <w:trPr>
          <w:trHeight w:val="239"/>
        </w:trPr>
        <w:tc>
          <w:tcPr>
            <w:tcW w:w="3179" w:type="dxa"/>
          </w:tcPr>
          <w:p w14:paraId="223CDD15" w14:textId="77777777" w:rsidR="00E02A94" w:rsidRPr="007523B5" w:rsidRDefault="00E02A94" w:rsidP="00525250">
            <w:pPr>
              <w:rPr>
                <w:sz w:val="22"/>
              </w:rPr>
            </w:pPr>
            <w:r w:rsidRPr="007523B5">
              <w:rPr>
                <w:sz w:val="22"/>
              </w:rPr>
              <w:t>Complaints</w:t>
            </w:r>
          </w:p>
        </w:tc>
        <w:tc>
          <w:tcPr>
            <w:tcW w:w="939" w:type="dxa"/>
          </w:tcPr>
          <w:p w14:paraId="13FA234E" w14:textId="77777777" w:rsidR="00E02A94" w:rsidRPr="007523B5" w:rsidRDefault="00E02A94" w:rsidP="00525250">
            <w:pPr>
              <w:rPr>
                <w:sz w:val="22"/>
              </w:rPr>
            </w:pPr>
            <w:r w:rsidRPr="007523B5">
              <w:rPr>
                <w:sz w:val="22"/>
              </w:rPr>
              <w:t>32</w:t>
            </w:r>
          </w:p>
        </w:tc>
        <w:tc>
          <w:tcPr>
            <w:tcW w:w="653" w:type="dxa"/>
            <w:shd w:val="clear" w:color="auto" w:fill="FFC000"/>
          </w:tcPr>
          <w:p w14:paraId="7E293568" w14:textId="4F54F1EE" w:rsidR="00E02A94" w:rsidRPr="007523B5" w:rsidRDefault="00F7526F" w:rsidP="00525250">
            <w:pPr>
              <w:rPr>
                <w:sz w:val="22"/>
              </w:rPr>
            </w:pPr>
            <w:r>
              <w:rPr>
                <w:sz w:val="22"/>
              </w:rPr>
              <w:t>Amber</w:t>
            </w:r>
          </w:p>
        </w:tc>
        <w:tc>
          <w:tcPr>
            <w:tcW w:w="8031" w:type="dxa"/>
          </w:tcPr>
          <w:p w14:paraId="39BB0173" w14:textId="5CB68338" w:rsidR="00E02A94" w:rsidRPr="007523B5" w:rsidRDefault="00E02A94" w:rsidP="00525250">
            <w:pPr>
              <w:rPr>
                <w:sz w:val="22"/>
              </w:rPr>
            </w:pPr>
            <w:r w:rsidRPr="007523B5">
              <w:rPr>
                <w:sz w:val="22"/>
              </w:rPr>
              <w:t>Around 75% still relate to Guga – numbers still high but reduced by two thirds</w:t>
            </w:r>
          </w:p>
        </w:tc>
      </w:tr>
      <w:tr w:rsidR="00E02A94" w14:paraId="47E82602" w14:textId="77777777" w:rsidTr="00261257">
        <w:trPr>
          <w:trHeight w:val="253"/>
        </w:trPr>
        <w:tc>
          <w:tcPr>
            <w:tcW w:w="3179" w:type="dxa"/>
          </w:tcPr>
          <w:p w14:paraId="0AFDF466" w14:textId="6A9F5590" w:rsidR="00E02A94" w:rsidRPr="007523B5" w:rsidRDefault="00E02A94" w:rsidP="00525250">
            <w:pPr>
              <w:rPr>
                <w:sz w:val="22"/>
              </w:rPr>
            </w:pPr>
            <w:r w:rsidRPr="005A47BC">
              <w:rPr>
                <w:sz w:val="22"/>
              </w:rPr>
              <w:t>FOI</w:t>
            </w:r>
          </w:p>
        </w:tc>
        <w:tc>
          <w:tcPr>
            <w:tcW w:w="939" w:type="dxa"/>
          </w:tcPr>
          <w:p w14:paraId="4B959F8E" w14:textId="77777777" w:rsidR="00E02A94" w:rsidRPr="007523B5" w:rsidRDefault="00E02A94" w:rsidP="00525250">
            <w:pPr>
              <w:rPr>
                <w:sz w:val="22"/>
              </w:rPr>
            </w:pPr>
            <w:r w:rsidRPr="007523B5">
              <w:rPr>
                <w:sz w:val="22"/>
              </w:rPr>
              <w:t>100</w:t>
            </w:r>
          </w:p>
        </w:tc>
        <w:tc>
          <w:tcPr>
            <w:tcW w:w="653" w:type="dxa"/>
            <w:shd w:val="clear" w:color="auto" w:fill="FF0000"/>
          </w:tcPr>
          <w:p w14:paraId="4616F4C2" w14:textId="44868813" w:rsidR="00E02A94" w:rsidRPr="007523B5" w:rsidRDefault="00F7526F" w:rsidP="00525250">
            <w:pPr>
              <w:rPr>
                <w:sz w:val="22"/>
              </w:rPr>
            </w:pPr>
            <w:r>
              <w:rPr>
                <w:sz w:val="22"/>
              </w:rPr>
              <w:t>Red</w:t>
            </w:r>
          </w:p>
        </w:tc>
        <w:tc>
          <w:tcPr>
            <w:tcW w:w="8031" w:type="dxa"/>
          </w:tcPr>
          <w:p w14:paraId="3ABB8B9F" w14:textId="68FC2285" w:rsidR="00E02A94" w:rsidRPr="007523B5" w:rsidRDefault="00E02A94" w:rsidP="00525250">
            <w:pPr>
              <w:rPr>
                <w:sz w:val="22"/>
              </w:rPr>
            </w:pPr>
            <w:r w:rsidRPr="007523B5">
              <w:rPr>
                <w:rFonts w:ascii="Calibri" w:hAnsi="Calibri" w:cs="Calibri"/>
                <w:sz w:val="22"/>
              </w:rPr>
              <w:t>A 27% increase in the quarter.</w:t>
            </w:r>
            <w:r w:rsidR="00D02ADF" w:rsidRPr="007523B5">
              <w:rPr>
                <w:rFonts w:ascii="Calibri" w:hAnsi="Calibri" w:cs="Calibri"/>
                <w:sz w:val="22"/>
              </w:rPr>
              <w:t xml:space="preserve"> Late to answer 4 requests.</w:t>
            </w:r>
          </w:p>
        </w:tc>
      </w:tr>
    </w:tbl>
    <w:p w14:paraId="1ED66712" w14:textId="77777777" w:rsidR="005A47BC" w:rsidRPr="0096019C" w:rsidRDefault="005A47BC" w:rsidP="009C29B2"/>
    <w:sectPr w:rsidR="005A47BC" w:rsidRPr="0096019C" w:rsidSect="00FE0971">
      <w:footerReference w:type="default" r:id="rId24"/>
      <w:pgSz w:w="16838" w:h="11906" w:orient="landscape"/>
      <w:pgMar w:top="1440" w:right="99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5F0D7" w14:textId="77777777" w:rsidR="00CF4FD1" w:rsidRDefault="00CF4FD1" w:rsidP="00204D20">
      <w:pPr>
        <w:spacing w:after="0" w:line="240" w:lineRule="auto"/>
      </w:pPr>
      <w:r>
        <w:separator/>
      </w:r>
    </w:p>
  </w:endnote>
  <w:endnote w:type="continuationSeparator" w:id="0">
    <w:p w14:paraId="69028E34" w14:textId="77777777" w:rsidR="00CF4FD1" w:rsidRDefault="00CF4FD1" w:rsidP="0020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6976" w14:textId="77777777" w:rsidR="00C75BB4" w:rsidRDefault="00C75BB4">
    <w:pPr>
      <w:pStyle w:val="Footer"/>
      <w:jc w:val="center"/>
    </w:pPr>
  </w:p>
  <w:p w14:paraId="15BE90C9" w14:textId="77777777" w:rsidR="00C75BB4" w:rsidRDefault="00C75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F3E2B" w14:textId="77777777" w:rsidR="006A739A" w:rsidRDefault="006A739A" w:rsidP="00B158B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A31F" w14:textId="77777777" w:rsidR="00CF4FD1" w:rsidRDefault="00CF4FD1" w:rsidP="00204D20">
      <w:pPr>
        <w:spacing w:after="0" w:line="240" w:lineRule="auto"/>
      </w:pPr>
      <w:r>
        <w:separator/>
      </w:r>
    </w:p>
  </w:footnote>
  <w:footnote w:type="continuationSeparator" w:id="0">
    <w:p w14:paraId="52D6DC6A" w14:textId="77777777" w:rsidR="00CF4FD1" w:rsidRDefault="00CF4FD1" w:rsidP="0020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DE568" w14:textId="4780A05A" w:rsidR="00C25232" w:rsidRPr="00C25232" w:rsidRDefault="00C25232" w:rsidP="00C25232">
    <w:pPr>
      <w:pStyle w:val="Header"/>
      <w:jc w:val="right"/>
      <w:rPr>
        <w:b/>
        <w:bCs/>
      </w:rPr>
    </w:pPr>
    <w:bookmarkStart w:id="1" w:name="_Hlk220504747"/>
    <w:bookmarkStart w:id="2" w:name="_Hlk220504748"/>
    <w:bookmarkStart w:id="3" w:name="_Hlk220504749"/>
    <w:bookmarkStart w:id="4" w:name="_Hlk220504750"/>
    <w:bookmarkStart w:id="5" w:name="_Hlk220504751"/>
    <w:bookmarkStart w:id="6" w:name="_Hlk220504752"/>
    <w:r w:rsidRPr="00C25232">
      <w:rPr>
        <w:b/>
        <w:bCs/>
      </w:rPr>
      <w:t>BOARD/224/09</w:t>
    </w:r>
    <w:bookmarkEnd w:id="1"/>
    <w:bookmarkEnd w:id="2"/>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2AF1B" w14:textId="77777777" w:rsidR="00C25232" w:rsidRPr="00C25232" w:rsidRDefault="00C25232" w:rsidP="00C25232">
    <w:pPr>
      <w:tabs>
        <w:tab w:val="center" w:pos="4513"/>
        <w:tab w:val="right" w:pos="9026"/>
      </w:tabs>
      <w:spacing w:after="0" w:line="240" w:lineRule="auto"/>
      <w:jc w:val="right"/>
      <w:rPr>
        <w:b/>
        <w:bCs/>
      </w:rPr>
    </w:pPr>
    <w:r w:rsidRPr="00C25232">
      <w:rPr>
        <w:b/>
        <w:bCs/>
      </w:rPr>
      <w:t>BOARD/224/09</w:t>
    </w:r>
  </w:p>
  <w:p w14:paraId="5B4F3407" w14:textId="088BD6E6" w:rsidR="00701DEB" w:rsidRPr="00701DEB" w:rsidRDefault="00701DEB" w:rsidP="00701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4DE"/>
    <w:multiLevelType w:val="hybridMultilevel"/>
    <w:tmpl w:val="AF829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E3754"/>
    <w:multiLevelType w:val="hybridMultilevel"/>
    <w:tmpl w:val="AFCCA154"/>
    <w:lvl w:ilvl="0" w:tplc="0809000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1440BC"/>
    <w:multiLevelType w:val="hybridMultilevel"/>
    <w:tmpl w:val="44A00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A0FD3"/>
    <w:multiLevelType w:val="hybridMultilevel"/>
    <w:tmpl w:val="29E8EF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053C80"/>
    <w:multiLevelType w:val="hybridMultilevel"/>
    <w:tmpl w:val="96C6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353DD"/>
    <w:multiLevelType w:val="hybridMultilevel"/>
    <w:tmpl w:val="1F92AE4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5D3B7A"/>
    <w:multiLevelType w:val="hybridMultilevel"/>
    <w:tmpl w:val="8F728F12"/>
    <w:lvl w:ilvl="0" w:tplc="FFFFFFFF">
      <w:start w:val="1"/>
      <w:numFmt w:val="decimal"/>
      <w:lvlText w:val="%1."/>
      <w:lvlJc w:val="left"/>
      <w:pPr>
        <w:ind w:left="360" w:hanging="360"/>
      </w:pPr>
      <w:rPr>
        <w:rFonts w:hint="default"/>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40057B4"/>
    <w:multiLevelType w:val="hybridMultilevel"/>
    <w:tmpl w:val="9D88E2DC"/>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8C43010"/>
    <w:multiLevelType w:val="hybridMultilevel"/>
    <w:tmpl w:val="E57EC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2C5B5C"/>
    <w:multiLevelType w:val="hybridMultilevel"/>
    <w:tmpl w:val="D230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026D72"/>
    <w:multiLevelType w:val="hybridMultilevel"/>
    <w:tmpl w:val="5E46246A"/>
    <w:lvl w:ilvl="0" w:tplc="E51630A8">
      <w:start w:val="1"/>
      <w:numFmt w:val="decimal"/>
      <w:lvlText w:val="%1."/>
      <w:lvlJc w:val="left"/>
      <w:pPr>
        <w:ind w:left="357" w:hanging="357"/>
      </w:pPr>
      <w:rPr>
        <w:rFonts w:eastAsiaTheme="minorHAnsi"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C27720"/>
    <w:multiLevelType w:val="multilevel"/>
    <w:tmpl w:val="9C2835F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9C7627"/>
    <w:multiLevelType w:val="hybridMultilevel"/>
    <w:tmpl w:val="09462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8A6FBD"/>
    <w:multiLevelType w:val="multilevel"/>
    <w:tmpl w:val="FEB861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4B469D7"/>
    <w:multiLevelType w:val="hybridMultilevel"/>
    <w:tmpl w:val="6FF2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0D59C9"/>
    <w:multiLevelType w:val="hybridMultilevel"/>
    <w:tmpl w:val="61DE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503D55"/>
    <w:multiLevelType w:val="hybridMultilevel"/>
    <w:tmpl w:val="468CB606"/>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103F2E"/>
    <w:multiLevelType w:val="hybridMultilevel"/>
    <w:tmpl w:val="D0C486D0"/>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36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01F0D86"/>
    <w:multiLevelType w:val="multilevel"/>
    <w:tmpl w:val="8834B4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E560E"/>
    <w:multiLevelType w:val="hybridMultilevel"/>
    <w:tmpl w:val="0480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14254"/>
    <w:multiLevelType w:val="hybridMultilevel"/>
    <w:tmpl w:val="C7883FD6"/>
    <w:lvl w:ilvl="0" w:tplc="AC8610AC">
      <w:start w:val="1"/>
      <w:numFmt w:val="decimal"/>
      <w:lvlText w:val="%1."/>
      <w:lvlJc w:val="left"/>
      <w:pPr>
        <w:ind w:left="360" w:hanging="360"/>
      </w:pPr>
      <w:rPr>
        <w:rFonts w:hint="default"/>
      </w:rPr>
    </w:lvl>
    <w:lvl w:ilvl="1" w:tplc="FFFFFFFF">
      <w:start w:val="1"/>
      <w:numFmt w:val="bullet"/>
      <w:lvlText w:val=""/>
      <w:lvlJc w:val="left"/>
      <w:pPr>
        <w:ind w:left="1080" w:hanging="360"/>
      </w:pPr>
      <w:rPr>
        <w:rFonts w:ascii="Symbol" w:hAnsi="Symbol" w:hint="default"/>
        <w:color w:val="auto"/>
        <w:sz w:val="24"/>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58B7B38"/>
    <w:multiLevelType w:val="hybridMultilevel"/>
    <w:tmpl w:val="73E44AF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F0D6A"/>
    <w:multiLevelType w:val="multilevel"/>
    <w:tmpl w:val="79A89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2F820AF"/>
    <w:multiLevelType w:val="hybridMultilevel"/>
    <w:tmpl w:val="4C3040C4"/>
    <w:lvl w:ilvl="0" w:tplc="0809000F">
      <w:start w:val="1"/>
      <w:numFmt w:val="decimal"/>
      <w:lvlText w:val="%1."/>
      <w:lvlJc w:val="left"/>
      <w:pPr>
        <w:ind w:left="360" w:hanging="360"/>
      </w:pPr>
      <w:rPr>
        <w:rFonts w:hint="default"/>
      </w:rPr>
    </w:lvl>
    <w:lvl w:ilvl="1" w:tplc="91A63402">
      <w:start w:val="1"/>
      <w:numFmt w:val="bullet"/>
      <w:lvlText w:val=""/>
      <w:lvlJc w:val="left"/>
      <w:pPr>
        <w:ind w:left="1080" w:hanging="360"/>
      </w:pPr>
      <w:rPr>
        <w:rFonts w:ascii="Symbol" w:hAnsi="Symbol" w:hint="default"/>
        <w:color w:val="auto"/>
        <w:sz w:val="24"/>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F161BE"/>
    <w:multiLevelType w:val="hybridMultilevel"/>
    <w:tmpl w:val="1ED6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9563F"/>
    <w:multiLevelType w:val="hybridMultilevel"/>
    <w:tmpl w:val="A7AE6BBC"/>
    <w:lvl w:ilvl="0" w:tplc="08090001">
      <w:start w:val="1"/>
      <w:numFmt w:val="bullet"/>
      <w:lvlText w:val=""/>
      <w:lvlJc w:val="left"/>
      <w:pPr>
        <w:ind w:left="720" w:hanging="360"/>
      </w:pPr>
      <w:rPr>
        <w:rFonts w:ascii="Symbol" w:hAnsi="Symbol" w:hint="default"/>
        <w:b w:val="0"/>
        <w:bCs/>
        <w:color w:val="auto"/>
        <w:sz w:val="24"/>
        <w:szCs w:val="24"/>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18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AA2601"/>
    <w:multiLevelType w:val="hybridMultilevel"/>
    <w:tmpl w:val="2368CE92"/>
    <w:lvl w:ilvl="0" w:tplc="3D903F10">
      <w:start w:val="1"/>
      <w:numFmt w:val="decimal"/>
      <w:lvlText w:val="%1."/>
      <w:lvlJc w:val="left"/>
      <w:pPr>
        <w:ind w:left="360" w:hanging="360"/>
      </w:pPr>
      <w:rPr>
        <w:b w:val="0"/>
        <w:bCs/>
        <w:color w:val="auto"/>
        <w:sz w:val="24"/>
        <w:szCs w:val="24"/>
      </w:rPr>
    </w:lvl>
    <w:lvl w:ilvl="1" w:tplc="08090001">
      <w:start w:val="1"/>
      <w:numFmt w:val="bullet"/>
      <w:lvlText w:val=""/>
      <w:lvlJc w:val="left"/>
      <w:pPr>
        <w:ind w:left="1080" w:hanging="360"/>
      </w:pPr>
      <w:rPr>
        <w:rFonts w:ascii="Symbol" w:hAnsi="Symbol" w:hint="default"/>
      </w:r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2E6FF1"/>
    <w:multiLevelType w:val="hybridMultilevel"/>
    <w:tmpl w:val="9FFE5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C1021B"/>
    <w:multiLevelType w:val="hybridMultilevel"/>
    <w:tmpl w:val="E94A5CD4"/>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C51B24"/>
    <w:multiLevelType w:val="hybridMultilevel"/>
    <w:tmpl w:val="B05C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A65AC"/>
    <w:multiLevelType w:val="hybridMultilevel"/>
    <w:tmpl w:val="9D323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A45A4D"/>
    <w:multiLevelType w:val="hybridMultilevel"/>
    <w:tmpl w:val="13A64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972F6"/>
    <w:multiLevelType w:val="hybridMultilevel"/>
    <w:tmpl w:val="513AA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C61BDD"/>
    <w:multiLevelType w:val="hybridMultilevel"/>
    <w:tmpl w:val="5B149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B676D36"/>
    <w:multiLevelType w:val="hybridMultilevel"/>
    <w:tmpl w:val="1EC25E52"/>
    <w:lvl w:ilvl="0" w:tplc="5A68DFC2">
      <w:start w:val="1"/>
      <w:numFmt w:val="lowerLetter"/>
      <w:lvlText w:val="%1)"/>
      <w:lvlJc w:val="left"/>
      <w:pPr>
        <w:ind w:left="720" w:hanging="360"/>
      </w:pPr>
      <w:rPr>
        <w:rFonts w:ascii="Calibri" w:hAnsi="Calibr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780921"/>
    <w:multiLevelType w:val="hybridMultilevel"/>
    <w:tmpl w:val="C42AF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E085FE4"/>
    <w:multiLevelType w:val="hybridMultilevel"/>
    <w:tmpl w:val="D3C4B402"/>
    <w:lvl w:ilvl="0" w:tplc="08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16453616">
    <w:abstractNumId w:val="26"/>
  </w:num>
  <w:num w:numId="2" w16cid:durableId="50468213">
    <w:abstractNumId w:val="5"/>
  </w:num>
  <w:num w:numId="3" w16cid:durableId="596523121">
    <w:abstractNumId w:val="2"/>
  </w:num>
  <w:num w:numId="4" w16cid:durableId="1667593763">
    <w:abstractNumId w:val="11"/>
  </w:num>
  <w:num w:numId="5" w16cid:durableId="87386909">
    <w:abstractNumId w:val="18"/>
  </w:num>
  <w:num w:numId="6" w16cid:durableId="1398239645">
    <w:abstractNumId w:val="27"/>
  </w:num>
  <w:num w:numId="7" w16cid:durableId="1654261615">
    <w:abstractNumId w:val="7"/>
  </w:num>
  <w:num w:numId="8" w16cid:durableId="806168144">
    <w:abstractNumId w:val="0"/>
  </w:num>
  <w:num w:numId="9" w16cid:durableId="803502882">
    <w:abstractNumId w:val="3"/>
  </w:num>
  <w:num w:numId="10" w16cid:durableId="1640649898">
    <w:abstractNumId w:val="16"/>
  </w:num>
  <w:num w:numId="11" w16cid:durableId="2104567325">
    <w:abstractNumId w:val="28"/>
  </w:num>
  <w:num w:numId="12" w16cid:durableId="1335689745">
    <w:abstractNumId w:val="34"/>
  </w:num>
  <w:num w:numId="13" w16cid:durableId="1201474809">
    <w:abstractNumId w:val="1"/>
  </w:num>
  <w:num w:numId="14" w16cid:durableId="402289971">
    <w:abstractNumId w:val="17"/>
  </w:num>
  <w:num w:numId="15" w16cid:durableId="1832524296">
    <w:abstractNumId w:val="6"/>
  </w:num>
  <w:num w:numId="16" w16cid:durableId="578952733">
    <w:abstractNumId w:val="35"/>
  </w:num>
  <w:num w:numId="17" w16cid:durableId="1878662575">
    <w:abstractNumId w:val="36"/>
  </w:num>
  <w:num w:numId="18" w16cid:durableId="445807647">
    <w:abstractNumId w:val="33"/>
  </w:num>
  <w:num w:numId="19" w16cid:durableId="1672634730">
    <w:abstractNumId w:val="30"/>
  </w:num>
  <w:num w:numId="20" w16cid:durableId="703674657">
    <w:abstractNumId w:val="31"/>
  </w:num>
  <w:num w:numId="21" w16cid:durableId="19293817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25576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2023543">
    <w:abstractNumId w:val="24"/>
  </w:num>
  <w:num w:numId="24" w16cid:durableId="730612310">
    <w:abstractNumId w:val="4"/>
  </w:num>
  <w:num w:numId="25" w16cid:durableId="464933382">
    <w:abstractNumId w:val="32"/>
  </w:num>
  <w:num w:numId="26" w16cid:durableId="1260484230">
    <w:abstractNumId w:val="15"/>
  </w:num>
  <w:num w:numId="27" w16cid:durableId="389231011">
    <w:abstractNumId w:val="29"/>
  </w:num>
  <w:num w:numId="28" w16cid:durableId="1429546991">
    <w:abstractNumId w:val="9"/>
  </w:num>
  <w:num w:numId="29" w16cid:durableId="1982686436">
    <w:abstractNumId w:val="21"/>
  </w:num>
  <w:num w:numId="30" w16cid:durableId="826945251">
    <w:abstractNumId w:val="10"/>
  </w:num>
  <w:num w:numId="31" w16cid:durableId="1516578723">
    <w:abstractNumId w:val="19"/>
  </w:num>
  <w:num w:numId="32" w16cid:durableId="1795827441">
    <w:abstractNumId w:val="8"/>
  </w:num>
  <w:num w:numId="33" w16cid:durableId="1399551468">
    <w:abstractNumId w:val="12"/>
  </w:num>
  <w:num w:numId="34" w16cid:durableId="1677995983">
    <w:abstractNumId w:val="25"/>
  </w:num>
  <w:num w:numId="35" w16cid:durableId="1867254023">
    <w:abstractNumId w:val="23"/>
  </w:num>
  <w:num w:numId="36" w16cid:durableId="1463113212">
    <w:abstractNumId w:val="20"/>
  </w:num>
  <w:num w:numId="37" w16cid:durableId="1691640436">
    <w:abstractNumId w:val="14"/>
  </w:num>
  <w:num w:numId="38" w16cid:durableId="555360203">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20"/>
    <w:rsid w:val="000017AB"/>
    <w:rsid w:val="00002465"/>
    <w:rsid w:val="00002EB2"/>
    <w:rsid w:val="000046A4"/>
    <w:rsid w:val="000048EA"/>
    <w:rsid w:val="00004E77"/>
    <w:rsid w:val="00004FEA"/>
    <w:rsid w:val="000057CA"/>
    <w:rsid w:val="00006B61"/>
    <w:rsid w:val="00006BDB"/>
    <w:rsid w:val="0000754E"/>
    <w:rsid w:val="000075A4"/>
    <w:rsid w:val="00007828"/>
    <w:rsid w:val="00010393"/>
    <w:rsid w:val="0001158B"/>
    <w:rsid w:val="00011E4C"/>
    <w:rsid w:val="000131EE"/>
    <w:rsid w:val="00014497"/>
    <w:rsid w:val="00015238"/>
    <w:rsid w:val="00020415"/>
    <w:rsid w:val="00020D88"/>
    <w:rsid w:val="00022898"/>
    <w:rsid w:val="000229E0"/>
    <w:rsid w:val="00023C29"/>
    <w:rsid w:val="00023EF6"/>
    <w:rsid w:val="00024233"/>
    <w:rsid w:val="00024326"/>
    <w:rsid w:val="000249D0"/>
    <w:rsid w:val="00025C49"/>
    <w:rsid w:val="00026ACE"/>
    <w:rsid w:val="00027507"/>
    <w:rsid w:val="00030902"/>
    <w:rsid w:val="00030D53"/>
    <w:rsid w:val="00031929"/>
    <w:rsid w:val="00034113"/>
    <w:rsid w:val="000368AA"/>
    <w:rsid w:val="0004006B"/>
    <w:rsid w:val="000402DB"/>
    <w:rsid w:val="00040C0B"/>
    <w:rsid w:val="00040D72"/>
    <w:rsid w:val="000411A0"/>
    <w:rsid w:val="00041A5C"/>
    <w:rsid w:val="00042CC9"/>
    <w:rsid w:val="00042CEF"/>
    <w:rsid w:val="000439AC"/>
    <w:rsid w:val="00043F84"/>
    <w:rsid w:val="0004428F"/>
    <w:rsid w:val="00044CCB"/>
    <w:rsid w:val="00044D57"/>
    <w:rsid w:val="00044F55"/>
    <w:rsid w:val="00047113"/>
    <w:rsid w:val="000473F6"/>
    <w:rsid w:val="0005056A"/>
    <w:rsid w:val="00051324"/>
    <w:rsid w:val="000535DB"/>
    <w:rsid w:val="00053D01"/>
    <w:rsid w:val="00054BCF"/>
    <w:rsid w:val="000550A2"/>
    <w:rsid w:val="00055D52"/>
    <w:rsid w:val="00055E59"/>
    <w:rsid w:val="00056042"/>
    <w:rsid w:val="00056670"/>
    <w:rsid w:val="00057057"/>
    <w:rsid w:val="00057190"/>
    <w:rsid w:val="0005795C"/>
    <w:rsid w:val="00057D11"/>
    <w:rsid w:val="000602A3"/>
    <w:rsid w:val="00061590"/>
    <w:rsid w:val="00061BC9"/>
    <w:rsid w:val="00062629"/>
    <w:rsid w:val="00063B37"/>
    <w:rsid w:val="000652E6"/>
    <w:rsid w:val="00065524"/>
    <w:rsid w:val="00065BA3"/>
    <w:rsid w:val="00065F53"/>
    <w:rsid w:val="00067123"/>
    <w:rsid w:val="00070284"/>
    <w:rsid w:val="00070493"/>
    <w:rsid w:val="000720BA"/>
    <w:rsid w:val="00072349"/>
    <w:rsid w:val="00073008"/>
    <w:rsid w:val="00075F02"/>
    <w:rsid w:val="0007662F"/>
    <w:rsid w:val="00076983"/>
    <w:rsid w:val="00080412"/>
    <w:rsid w:val="00080862"/>
    <w:rsid w:val="000820AF"/>
    <w:rsid w:val="000820F1"/>
    <w:rsid w:val="0008288A"/>
    <w:rsid w:val="000837C9"/>
    <w:rsid w:val="00084054"/>
    <w:rsid w:val="00087704"/>
    <w:rsid w:val="00087911"/>
    <w:rsid w:val="00087B69"/>
    <w:rsid w:val="000913D4"/>
    <w:rsid w:val="00091D91"/>
    <w:rsid w:val="000920B2"/>
    <w:rsid w:val="00092FC8"/>
    <w:rsid w:val="000936B1"/>
    <w:rsid w:val="000938C9"/>
    <w:rsid w:val="00093C9E"/>
    <w:rsid w:val="00093EE0"/>
    <w:rsid w:val="00095F93"/>
    <w:rsid w:val="00096E1C"/>
    <w:rsid w:val="000A008A"/>
    <w:rsid w:val="000A0BF6"/>
    <w:rsid w:val="000A2E08"/>
    <w:rsid w:val="000A2F3C"/>
    <w:rsid w:val="000A51DE"/>
    <w:rsid w:val="000A64A8"/>
    <w:rsid w:val="000B000C"/>
    <w:rsid w:val="000B120E"/>
    <w:rsid w:val="000B1B06"/>
    <w:rsid w:val="000B2014"/>
    <w:rsid w:val="000B2595"/>
    <w:rsid w:val="000B2C17"/>
    <w:rsid w:val="000B4361"/>
    <w:rsid w:val="000B4710"/>
    <w:rsid w:val="000B493E"/>
    <w:rsid w:val="000B5AD5"/>
    <w:rsid w:val="000C0C63"/>
    <w:rsid w:val="000C2B93"/>
    <w:rsid w:val="000C2C51"/>
    <w:rsid w:val="000C2E85"/>
    <w:rsid w:val="000C3E41"/>
    <w:rsid w:val="000C5A34"/>
    <w:rsid w:val="000C6311"/>
    <w:rsid w:val="000C67BC"/>
    <w:rsid w:val="000C6D69"/>
    <w:rsid w:val="000D0BF7"/>
    <w:rsid w:val="000D0DD8"/>
    <w:rsid w:val="000D2372"/>
    <w:rsid w:val="000D297A"/>
    <w:rsid w:val="000D3E64"/>
    <w:rsid w:val="000D555D"/>
    <w:rsid w:val="000D5794"/>
    <w:rsid w:val="000D6138"/>
    <w:rsid w:val="000D7515"/>
    <w:rsid w:val="000D7F59"/>
    <w:rsid w:val="000E0313"/>
    <w:rsid w:val="000E0C76"/>
    <w:rsid w:val="000E1F01"/>
    <w:rsid w:val="000E395B"/>
    <w:rsid w:val="000E47B7"/>
    <w:rsid w:val="000E6545"/>
    <w:rsid w:val="000E7016"/>
    <w:rsid w:val="000E771F"/>
    <w:rsid w:val="000F1517"/>
    <w:rsid w:val="000F18FB"/>
    <w:rsid w:val="000F211B"/>
    <w:rsid w:val="000F2456"/>
    <w:rsid w:val="000F2F44"/>
    <w:rsid w:val="000F4686"/>
    <w:rsid w:val="000F5532"/>
    <w:rsid w:val="00101278"/>
    <w:rsid w:val="001015F1"/>
    <w:rsid w:val="0010312D"/>
    <w:rsid w:val="001033FB"/>
    <w:rsid w:val="00103CF8"/>
    <w:rsid w:val="001043CE"/>
    <w:rsid w:val="001046A5"/>
    <w:rsid w:val="001053C5"/>
    <w:rsid w:val="00105B95"/>
    <w:rsid w:val="00105CBE"/>
    <w:rsid w:val="00106424"/>
    <w:rsid w:val="001067E8"/>
    <w:rsid w:val="00107243"/>
    <w:rsid w:val="00107E06"/>
    <w:rsid w:val="001112E3"/>
    <w:rsid w:val="00111B84"/>
    <w:rsid w:val="0011228E"/>
    <w:rsid w:val="001126C6"/>
    <w:rsid w:val="0011387D"/>
    <w:rsid w:val="001146D6"/>
    <w:rsid w:val="00114E45"/>
    <w:rsid w:val="0011589B"/>
    <w:rsid w:val="00116039"/>
    <w:rsid w:val="001160F9"/>
    <w:rsid w:val="001173CE"/>
    <w:rsid w:val="00120B7F"/>
    <w:rsid w:val="00121ACF"/>
    <w:rsid w:val="001226E7"/>
    <w:rsid w:val="00122FA0"/>
    <w:rsid w:val="00123FC7"/>
    <w:rsid w:val="00124214"/>
    <w:rsid w:val="00124639"/>
    <w:rsid w:val="00127486"/>
    <w:rsid w:val="001317CE"/>
    <w:rsid w:val="00131B9F"/>
    <w:rsid w:val="00131BD2"/>
    <w:rsid w:val="001328B2"/>
    <w:rsid w:val="00133656"/>
    <w:rsid w:val="00135003"/>
    <w:rsid w:val="001362AF"/>
    <w:rsid w:val="0013690B"/>
    <w:rsid w:val="00136B5E"/>
    <w:rsid w:val="00141636"/>
    <w:rsid w:val="00141C4D"/>
    <w:rsid w:val="00141D2A"/>
    <w:rsid w:val="001428C1"/>
    <w:rsid w:val="0014395C"/>
    <w:rsid w:val="00143C54"/>
    <w:rsid w:val="001441A1"/>
    <w:rsid w:val="00145331"/>
    <w:rsid w:val="00146276"/>
    <w:rsid w:val="00146CDB"/>
    <w:rsid w:val="00150C7B"/>
    <w:rsid w:val="001517CD"/>
    <w:rsid w:val="00152035"/>
    <w:rsid w:val="00152549"/>
    <w:rsid w:val="00152EAE"/>
    <w:rsid w:val="001530FB"/>
    <w:rsid w:val="00154009"/>
    <w:rsid w:val="001541DE"/>
    <w:rsid w:val="00154FDE"/>
    <w:rsid w:val="00155D40"/>
    <w:rsid w:val="00155F55"/>
    <w:rsid w:val="00157C3B"/>
    <w:rsid w:val="00160596"/>
    <w:rsid w:val="00160B08"/>
    <w:rsid w:val="00160D05"/>
    <w:rsid w:val="00162DE7"/>
    <w:rsid w:val="00165273"/>
    <w:rsid w:val="00166111"/>
    <w:rsid w:val="00167067"/>
    <w:rsid w:val="0017054F"/>
    <w:rsid w:val="00171B99"/>
    <w:rsid w:val="00171C80"/>
    <w:rsid w:val="0017275A"/>
    <w:rsid w:val="001743AF"/>
    <w:rsid w:val="00174CD1"/>
    <w:rsid w:val="00174E38"/>
    <w:rsid w:val="001753AB"/>
    <w:rsid w:val="00175E33"/>
    <w:rsid w:val="0017625A"/>
    <w:rsid w:val="0017701F"/>
    <w:rsid w:val="00177240"/>
    <w:rsid w:val="00177DAA"/>
    <w:rsid w:val="00180181"/>
    <w:rsid w:val="00180257"/>
    <w:rsid w:val="00180BAC"/>
    <w:rsid w:val="001810BD"/>
    <w:rsid w:val="001832A6"/>
    <w:rsid w:val="00183C38"/>
    <w:rsid w:val="00183F41"/>
    <w:rsid w:val="001846E2"/>
    <w:rsid w:val="001878EC"/>
    <w:rsid w:val="0019053B"/>
    <w:rsid w:val="001937E0"/>
    <w:rsid w:val="0019392B"/>
    <w:rsid w:val="00193EA5"/>
    <w:rsid w:val="00194645"/>
    <w:rsid w:val="00195EB1"/>
    <w:rsid w:val="001960D7"/>
    <w:rsid w:val="00197293"/>
    <w:rsid w:val="001A0BBB"/>
    <w:rsid w:val="001A17E0"/>
    <w:rsid w:val="001A26E8"/>
    <w:rsid w:val="001A4580"/>
    <w:rsid w:val="001A5102"/>
    <w:rsid w:val="001A5C1D"/>
    <w:rsid w:val="001A5CB3"/>
    <w:rsid w:val="001A5F20"/>
    <w:rsid w:val="001A6025"/>
    <w:rsid w:val="001A6096"/>
    <w:rsid w:val="001A7DC4"/>
    <w:rsid w:val="001B0C0D"/>
    <w:rsid w:val="001B3CEF"/>
    <w:rsid w:val="001B452F"/>
    <w:rsid w:val="001B6867"/>
    <w:rsid w:val="001B785B"/>
    <w:rsid w:val="001B7A15"/>
    <w:rsid w:val="001C009C"/>
    <w:rsid w:val="001C01B2"/>
    <w:rsid w:val="001C0792"/>
    <w:rsid w:val="001C0910"/>
    <w:rsid w:val="001C0D45"/>
    <w:rsid w:val="001C1825"/>
    <w:rsid w:val="001C1C7A"/>
    <w:rsid w:val="001C3132"/>
    <w:rsid w:val="001C3DD5"/>
    <w:rsid w:val="001C4790"/>
    <w:rsid w:val="001C722B"/>
    <w:rsid w:val="001D0028"/>
    <w:rsid w:val="001D0490"/>
    <w:rsid w:val="001D08B3"/>
    <w:rsid w:val="001D2721"/>
    <w:rsid w:val="001D30F4"/>
    <w:rsid w:val="001D3DD6"/>
    <w:rsid w:val="001D47A4"/>
    <w:rsid w:val="001D5309"/>
    <w:rsid w:val="001E04AE"/>
    <w:rsid w:val="001E0618"/>
    <w:rsid w:val="001E0B42"/>
    <w:rsid w:val="001E1AFD"/>
    <w:rsid w:val="001E2A49"/>
    <w:rsid w:val="001E589B"/>
    <w:rsid w:val="001E5ABC"/>
    <w:rsid w:val="001E6923"/>
    <w:rsid w:val="001E6DB8"/>
    <w:rsid w:val="001F01A7"/>
    <w:rsid w:val="001F1D0F"/>
    <w:rsid w:val="001F21FE"/>
    <w:rsid w:val="001F4479"/>
    <w:rsid w:val="001F4594"/>
    <w:rsid w:val="001F4F66"/>
    <w:rsid w:val="001F7397"/>
    <w:rsid w:val="001F7773"/>
    <w:rsid w:val="00200570"/>
    <w:rsid w:val="00200DBC"/>
    <w:rsid w:val="00202841"/>
    <w:rsid w:val="00204D20"/>
    <w:rsid w:val="0020596F"/>
    <w:rsid w:val="00205B9A"/>
    <w:rsid w:val="00205C6C"/>
    <w:rsid w:val="002062E0"/>
    <w:rsid w:val="00206444"/>
    <w:rsid w:val="002069F8"/>
    <w:rsid w:val="00206A8E"/>
    <w:rsid w:val="00207344"/>
    <w:rsid w:val="00207565"/>
    <w:rsid w:val="002109CE"/>
    <w:rsid w:val="00210B4A"/>
    <w:rsid w:val="00212E87"/>
    <w:rsid w:val="002145D6"/>
    <w:rsid w:val="00214C83"/>
    <w:rsid w:val="00215EA3"/>
    <w:rsid w:val="0021659B"/>
    <w:rsid w:val="002168B3"/>
    <w:rsid w:val="00216D7B"/>
    <w:rsid w:val="00217883"/>
    <w:rsid w:val="00217896"/>
    <w:rsid w:val="00217A5A"/>
    <w:rsid w:val="00221195"/>
    <w:rsid w:val="00221666"/>
    <w:rsid w:val="00221E2B"/>
    <w:rsid w:val="00223927"/>
    <w:rsid w:val="00223C29"/>
    <w:rsid w:val="002240B9"/>
    <w:rsid w:val="002243FC"/>
    <w:rsid w:val="00224908"/>
    <w:rsid w:val="00224F32"/>
    <w:rsid w:val="00226B59"/>
    <w:rsid w:val="0022798B"/>
    <w:rsid w:val="0023014F"/>
    <w:rsid w:val="002318E3"/>
    <w:rsid w:val="00231E73"/>
    <w:rsid w:val="002341A1"/>
    <w:rsid w:val="002343E9"/>
    <w:rsid w:val="002347A1"/>
    <w:rsid w:val="00234E82"/>
    <w:rsid w:val="00236700"/>
    <w:rsid w:val="0024027D"/>
    <w:rsid w:val="00240918"/>
    <w:rsid w:val="00240A3B"/>
    <w:rsid w:val="00240F39"/>
    <w:rsid w:val="00241316"/>
    <w:rsid w:val="00242C9C"/>
    <w:rsid w:val="002438B6"/>
    <w:rsid w:val="0024639B"/>
    <w:rsid w:val="00246728"/>
    <w:rsid w:val="00247119"/>
    <w:rsid w:val="0024773F"/>
    <w:rsid w:val="00247A46"/>
    <w:rsid w:val="00250054"/>
    <w:rsid w:val="00252A73"/>
    <w:rsid w:val="00252B00"/>
    <w:rsid w:val="00252CDA"/>
    <w:rsid w:val="00253121"/>
    <w:rsid w:val="00256E0F"/>
    <w:rsid w:val="00256FE5"/>
    <w:rsid w:val="002576BF"/>
    <w:rsid w:val="00257A02"/>
    <w:rsid w:val="00257B62"/>
    <w:rsid w:val="00260D8C"/>
    <w:rsid w:val="00261257"/>
    <w:rsid w:val="00261272"/>
    <w:rsid w:val="002628E0"/>
    <w:rsid w:val="00262CE4"/>
    <w:rsid w:val="00264512"/>
    <w:rsid w:val="00265523"/>
    <w:rsid w:val="00265931"/>
    <w:rsid w:val="00266B03"/>
    <w:rsid w:val="002704C0"/>
    <w:rsid w:val="002709D6"/>
    <w:rsid w:val="00270F79"/>
    <w:rsid w:val="00271AB3"/>
    <w:rsid w:val="0027236F"/>
    <w:rsid w:val="00273107"/>
    <w:rsid w:val="00273E59"/>
    <w:rsid w:val="00274299"/>
    <w:rsid w:val="00275CCD"/>
    <w:rsid w:val="002775CA"/>
    <w:rsid w:val="00277F80"/>
    <w:rsid w:val="00280F03"/>
    <w:rsid w:val="00281DF5"/>
    <w:rsid w:val="00282A4C"/>
    <w:rsid w:val="00283F5C"/>
    <w:rsid w:val="002856FB"/>
    <w:rsid w:val="00286B98"/>
    <w:rsid w:val="00290215"/>
    <w:rsid w:val="002907ED"/>
    <w:rsid w:val="002918D7"/>
    <w:rsid w:val="002929E5"/>
    <w:rsid w:val="00294283"/>
    <w:rsid w:val="00294BAD"/>
    <w:rsid w:val="00294C71"/>
    <w:rsid w:val="00295D25"/>
    <w:rsid w:val="00297646"/>
    <w:rsid w:val="002976DD"/>
    <w:rsid w:val="00297EF0"/>
    <w:rsid w:val="00297FE0"/>
    <w:rsid w:val="002A1053"/>
    <w:rsid w:val="002A1BC1"/>
    <w:rsid w:val="002A3558"/>
    <w:rsid w:val="002A3C54"/>
    <w:rsid w:val="002A3F0E"/>
    <w:rsid w:val="002A4104"/>
    <w:rsid w:val="002A5968"/>
    <w:rsid w:val="002A7A0F"/>
    <w:rsid w:val="002B0601"/>
    <w:rsid w:val="002B4C6B"/>
    <w:rsid w:val="002B5230"/>
    <w:rsid w:val="002B5C1A"/>
    <w:rsid w:val="002B6135"/>
    <w:rsid w:val="002B6BB7"/>
    <w:rsid w:val="002B70A1"/>
    <w:rsid w:val="002B76C5"/>
    <w:rsid w:val="002B7ED3"/>
    <w:rsid w:val="002C0740"/>
    <w:rsid w:val="002C09F5"/>
    <w:rsid w:val="002C13BF"/>
    <w:rsid w:val="002C17F9"/>
    <w:rsid w:val="002C19CD"/>
    <w:rsid w:val="002C1DDB"/>
    <w:rsid w:val="002C2101"/>
    <w:rsid w:val="002C4E9F"/>
    <w:rsid w:val="002C5460"/>
    <w:rsid w:val="002D0A26"/>
    <w:rsid w:val="002D0A7D"/>
    <w:rsid w:val="002D1F9B"/>
    <w:rsid w:val="002D4D9D"/>
    <w:rsid w:val="002D6FBA"/>
    <w:rsid w:val="002E202A"/>
    <w:rsid w:val="002E27E2"/>
    <w:rsid w:val="002E3CEA"/>
    <w:rsid w:val="002E4208"/>
    <w:rsid w:val="002E52AA"/>
    <w:rsid w:val="002E53FA"/>
    <w:rsid w:val="002E5ECD"/>
    <w:rsid w:val="002E647F"/>
    <w:rsid w:val="002E6489"/>
    <w:rsid w:val="002E6B3A"/>
    <w:rsid w:val="002E7CE4"/>
    <w:rsid w:val="002F0224"/>
    <w:rsid w:val="002F06D7"/>
    <w:rsid w:val="002F1049"/>
    <w:rsid w:val="002F28D4"/>
    <w:rsid w:val="002F2C32"/>
    <w:rsid w:val="002F5947"/>
    <w:rsid w:val="002F5EDD"/>
    <w:rsid w:val="002F6661"/>
    <w:rsid w:val="002F786B"/>
    <w:rsid w:val="00300974"/>
    <w:rsid w:val="00300FEB"/>
    <w:rsid w:val="003011F1"/>
    <w:rsid w:val="00301D23"/>
    <w:rsid w:val="0030356B"/>
    <w:rsid w:val="00303F33"/>
    <w:rsid w:val="003043D4"/>
    <w:rsid w:val="00304855"/>
    <w:rsid w:val="0030547B"/>
    <w:rsid w:val="00305AB7"/>
    <w:rsid w:val="00305CA5"/>
    <w:rsid w:val="00307926"/>
    <w:rsid w:val="00307F1E"/>
    <w:rsid w:val="00310838"/>
    <w:rsid w:val="003123E4"/>
    <w:rsid w:val="00313599"/>
    <w:rsid w:val="00314095"/>
    <w:rsid w:val="00314D65"/>
    <w:rsid w:val="00314E25"/>
    <w:rsid w:val="0031508F"/>
    <w:rsid w:val="00315719"/>
    <w:rsid w:val="00315CF4"/>
    <w:rsid w:val="0031622C"/>
    <w:rsid w:val="003173A9"/>
    <w:rsid w:val="00317C9F"/>
    <w:rsid w:val="00317F22"/>
    <w:rsid w:val="00320835"/>
    <w:rsid w:val="00320CAE"/>
    <w:rsid w:val="00321D8B"/>
    <w:rsid w:val="00321FE8"/>
    <w:rsid w:val="0032221F"/>
    <w:rsid w:val="00322D98"/>
    <w:rsid w:val="00323118"/>
    <w:rsid w:val="0032429D"/>
    <w:rsid w:val="003252B4"/>
    <w:rsid w:val="003254E8"/>
    <w:rsid w:val="0032627F"/>
    <w:rsid w:val="00326EEA"/>
    <w:rsid w:val="003276C5"/>
    <w:rsid w:val="00330547"/>
    <w:rsid w:val="00331237"/>
    <w:rsid w:val="003318DF"/>
    <w:rsid w:val="003328AC"/>
    <w:rsid w:val="0033297B"/>
    <w:rsid w:val="00332E68"/>
    <w:rsid w:val="0033391B"/>
    <w:rsid w:val="003344F1"/>
    <w:rsid w:val="00334AFF"/>
    <w:rsid w:val="00335871"/>
    <w:rsid w:val="00336265"/>
    <w:rsid w:val="003362DC"/>
    <w:rsid w:val="003363AC"/>
    <w:rsid w:val="00337253"/>
    <w:rsid w:val="00340A79"/>
    <w:rsid w:val="00343D2A"/>
    <w:rsid w:val="00343E5C"/>
    <w:rsid w:val="00344912"/>
    <w:rsid w:val="003467B2"/>
    <w:rsid w:val="00347E3E"/>
    <w:rsid w:val="0035019C"/>
    <w:rsid w:val="00350526"/>
    <w:rsid w:val="0035101E"/>
    <w:rsid w:val="00351B08"/>
    <w:rsid w:val="00351F31"/>
    <w:rsid w:val="00351F7E"/>
    <w:rsid w:val="00352305"/>
    <w:rsid w:val="00352383"/>
    <w:rsid w:val="00353F88"/>
    <w:rsid w:val="00354B2C"/>
    <w:rsid w:val="003566CB"/>
    <w:rsid w:val="00356754"/>
    <w:rsid w:val="00357DA5"/>
    <w:rsid w:val="00357FB8"/>
    <w:rsid w:val="003610A8"/>
    <w:rsid w:val="00361550"/>
    <w:rsid w:val="003619DB"/>
    <w:rsid w:val="00361A92"/>
    <w:rsid w:val="00362AB1"/>
    <w:rsid w:val="00363127"/>
    <w:rsid w:val="003632BC"/>
    <w:rsid w:val="0036400C"/>
    <w:rsid w:val="0036463C"/>
    <w:rsid w:val="00365E1E"/>
    <w:rsid w:val="003665EE"/>
    <w:rsid w:val="00366E4B"/>
    <w:rsid w:val="003672E7"/>
    <w:rsid w:val="0036748C"/>
    <w:rsid w:val="0036767C"/>
    <w:rsid w:val="0037041C"/>
    <w:rsid w:val="00371D9E"/>
    <w:rsid w:val="00372220"/>
    <w:rsid w:val="00373426"/>
    <w:rsid w:val="00373ED6"/>
    <w:rsid w:val="00374167"/>
    <w:rsid w:val="0037422F"/>
    <w:rsid w:val="00374FAD"/>
    <w:rsid w:val="00375281"/>
    <w:rsid w:val="003753A7"/>
    <w:rsid w:val="0037756A"/>
    <w:rsid w:val="00377989"/>
    <w:rsid w:val="00381DC4"/>
    <w:rsid w:val="003820E6"/>
    <w:rsid w:val="0038302E"/>
    <w:rsid w:val="00383B4A"/>
    <w:rsid w:val="003850CA"/>
    <w:rsid w:val="003850F5"/>
    <w:rsid w:val="00386BF4"/>
    <w:rsid w:val="00387043"/>
    <w:rsid w:val="0038725F"/>
    <w:rsid w:val="003874ED"/>
    <w:rsid w:val="00387703"/>
    <w:rsid w:val="00387B1D"/>
    <w:rsid w:val="00387B92"/>
    <w:rsid w:val="0039061A"/>
    <w:rsid w:val="00392215"/>
    <w:rsid w:val="00392308"/>
    <w:rsid w:val="00392F0D"/>
    <w:rsid w:val="00393021"/>
    <w:rsid w:val="00394991"/>
    <w:rsid w:val="00394CE5"/>
    <w:rsid w:val="00395A9F"/>
    <w:rsid w:val="00397338"/>
    <w:rsid w:val="0039742D"/>
    <w:rsid w:val="00397D43"/>
    <w:rsid w:val="00397DEC"/>
    <w:rsid w:val="003A09F8"/>
    <w:rsid w:val="003A0BAA"/>
    <w:rsid w:val="003A1445"/>
    <w:rsid w:val="003A210C"/>
    <w:rsid w:val="003A2252"/>
    <w:rsid w:val="003A2B04"/>
    <w:rsid w:val="003A36FC"/>
    <w:rsid w:val="003A43C6"/>
    <w:rsid w:val="003A5820"/>
    <w:rsid w:val="003A6C37"/>
    <w:rsid w:val="003A6E93"/>
    <w:rsid w:val="003A7F5E"/>
    <w:rsid w:val="003B04D5"/>
    <w:rsid w:val="003B170D"/>
    <w:rsid w:val="003B1A4C"/>
    <w:rsid w:val="003B1C20"/>
    <w:rsid w:val="003B38D2"/>
    <w:rsid w:val="003B5D13"/>
    <w:rsid w:val="003C0B5D"/>
    <w:rsid w:val="003C3F48"/>
    <w:rsid w:val="003C5B5F"/>
    <w:rsid w:val="003C6239"/>
    <w:rsid w:val="003C6C3C"/>
    <w:rsid w:val="003D00DD"/>
    <w:rsid w:val="003D0460"/>
    <w:rsid w:val="003D0937"/>
    <w:rsid w:val="003D0A40"/>
    <w:rsid w:val="003D0C7B"/>
    <w:rsid w:val="003D2471"/>
    <w:rsid w:val="003D28CF"/>
    <w:rsid w:val="003D35ED"/>
    <w:rsid w:val="003D4DD4"/>
    <w:rsid w:val="003D6B74"/>
    <w:rsid w:val="003D6FC2"/>
    <w:rsid w:val="003E0207"/>
    <w:rsid w:val="003E02CB"/>
    <w:rsid w:val="003E064F"/>
    <w:rsid w:val="003E0AFA"/>
    <w:rsid w:val="003E1E84"/>
    <w:rsid w:val="003E22BB"/>
    <w:rsid w:val="003E3649"/>
    <w:rsid w:val="003E3917"/>
    <w:rsid w:val="003E3A4E"/>
    <w:rsid w:val="003E509E"/>
    <w:rsid w:val="003E74CD"/>
    <w:rsid w:val="003F42CB"/>
    <w:rsid w:val="003F42F1"/>
    <w:rsid w:val="003F5337"/>
    <w:rsid w:val="003F57BE"/>
    <w:rsid w:val="003F6B12"/>
    <w:rsid w:val="003F7E4C"/>
    <w:rsid w:val="004007E4"/>
    <w:rsid w:val="00400FD4"/>
    <w:rsid w:val="0040189B"/>
    <w:rsid w:val="004034B3"/>
    <w:rsid w:val="00403D67"/>
    <w:rsid w:val="00404636"/>
    <w:rsid w:val="004058F3"/>
    <w:rsid w:val="004071D4"/>
    <w:rsid w:val="004078BC"/>
    <w:rsid w:val="0040792C"/>
    <w:rsid w:val="00407C68"/>
    <w:rsid w:val="00410F47"/>
    <w:rsid w:val="004119B4"/>
    <w:rsid w:val="0041256E"/>
    <w:rsid w:val="004138F1"/>
    <w:rsid w:val="0041597D"/>
    <w:rsid w:val="00415B08"/>
    <w:rsid w:val="00417806"/>
    <w:rsid w:val="00420463"/>
    <w:rsid w:val="00420818"/>
    <w:rsid w:val="00420D6A"/>
    <w:rsid w:val="00421502"/>
    <w:rsid w:val="00422757"/>
    <w:rsid w:val="00423A38"/>
    <w:rsid w:val="004256C5"/>
    <w:rsid w:val="0042600B"/>
    <w:rsid w:val="004278C0"/>
    <w:rsid w:val="0043005C"/>
    <w:rsid w:val="0043201D"/>
    <w:rsid w:val="00432D87"/>
    <w:rsid w:val="00433927"/>
    <w:rsid w:val="0043402B"/>
    <w:rsid w:val="0043465F"/>
    <w:rsid w:val="00434EBB"/>
    <w:rsid w:val="004354D9"/>
    <w:rsid w:val="00435720"/>
    <w:rsid w:val="00436099"/>
    <w:rsid w:val="004369FE"/>
    <w:rsid w:val="00437108"/>
    <w:rsid w:val="00437897"/>
    <w:rsid w:val="00437B2D"/>
    <w:rsid w:val="00437CDD"/>
    <w:rsid w:val="00440662"/>
    <w:rsid w:val="004418B3"/>
    <w:rsid w:val="00441B5A"/>
    <w:rsid w:val="00443CB2"/>
    <w:rsid w:val="00444233"/>
    <w:rsid w:val="00445F0F"/>
    <w:rsid w:val="00446F16"/>
    <w:rsid w:val="00446FBF"/>
    <w:rsid w:val="00447069"/>
    <w:rsid w:val="004472AF"/>
    <w:rsid w:val="00450DA6"/>
    <w:rsid w:val="0045169F"/>
    <w:rsid w:val="004524E3"/>
    <w:rsid w:val="00453468"/>
    <w:rsid w:val="004549DF"/>
    <w:rsid w:val="00454B23"/>
    <w:rsid w:val="00455580"/>
    <w:rsid w:val="00457967"/>
    <w:rsid w:val="004602D8"/>
    <w:rsid w:val="00460391"/>
    <w:rsid w:val="00460AE0"/>
    <w:rsid w:val="004610B2"/>
    <w:rsid w:val="00462E39"/>
    <w:rsid w:val="00464840"/>
    <w:rsid w:val="004658C5"/>
    <w:rsid w:val="00465B18"/>
    <w:rsid w:val="0046619F"/>
    <w:rsid w:val="004665ED"/>
    <w:rsid w:val="00467348"/>
    <w:rsid w:val="00467896"/>
    <w:rsid w:val="00470228"/>
    <w:rsid w:val="00471BF1"/>
    <w:rsid w:val="00471C2D"/>
    <w:rsid w:val="00472C6E"/>
    <w:rsid w:val="0047415A"/>
    <w:rsid w:val="0047424A"/>
    <w:rsid w:val="00474D07"/>
    <w:rsid w:val="00475D56"/>
    <w:rsid w:val="00480616"/>
    <w:rsid w:val="004818D9"/>
    <w:rsid w:val="00483047"/>
    <w:rsid w:val="00484404"/>
    <w:rsid w:val="00486CC1"/>
    <w:rsid w:val="00486FF8"/>
    <w:rsid w:val="004872D7"/>
    <w:rsid w:val="004902F4"/>
    <w:rsid w:val="004914EA"/>
    <w:rsid w:val="0049213E"/>
    <w:rsid w:val="00496CD3"/>
    <w:rsid w:val="00496E0A"/>
    <w:rsid w:val="004974E7"/>
    <w:rsid w:val="004A018C"/>
    <w:rsid w:val="004A06B1"/>
    <w:rsid w:val="004A12AF"/>
    <w:rsid w:val="004A2AB7"/>
    <w:rsid w:val="004A3F3A"/>
    <w:rsid w:val="004A4485"/>
    <w:rsid w:val="004A46DD"/>
    <w:rsid w:val="004A47F9"/>
    <w:rsid w:val="004A486E"/>
    <w:rsid w:val="004A494A"/>
    <w:rsid w:val="004A4A83"/>
    <w:rsid w:val="004A66C2"/>
    <w:rsid w:val="004A6FB1"/>
    <w:rsid w:val="004A7104"/>
    <w:rsid w:val="004B0300"/>
    <w:rsid w:val="004B07BB"/>
    <w:rsid w:val="004B2164"/>
    <w:rsid w:val="004B2F31"/>
    <w:rsid w:val="004B356C"/>
    <w:rsid w:val="004B3A3E"/>
    <w:rsid w:val="004B4101"/>
    <w:rsid w:val="004B5C07"/>
    <w:rsid w:val="004B7E78"/>
    <w:rsid w:val="004C035F"/>
    <w:rsid w:val="004C0C54"/>
    <w:rsid w:val="004C0E13"/>
    <w:rsid w:val="004C15B1"/>
    <w:rsid w:val="004C16F3"/>
    <w:rsid w:val="004C2A4B"/>
    <w:rsid w:val="004C2F11"/>
    <w:rsid w:val="004C3E5B"/>
    <w:rsid w:val="004C3E5E"/>
    <w:rsid w:val="004C42BE"/>
    <w:rsid w:val="004C48D6"/>
    <w:rsid w:val="004C4966"/>
    <w:rsid w:val="004C6304"/>
    <w:rsid w:val="004C7A9B"/>
    <w:rsid w:val="004C7E87"/>
    <w:rsid w:val="004D2CDC"/>
    <w:rsid w:val="004D3158"/>
    <w:rsid w:val="004D3ACB"/>
    <w:rsid w:val="004D3D42"/>
    <w:rsid w:val="004D5B09"/>
    <w:rsid w:val="004D6590"/>
    <w:rsid w:val="004E09A3"/>
    <w:rsid w:val="004E0BAB"/>
    <w:rsid w:val="004E33E8"/>
    <w:rsid w:val="004E3E96"/>
    <w:rsid w:val="004E4A88"/>
    <w:rsid w:val="004E4FB1"/>
    <w:rsid w:val="004F1BBD"/>
    <w:rsid w:val="004F3330"/>
    <w:rsid w:val="004F33F7"/>
    <w:rsid w:val="004F3D4F"/>
    <w:rsid w:val="004F3D8D"/>
    <w:rsid w:val="004F4611"/>
    <w:rsid w:val="004F570B"/>
    <w:rsid w:val="004F59FA"/>
    <w:rsid w:val="004F7386"/>
    <w:rsid w:val="004F73A9"/>
    <w:rsid w:val="00501026"/>
    <w:rsid w:val="00501A8C"/>
    <w:rsid w:val="00501BED"/>
    <w:rsid w:val="00501D5C"/>
    <w:rsid w:val="00502607"/>
    <w:rsid w:val="00502728"/>
    <w:rsid w:val="005049A8"/>
    <w:rsid w:val="00505116"/>
    <w:rsid w:val="00505153"/>
    <w:rsid w:val="00505836"/>
    <w:rsid w:val="0050584B"/>
    <w:rsid w:val="00505A57"/>
    <w:rsid w:val="00505BD6"/>
    <w:rsid w:val="00505CE5"/>
    <w:rsid w:val="005065DC"/>
    <w:rsid w:val="00506AFE"/>
    <w:rsid w:val="00506E5C"/>
    <w:rsid w:val="0050710B"/>
    <w:rsid w:val="005104CE"/>
    <w:rsid w:val="00512406"/>
    <w:rsid w:val="00512897"/>
    <w:rsid w:val="00512A39"/>
    <w:rsid w:val="00512D3E"/>
    <w:rsid w:val="0051324F"/>
    <w:rsid w:val="00513659"/>
    <w:rsid w:val="00514573"/>
    <w:rsid w:val="00515E19"/>
    <w:rsid w:val="00515F68"/>
    <w:rsid w:val="00517412"/>
    <w:rsid w:val="00520262"/>
    <w:rsid w:val="00520FD4"/>
    <w:rsid w:val="00521711"/>
    <w:rsid w:val="00521912"/>
    <w:rsid w:val="00522A2B"/>
    <w:rsid w:val="00523A62"/>
    <w:rsid w:val="00523EED"/>
    <w:rsid w:val="00525856"/>
    <w:rsid w:val="005261AF"/>
    <w:rsid w:val="005265DA"/>
    <w:rsid w:val="00526BCF"/>
    <w:rsid w:val="00527E2B"/>
    <w:rsid w:val="00527EAF"/>
    <w:rsid w:val="00530421"/>
    <w:rsid w:val="00530612"/>
    <w:rsid w:val="00531B2B"/>
    <w:rsid w:val="0053560F"/>
    <w:rsid w:val="00540A77"/>
    <w:rsid w:val="005415BC"/>
    <w:rsid w:val="00541821"/>
    <w:rsid w:val="00541A63"/>
    <w:rsid w:val="0054218B"/>
    <w:rsid w:val="005434AE"/>
    <w:rsid w:val="005443ED"/>
    <w:rsid w:val="005449FE"/>
    <w:rsid w:val="00544B54"/>
    <w:rsid w:val="00544B6F"/>
    <w:rsid w:val="005455BF"/>
    <w:rsid w:val="005455CE"/>
    <w:rsid w:val="005455CF"/>
    <w:rsid w:val="00545A1C"/>
    <w:rsid w:val="00545DB0"/>
    <w:rsid w:val="00546D2A"/>
    <w:rsid w:val="00546F0B"/>
    <w:rsid w:val="00547DB2"/>
    <w:rsid w:val="00550FF5"/>
    <w:rsid w:val="00552A70"/>
    <w:rsid w:val="00554C98"/>
    <w:rsid w:val="00555BEF"/>
    <w:rsid w:val="00557A1F"/>
    <w:rsid w:val="00561FE7"/>
    <w:rsid w:val="0056333C"/>
    <w:rsid w:val="005645F9"/>
    <w:rsid w:val="00564EFC"/>
    <w:rsid w:val="0056516D"/>
    <w:rsid w:val="00565DEA"/>
    <w:rsid w:val="00566355"/>
    <w:rsid w:val="0056685C"/>
    <w:rsid w:val="00566916"/>
    <w:rsid w:val="005670F5"/>
    <w:rsid w:val="00567227"/>
    <w:rsid w:val="00567986"/>
    <w:rsid w:val="005724EC"/>
    <w:rsid w:val="005740FB"/>
    <w:rsid w:val="005749BC"/>
    <w:rsid w:val="00575714"/>
    <w:rsid w:val="005762A0"/>
    <w:rsid w:val="005769B8"/>
    <w:rsid w:val="00576D85"/>
    <w:rsid w:val="00577F7B"/>
    <w:rsid w:val="00580C83"/>
    <w:rsid w:val="0058103D"/>
    <w:rsid w:val="00582D93"/>
    <w:rsid w:val="00583C17"/>
    <w:rsid w:val="005846A6"/>
    <w:rsid w:val="00585305"/>
    <w:rsid w:val="00586F3D"/>
    <w:rsid w:val="005870EE"/>
    <w:rsid w:val="00587418"/>
    <w:rsid w:val="00590568"/>
    <w:rsid w:val="0059086D"/>
    <w:rsid w:val="00590A16"/>
    <w:rsid w:val="00590FF8"/>
    <w:rsid w:val="005926A8"/>
    <w:rsid w:val="005928E4"/>
    <w:rsid w:val="00593337"/>
    <w:rsid w:val="005934AD"/>
    <w:rsid w:val="00593E02"/>
    <w:rsid w:val="005949B5"/>
    <w:rsid w:val="0059503D"/>
    <w:rsid w:val="00595040"/>
    <w:rsid w:val="0059527D"/>
    <w:rsid w:val="00595684"/>
    <w:rsid w:val="0059721F"/>
    <w:rsid w:val="00597951"/>
    <w:rsid w:val="005A0812"/>
    <w:rsid w:val="005A0EA2"/>
    <w:rsid w:val="005A1157"/>
    <w:rsid w:val="005A16E5"/>
    <w:rsid w:val="005A2359"/>
    <w:rsid w:val="005A3C7A"/>
    <w:rsid w:val="005A47BC"/>
    <w:rsid w:val="005A4E83"/>
    <w:rsid w:val="005A5859"/>
    <w:rsid w:val="005A6532"/>
    <w:rsid w:val="005A72FA"/>
    <w:rsid w:val="005B10E7"/>
    <w:rsid w:val="005B1D94"/>
    <w:rsid w:val="005B22E3"/>
    <w:rsid w:val="005B326E"/>
    <w:rsid w:val="005B36F1"/>
    <w:rsid w:val="005B4B54"/>
    <w:rsid w:val="005B6E0B"/>
    <w:rsid w:val="005B7EB9"/>
    <w:rsid w:val="005C0676"/>
    <w:rsid w:val="005C07E3"/>
    <w:rsid w:val="005C0815"/>
    <w:rsid w:val="005C1651"/>
    <w:rsid w:val="005C5C59"/>
    <w:rsid w:val="005C5CE2"/>
    <w:rsid w:val="005C611D"/>
    <w:rsid w:val="005C6F3F"/>
    <w:rsid w:val="005D0309"/>
    <w:rsid w:val="005D0456"/>
    <w:rsid w:val="005D0963"/>
    <w:rsid w:val="005D0E4E"/>
    <w:rsid w:val="005D12EE"/>
    <w:rsid w:val="005D1EE3"/>
    <w:rsid w:val="005D25A2"/>
    <w:rsid w:val="005D2BDE"/>
    <w:rsid w:val="005D3023"/>
    <w:rsid w:val="005D3FF5"/>
    <w:rsid w:val="005D432B"/>
    <w:rsid w:val="005D4FF8"/>
    <w:rsid w:val="005D5FF6"/>
    <w:rsid w:val="005D6C8D"/>
    <w:rsid w:val="005D7863"/>
    <w:rsid w:val="005D7C88"/>
    <w:rsid w:val="005D7D03"/>
    <w:rsid w:val="005E05B0"/>
    <w:rsid w:val="005E05D0"/>
    <w:rsid w:val="005E10D0"/>
    <w:rsid w:val="005E184D"/>
    <w:rsid w:val="005E1E13"/>
    <w:rsid w:val="005E5068"/>
    <w:rsid w:val="005E51A2"/>
    <w:rsid w:val="005E595E"/>
    <w:rsid w:val="005E5B60"/>
    <w:rsid w:val="005E6CF8"/>
    <w:rsid w:val="005F0B36"/>
    <w:rsid w:val="005F0FC4"/>
    <w:rsid w:val="005F1385"/>
    <w:rsid w:val="005F1A76"/>
    <w:rsid w:val="005F2452"/>
    <w:rsid w:val="005F2537"/>
    <w:rsid w:val="005F424C"/>
    <w:rsid w:val="005F524E"/>
    <w:rsid w:val="005F53C1"/>
    <w:rsid w:val="005F67B3"/>
    <w:rsid w:val="005F70A9"/>
    <w:rsid w:val="006001DC"/>
    <w:rsid w:val="006007B3"/>
    <w:rsid w:val="00600E73"/>
    <w:rsid w:val="00600E8F"/>
    <w:rsid w:val="00602160"/>
    <w:rsid w:val="0060273F"/>
    <w:rsid w:val="00602F51"/>
    <w:rsid w:val="0060496A"/>
    <w:rsid w:val="00604DB9"/>
    <w:rsid w:val="006055E6"/>
    <w:rsid w:val="00606286"/>
    <w:rsid w:val="0060687A"/>
    <w:rsid w:val="006072FA"/>
    <w:rsid w:val="00610516"/>
    <w:rsid w:val="006105F9"/>
    <w:rsid w:val="006107F5"/>
    <w:rsid w:val="00611458"/>
    <w:rsid w:val="00611CD6"/>
    <w:rsid w:val="0061200E"/>
    <w:rsid w:val="00613349"/>
    <w:rsid w:val="00613357"/>
    <w:rsid w:val="00614365"/>
    <w:rsid w:val="0061470D"/>
    <w:rsid w:val="00617BA8"/>
    <w:rsid w:val="0062342B"/>
    <w:rsid w:val="00624051"/>
    <w:rsid w:val="00626789"/>
    <w:rsid w:val="00631734"/>
    <w:rsid w:val="00631DE5"/>
    <w:rsid w:val="00633D97"/>
    <w:rsid w:val="00633F28"/>
    <w:rsid w:val="00634260"/>
    <w:rsid w:val="00635084"/>
    <w:rsid w:val="006360FA"/>
    <w:rsid w:val="00637139"/>
    <w:rsid w:val="00637467"/>
    <w:rsid w:val="0064058F"/>
    <w:rsid w:val="0064289F"/>
    <w:rsid w:val="006433B8"/>
    <w:rsid w:val="00644AF5"/>
    <w:rsid w:val="00644E05"/>
    <w:rsid w:val="006454B5"/>
    <w:rsid w:val="00647B40"/>
    <w:rsid w:val="00650F9D"/>
    <w:rsid w:val="00651ABE"/>
    <w:rsid w:val="00651B5F"/>
    <w:rsid w:val="00651E96"/>
    <w:rsid w:val="00652928"/>
    <w:rsid w:val="006544F1"/>
    <w:rsid w:val="00654C46"/>
    <w:rsid w:val="0065545A"/>
    <w:rsid w:val="00655747"/>
    <w:rsid w:val="006557DA"/>
    <w:rsid w:val="00657D07"/>
    <w:rsid w:val="00663359"/>
    <w:rsid w:val="00663C83"/>
    <w:rsid w:val="00664378"/>
    <w:rsid w:val="0066509B"/>
    <w:rsid w:val="0066536B"/>
    <w:rsid w:val="00665542"/>
    <w:rsid w:val="00665E5F"/>
    <w:rsid w:val="0066606D"/>
    <w:rsid w:val="0066648F"/>
    <w:rsid w:val="00666571"/>
    <w:rsid w:val="00666943"/>
    <w:rsid w:val="006671CD"/>
    <w:rsid w:val="0066735E"/>
    <w:rsid w:val="00672199"/>
    <w:rsid w:val="006734F2"/>
    <w:rsid w:val="00674C63"/>
    <w:rsid w:val="00680C9F"/>
    <w:rsid w:val="00683793"/>
    <w:rsid w:val="0068385F"/>
    <w:rsid w:val="00683DAA"/>
    <w:rsid w:val="00685284"/>
    <w:rsid w:val="0068682A"/>
    <w:rsid w:val="00686DE7"/>
    <w:rsid w:val="00690249"/>
    <w:rsid w:val="00690252"/>
    <w:rsid w:val="00690D20"/>
    <w:rsid w:val="00691583"/>
    <w:rsid w:val="006916A5"/>
    <w:rsid w:val="00691726"/>
    <w:rsid w:val="00693734"/>
    <w:rsid w:val="00695208"/>
    <w:rsid w:val="0069625F"/>
    <w:rsid w:val="00696A48"/>
    <w:rsid w:val="0069795F"/>
    <w:rsid w:val="006A0541"/>
    <w:rsid w:val="006A3B65"/>
    <w:rsid w:val="006A3D29"/>
    <w:rsid w:val="006A44C2"/>
    <w:rsid w:val="006A5910"/>
    <w:rsid w:val="006A5C79"/>
    <w:rsid w:val="006A5CB3"/>
    <w:rsid w:val="006A6B9F"/>
    <w:rsid w:val="006A739A"/>
    <w:rsid w:val="006B181C"/>
    <w:rsid w:val="006B2065"/>
    <w:rsid w:val="006B3CB0"/>
    <w:rsid w:val="006B49DF"/>
    <w:rsid w:val="006B4F97"/>
    <w:rsid w:val="006B521F"/>
    <w:rsid w:val="006B6AAF"/>
    <w:rsid w:val="006B70EE"/>
    <w:rsid w:val="006C20E7"/>
    <w:rsid w:val="006C2490"/>
    <w:rsid w:val="006C488B"/>
    <w:rsid w:val="006C5934"/>
    <w:rsid w:val="006C605A"/>
    <w:rsid w:val="006C77A8"/>
    <w:rsid w:val="006D038D"/>
    <w:rsid w:val="006D03B0"/>
    <w:rsid w:val="006D042E"/>
    <w:rsid w:val="006D068A"/>
    <w:rsid w:val="006D3FA5"/>
    <w:rsid w:val="006D5591"/>
    <w:rsid w:val="006D5E49"/>
    <w:rsid w:val="006E0251"/>
    <w:rsid w:val="006E075C"/>
    <w:rsid w:val="006E319D"/>
    <w:rsid w:val="006E336B"/>
    <w:rsid w:val="006E3BED"/>
    <w:rsid w:val="006E4EB6"/>
    <w:rsid w:val="006E5FF6"/>
    <w:rsid w:val="006E60EF"/>
    <w:rsid w:val="006E79FF"/>
    <w:rsid w:val="006F2B19"/>
    <w:rsid w:val="006F3730"/>
    <w:rsid w:val="006F4A92"/>
    <w:rsid w:val="006F54E5"/>
    <w:rsid w:val="006F5CB7"/>
    <w:rsid w:val="006F7547"/>
    <w:rsid w:val="0070072A"/>
    <w:rsid w:val="00701143"/>
    <w:rsid w:val="00701DEB"/>
    <w:rsid w:val="00701FAD"/>
    <w:rsid w:val="00702CBB"/>
    <w:rsid w:val="00702CE6"/>
    <w:rsid w:val="0070328A"/>
    <w:rsid w:val="007038FF"/>
    <w:rsid w:val="0070585B"/>
    <w:rsid w:val="0070632F"/>
    <w:rsid w:val="00706C4E"/>
    <w:rsid w:val="007100B0"/>
    <w:rsid w:val="007102DE"/>
    <w:rsid w:val="00710300"/>
    <w:rsid w:val="0071180B"/>
    <w:rsid w:val="00714CD3"/>
    <w:rsid w:val="0071534C"/>
    <w:rsid w:val="00716555"/>
    <w:rsid w:val="00716D61"/>
    <w:rsid w:val="00717EC9"/>
    <w:rsid w:val="0072052F"/>
    <w:rsid w:val="007210C6"/>
    <w:rsid w:val="00721299"/>
    <w:rsid w:val="00722F1A"/>
    <w:rsid w:val="00722FD0"/>
    <w:rsid w:val="0072304F"/>
    <w:rsid w:val="00723548"/>
    <w:rsid w:val="0072424C"/>
    <w:rsid w:val="00724996"/>
    <w:rsid w:val="00724E48"/>
    <w:rsid w:val="00724FBF"/>
    <w:rsid w:val="00725A02"/>
    <w:rsid w:val="007278C2"/>
    <w:rsid w:val="00734EB1"/>
    <w:rsid w:val="00735281"/>
    <w:rsid w:val="00736017"/>
    <w:rsid w:val="007361D3"/>
    <w:rsid w:val="0074288B"/>
    <w:rsid w:val="00742F67"/>
    <w:rsid w:val="007465B0"/>
    <w:rsid w:val="00746A04"/>
    <w:rsid w:val="00751050"/>
    <w:rsid w:val="00751947"/>
    <w:rsid w:val="007523B5"/>
    <w:rsid w:val="007525DF"/>
    <w:rsid w:val="0075267E"/>
    <w:rsid w:val="00754287"/>
    <w:rsid w:val="00754B30"/>
    <w:rsid w:val="00755BA0"/>
    <w:rsid w:val="00756BCF"/>
    <w:rsid w:val="00760F0F"/>
    <w:rsid w:val="00763688"/>
    <w:rsid w:val="00763934"/>
    <w:rsid w:val="0076430D"/>
    <w:rsid w:val="007646BB"/>
    <w:rsid w:val="0076529C"/>
    <w:rsid w:val="007652CA"/>
    <w:rsid w:val="007668A6"/>
    <w:rsid w:val="00766F11"/>
    <w:rsid w:val="00767210"/>
    <w:rsid w:val="007705CA"/>
    <w:rsid w:val="007712ED"/>
    <w:rsid w:val="00771336"/>
    <w:rsid w:val="00773B62"/>
    <w:rsid w:val="00773CCC"/>
    <w:rsid w:val="00774770"/>
    <w:rsid w:val="007749E2"/>
    <w:rsid w:val="00774B23"/>
    <w:rsid w:val="007755BC"/>
    <w:rsid w:val="007759C3"/>
    <w:rsid w:val="00775CA5"/>
    <w:rsid w:val="00775F89"/>
    <w:rsid w:val="007764F4"/>
    <w:rsid w:val="00776A18"/>
    <w:rsid w:val="007807A0"/>
    <w:rsid w:val="007808DD"/>
    <w:rsid w:val="007810DC"/>
    <w:rsid w:val="007816A6"/>
    <w:rsid w:val="007825C5"/>
    <w:rsid w:val="0078285D"/>
    <w:rsid w:val="007830D1"/>
    <w:rsid w:val="0078357F"/>
    <w:rsid w:val="00784C39"/>
    <w:rsid w:val="0078505F"/>
    <w:rsid w:val="0078596F"/>
    <w:rsid w:val="00785E6E"/>
    <w:rsid w:val="00785F52"/>
    <w:rsid w:val="00786980"/>
    <w:rsid w:val="00787269"/>
    <w:rsid w:val="007906AD"/>
    <w:rsid w:val="00791180"/>
    <w:rsid w:val="007931BF"/>
    <w:rsid w:val="007938DE"/>
    <w:rsid w:val="0079492C"/>
    <w:rsid w:val="00794997"/>
    <w:rsid w:val="00795749"/>
    <w:rsid w:val="007959F3"/>
    <w:rsid w:val="0079747D"/>
    <w:rsid w:val="00797605"/>
    <w:rsid w:val="007A05EA"/>
    <w:rsid w:val="007A0E92"/>
    <w:rsid w:val="007A29B1"/>
    <w:rsid w:val="007A2D5C"/>
    <w:rsid w:val="007A5A19"/>
    <w:rsid w:val="007A6B3B"/>
    <w:rsid w:val="007B03C3"/>
    <w:rsid w:val="007B0E00"/>
    <w:rsid w:val="007B1596"/>
    <w:rsid w:val="007B190E"/>
    <w:rsid w:val="007B1B9E"/>
    <w:rsid w:val="007B45DB"/>
    <w:rsid w:val="007B4C13"/>
    <w:rsid w:val="007B4CC7"/>
    <w:rsid w:val="007B5077"/>
    <w:rsid w:val="007B6B13"/>
    <w:rsid w:val="007B724A"/>
    <w:rsid w:val="007C03F7"/>
    <w:rsid w:val="007C0782"/>
    <w:rsid w:val="007C13FC"/>
    <w:rsid w:val="007C25A0"/>
    <w:rsid w:val="007C290D"/>
    <w:rsid w:val="007C2F88"/>
    <w:rsid w:val="007C375E"/>
    <w:rsid w:val="007C5167"/>
    <w:rsid w:val="007C52A4"/>
    <w:rsid w:val="007C53F6"/>
    <w:rsid w:val="007C603F"/>
    <w:rsid w:val="007D027B"/>
    <w:rsid w:val="007D1A07"/>
    <w:rsid w:val="007D246C"/>
    <w:rsid w:val="007D33E1"/>
    <w:rsid w:val="007D4236"/>
    <w:rsid w:val="007D4D82"/>
    <w:rsid w:val="007D4F3F"/>
    <w:rsid w:val="007D52A4"/>
    <w:rsid w:val="007D59C4"/>
    <w:rsid w:val="007D5F0B"/>
    <w:rsid w:val="007D7062"/>
    <w:rsid w:val="007E0A44"/>
    <w:rsid w:val="007E1088"/>
    <w:rsid w:val="007E34CA"/>
    <w:rsid w:val="007E3675"/>
    <w:rsid w:val="007E3F94"/>
    <w:rsid w:val="007E67DF"/>
    <w:rsid w:val="007E6F20"/>
    <w:rsid w:val="007E7A85"/>
    <w:rsid w:val="007F04DD"/>
    <w:rsid w:val="007F2074"/>
    <w:rsid w:val="007F21CB"/>
    <w:rsid w:val="007F243D"/>
    <w:rsid w:val="007F26B5"/>
    <w:rsid w:val="007F6B98"/>
    <w:rsid w:val="00800E30"/>
    <w:rsid w:val="008019F4"/>
    <w:rsid w:val="00802211"/>
    <w:rsid w:val="0080242C"/>
    <w:rsid w:val="00803E97"/>
    <w:rsid w:val="008042BC"/>
    <w:rsid w:val="00804D5C"/>
    <w:rsid w:val="0080571D"/>
    <w:rsid w:val="0080686E"/>
    <w:rsid w:val="00806C3E"/>
    <w:rsid w:val="008070E2"/>
    <w:rsid w:val="00810A79"/>
    <w:rsid w:val="00812B99"/>
    <w:rsid w:val="00813A6B"/>
    <w:rsid w:val="00814483"/>
    <w:rsid w:val="0081582B"/>
    <w:rsid w:val="0081699B"/>
    <w:rsid w:val="0082067A"/>
    <w:rsid w:val="0082236E"/>
    <w:rsid w:val="008250F9"/>
    <w:rsid w:val="00825898"/>
    <w:rsid w:val="00825C31"/>
    <w:rsid w:val="00826032"/>
    <w:rsid w:val="008261E5"/>
    <w:rsid w:val="00826BA7"/>
    <w:rsid w:val="00826C82"/>
    <w:rsid w:val="00826D92"/>
    <w:rsid w:val="008272F1"/>
    <w:rsid w:val="0083045C"/>
    <w:rsid w:val="00830896"/>
    <w:rsid w:val="0083328C"/>
    <w:rsid w:val="008334BC"/>
    <w:rsid w:val="0083429D"/>
    <w:rsid w:val="00834565"/>
    <w:rsid w:val="00834FC8"/>
    <w:rsid w:val="00835C56"/>
    <w:rsid w:val="00836528"/>
    <w:rsid w:val="00836C51"/>
    <w:rsid w:val="008371A1"/>
    <w:rsid w:val="008373AC"/>
    <w:rsid w:val="00841063"/>
    <w:rsid w:val="008418CD"/>
    <w:rsid w:val="00841ED2"/>
    <w:rsid w:val="00842174"/>
    <w:rsid w:val="008428AD"/>
    <w:rsid w:val="00842DBC"/>
    <w:rsid w:val="00844CBE"/>
    <w:rsid w:val="0084559A"/>
    <w:rsid w:val="00846436"/>
    <w:rsid w:val="008464B0"/>
    <w:rsid w:val="00846FF4"/>
    <w:rsid w:val="00851C7C"/>
    <w:rsid w:val="0085231B"/>
    <w:rsid w:val="00852C00"/>
    <w:rsid w:val="008539EE"/>
    <w:rsid w:val="00853DAA"/>
    <w:rsid w:val="00854600"/>
    <w:rsid w:val="008556D9"/>
    <w:rsid w:val="008558A8"/>
    <w:rsid w:val="00855932"/>
    <w:rsid w:val="008561D2"/>
    <w:rsid w:val="00857B70"/>
    <w:rsid w:val="00860202"/>
    <w:rsid w:val="00860A66"/>
    <w:rsid w:val="008610EA"/>
    <w:rsid w:val="0086120C"/>
    <w:rsid w:val="00861272"/>
    <w:rsid w:val="00861392"/>
    <w:rsid w:val="008624E9"/>
    <w:rsid w:val="008625A3"/>
    <w:rsid w:val="00866908"/>
    <w:rsid w:val="0086730E"/>
    <w:rsid w:val="0086798F"/>
    <w:rsid w:val="00870175"/>
    <w:rsid w:val="00870E4F"/>
    <w:rsid w:val="00871191"/>
    <w:rsid w:val="00871EC6"/>
    <w:rsid w:val="00872198"/>
    <w:rsid w:val="00873638"/>
    <w:rsid w:val="00874C56"/>
    <w:rsid w:val="00875170"/>
    <w:rsid w:val="00875678"/>
    <w:rsid w:val="0087617D"/>
    <w:rsid w:val="00876455"/>
    <w:rsid w:val="008768B7"/>
    <w:rsid w:val="00876C6F"/>
    <w:rsid w:val="00876C8B"/>
    <w:rsid w:val="00877B0E"/>
    <w:rsid w:val="008809A2"/>
    <w:rsid w:val="008810A8"/>
    <w:rsid w:val="00882475"/>
    <w:rsid w:val="008851CA"/>
    <w:rsid w:val="008857C4"/>
    <w:rsid w:val="00887981"/>
    <w:rsid w:val="00890180"/>
    <w:rsid w:val="008903AD"/>
    <w:rsid w:val="00890C2B"/>
    <w:rsid w:val="008912A1"/>
    <w:rsid w:val="00892667"/>
    <w:rsid w:val="00892FB1"/>
    <w:rsid w:val="00894077"/>
    <w:rsid w:val="0089471C"/>
    <w:rsid w:val="00895786"/>
    <w:rsid w:val="00895AC6"/>
    <w:rsid w:val="008962FE"/>
    <w:rsid w:val="0089687F"/>
    <w:rsid w:val="00896C17"/>
    <w:rsid w:val="00897489"/>
    <w:rsid w:val="00897B62"/>
    <w:rsid w:val="008A0CCB"/>
    <w:rsid w:val="008A4E29"/>
    <w:rsid w:val="008A5070"/>
    <w:rsid w:val="008A5585"/>
    <w:rsid w:val="008B03C8"/>
    <w:rsid w:val="008B0677"/>
    <w:rsid w:val="008B1732"/>
    <w:rsid w:val="008B1BFF"/>
    <w:rsid w:val="008B2F44"/>
    <w:rsid w:val="008B50F9"/>
    <w:rsid w:val="008B64E7"/>
    <w:rsid w:val="008B68CC"/>
    <w:rsid w:val="008B6AB8"/>
    <w:rsid w:val="008B6E5C"/>
    <w:rsid w:val="008B6F6E"/>
    <w:rsid w:val="008B7BD5"/>
    <w:rsid w:val="008C03B0"/>
    <w:rsid w:val="008C26C6"/>
    <w:rsid w:val="008C39F6"/>
    <w:rsid w:val="008C68B1"/>
    <w:rsid w:val="008C6B93"/>
    <w:rsid w:val="008D1895"/>
    <w:rsid w:val="008D20BE"/>
    <w:rsid w:val="008D323E"/>
    <w:rsid w:val="008D3F02"/>
    <w:rsid w:val="008D406B"/>
    <w:rsid w:val="008D507C"/>
    <w:rsid w:val="008D58EF"/>
    <w:rsid w:val="008D60CB"/>
    <w:rsid w:val="008D7DE0"/>
    <w:rsid w:val="008E250C"/>
    <w:rsid w:val="008E2AE5"/>
    <w:rsid w:val="008E4BAF"/>
    <w:rsid w:val="008E7EFE"/>
    <w:rsid w:val="008F0BAE"/>
    <w:rsid w:val="008F20DA"/>
    <w:rsid w:val="008F214E"/>
    <w:rsid w:val="008F2631"/>
    <w:rsid w:val="008F3292"/>
    <w:rsid w:val="008F329B"/>
    <w:rsid w:val="008F34CA"/>
    <w:rsid w:val="008F3AA0"/>
    <w:rsid w:val="008F5B26"/>
    <w:rsid w:val="008F627D"/>
    <w:rsid w:val="008F6296"/>
    <w:rsid w:val="008F674D"/>
    <w:rsid w:val="0090078C"/>
    <w:rsid w:val="00901043"/>
    <w:rsid w:val="00901781"/>
    <w:rsid w:val="009037B9"/>
    <w:rsid w:val="00905043"/>
    <w:rsid w:val="00905E95"/>
    <w:rsid w:val="00907159"/>
    <w:rsid w:val="00907B7C"/>
    <w:rsid w:val="0091107E"/>
    <w:rsid w:val="009118C6"/>
    <w:rsid w:val="00911CB7"/>
    <w:rsid w:val="0091231C"/>
    <w:rsid w:val="00912C08"/>
    <w:rsid w:val="00913FA6"/>
    <w:rsid w:val="00914E87"/>
    <w:rsid w:val="0091555A"/>
    <w:rsid w:val="00917297"/>
    <w:rsid w:val="009176E3"/>
    <w:rsid w:val="00920D08"/>
    <w:rsid w:val="0092217D"/>
    <w:rsid w:val="009239A1"/>
    <w:rsid w:val="00924F91"/>
    <w:rsid w:val="0092739C"/>
    <w:rsid w:val="009276B1"/>
    <w:rsid w:val="00930102"/>
    <w:rsid w:val="00930721"/>
    <w:rsid w:val="0093096A"/>
    <w:rsid w:val="009318A0"/>
    <w:rsid w:val="0093190C"/>
    <w:rsid w:val="0093198F"/>
    <w:rsid w:val="00931AA3"/>
    <w:rsid w:val="009328DC"/>
    <w:rsid w:val="00932FAE"/>
    <w:rsid w:val="0093447A"/>
    <w:rsid w:val="00936CE6"/>
    <w:rsid w:val="009373E8"/>
    <w:rsid w:val="00940A53"/>
    <w:rsid w:val="00940CAA"/>
    <w:rsid w:val="0094182F"/>
    <w:rsid w:val="009427AE"/>
    <w:rsid w:val="009446F2"/>
    <w:rsid w:val="009449CD"/>
    <w:rsid w:val="00945709"/>
    <w:rsid w:val="00946309"/>
    <w:rsid w:val="00946790"/>
    <w:rsid w:val="00946AD8"/>
    <w:rsid w:val="00947D93"/>
    <w:rsid w:val="00950626"/>
    <w:rsid w:val="009509F8"/>
    <w:rsid w:val="009519F5"/>
    <w:rsid w:val="00951E50"/>
    <w:rsid w:val="00952709"/>
    <w:rsid w:val="0095308B"/>
    <w:rsid w:val="00954E71"/>
    <w:rsid w:val="00956E4A"/>
    <w:rsid w:val="00956ED4"/>
    <w:rsid w:val="00957674"/>
    <w:rsid w:val="0096019C"/>
    <w:rsid w:val="00960216"/>
    <w:rsid w:val="009617CA"/>
    <w:rsid w:val="009619B1"/>
    <w:rsid w:val="00961AA4"/>
    <w:rsid w:val="00961BD3"/>
    <w:rsid w:val="00963472"/>
    <w:rsid w:val="0096400C"/>
    <w:rsid w:val="00964330"/>
    <w:rsid w:val="009644AB"/>
    <w:rsid w:val="009662EB"/>
    <w:rsid w:val="009679F5"/>
    <w:rsid w:val="00971091"/>
    <w:rsid w:val="00972398"/>
    <w:rsid w:val="00973B62"/>
    <w:rsid w:val="00973CD0"/>
    <w:rsid w:val="00974AA0"/>
    <w:rsid w:val="00974FBE"/>
    <w:rsid w:val="00975FF1"/>
    <w:rsid w:val="00976314"/>
    <w:rsid w:val="0097688A"/>
    <w:rsid w:val="00976B38"/>
    <w:rsid w:val="00976D4C"/>
    <w:rsid w:val="0097760D"/>
    <w:rsid w:val="00977D73"/>
    <w:rsid w:val="009803C7"/>
    <w:rsid w:val="00980BC6"/>
    <w:rsid w:val="00981FE7"/>
    <w:rsid w:val="00982B01"/>
    <w:rsid w:val="009849E9"/>
    <w:rsid w:val="00985541"/>
    <w:rsid w:val="00985ED0"/>
    <w:rsid w:val="009863AB"/>
    <w:rsid w:val="00986997"/>
    <w:rsid w:val="00987414"/>
    <w:rsid w:val="00987B70"/>
    <w:rsid w:val="00990601"/>
    <w:rsid w:val="0099070A"/>
    <w:rsid w:val="009912E4"/>
    <w:rsid w:val="00994C4D"/>
    <w:rsid w:val="00995C7A"/>
    <w:rsid w:val="0099783B"/>
    <w:rsid w:val="009A0042"/>
    <w:rsid w:val="009A0129"/>
    <w:rsid w:val="009A53B5"/>
    <w:rsid w:val="009A549A"/>
    <w:rsid w:val="009A6A5E"/>
    <w:rsid w:val="009A6B5B"/>
    <w:rsid w:val="009B0F6E"/>
    <w:rsid w:val="009B166D"/>
    <w:rsid w:val="009B16C1"/>
    <w:rsid w:val="009B1972"/>
    <w:rsid w:val="009B2E34"/>
    <w:rsid w:val="009B467A"/>
    <w:rsid w:val="009B4A5C"/>
    <w:rsid w:val="009B59F1"/>
    <w:rsid w:val="009B5E09"/>
    <w:rsid w:val="009B6B14"/>
    <w:rsid w:val="009B6ED6"/>
    <w:rsid w:val="009B6F67"/>
    <w:rsid w:val="009B6F68"/>
    <w:rsid w:val="009B70F3"/>
    <w:rsid w:val="009B72BC"/>
    <w:rsid w:val="009B7433"/>
    <w:rsid w:val="009B7BA2"/>
    <w:rsid w:val="009C0505"/>
    <w:rsid w:val="009C109E"/>
    <w:rsid w:val="009C2483"/>
    <w:rsid w:val="009C29B2"/>
    <w:rsid w:val="009C4CAD"/>
    <w:rsid w:val="009C5409"/>
    <w:rsid w:val="009D0AFA"/>
    <w:rsid w:val="009D2266"/>
    <w:rsid w:val="009D375C"/>
    <w:rsid w:val="009D523D"/>
    <w:rsid w:val="009D6BC6"/>
    <w:rsid w:val="009D7558"/>
    <w:rsid w:val="009D7B70"/>
    <w:rsid w:val="009E274F"/>
    <w:rsid w:val="009E28E5"/>
    <w:rsid w:val="009E3F8D"/>
    <w:rsid w:val="009E51DE"/>
    <w:rsid w:val="009E599C"/>
    <w:rsid w:val="009E619F"/>
    <w:rsid w:val="009F127F"/>
    <w:rsid w:val="009F23AE"/>
    <w:rsid w:val="009F54EC"/>
    <w:rsid w:val="009F56F4"/>
    <w:rsid w:val="009F5DCB"/>
    <w:rsid w:val="009F5DF1"/>
    <w:rsid w:val="009F5E37"/>
    <w:rsid w:val="009F63AF"/>
    <w:rsid w:val="009F7A8A"/>
    <w:rsid w:val="00A004A5"/>
    <w:rsid w:val="00A01362"/>
    <w:rsid w:val="00A0142A"/>
    <w:rsid w:val="00A01E62"/>
    <w:rsid w:val="00A020E4"/>
    <w:rsid w:val="00A0427F"/>
    <w:rsid w:val="00A04497"/>
    <w:rsid w:val="00A04F23"/>
    <w:rsid w:val="00A0504C"/>
    <w:rsid w:val="00A061AE"/>
    <w:rsid w:val="00A06BFC"/>
    <w:rsid w:val="00A07596"/>
    <w:rsid w:val="00A11704"/>
    <w:rsid w:val="00A11B72"/>
    <w:rsid w:val="00A12EB7"/>
    <w:rsid w:val="00A13239"/>
    <w:rsid w:val="00A134E0"/>
    <w:rsid w:val="00A152FA"/>
    <w:rsid w:val="00A15D6F"/>
    <w:rsid w:val="00A1782C"/>
    <w:rsid w:val="00A21C02"/>
    <w:rsid w:val="00A22032"/>
    <w:rsid w:val="00A22254"/>
    <w:rsid w:val="00A22A37"/>
    <w:rsid w:val="00A23FC0"/>
    <w:rsid w:val="00A24140"/>
    <w:rsid w:val="00A2483C"/>
    <w:rsid w:val="00A25306"/>
    <w:rsid w:val="00A25A27"/>
    <w:rsid w:val="00A260B6"/>
    <w:rsid w:val="00A26E66"/>
    <w:rsid w:val="00A278A9"/>
    <w:rsid w:val="00A30242"/>
    <w:rsid w:val="00A30604"/>
    <w:rsid w:val="00A32704"/>
    <w:rsid w:val="00A33EEE"/>
    <w:rsid w:val="00A347D7"/>
    <w:rsid w:val="00A350FF"/>
    <w:rsid w:val="00A35844"/>
    <w:rsid w:val="00A35E11"/>
    <w:rsid w:val="00A37A2A"/>
    <w:rsid w:val="00A37DD2"/>
    <w:rsid w:val="00A40E46"/>
    <w:rsid w:val="00A41161"/>
    <w:rsid w:val="00A4300C"/>
    <w:rsid w:val="00A45BCF"/>
    <w:rsid w:val="00A45D71"/>
    <w:rsid w:val="00A47506"/>
    <w:rsid w:val="00A479D5"/>
    <w:rsid w:val="00A47BDE"/>
    <w:rsid w:val="00A50177"/>
    <w:rsid w:val="00A50440"/>
    <w:rsid w:val="00A51117"/>
    <w:rsid w:val="00A52512"/>
    <w:rsid w:val="00A538D3"/>
    <w:rsid w:val="00A6077C"/>
    <w:rsid w:val="00A628AD"/>
    <w:rsid w:val="00A6333E"/>
    <w:rsid w:val="00A648DD"/>
    <w:rsid w:val="00A64927"/>
    <w:rsid w:val="00A64963"/>
    <w:rsid w:val="00A651A6"/>
    <w:rsid w:val="00A67E1D"/>
    <w:rsid w:val="00A700E2"/>
    <w:rsid w:val="00A706D0"/>
    <w:rsid w:val="00A714CE"/>
    <w:rsid w:val="00A72747"/>
    <w:rsid w:val="00A737E5"/>
    <w:rsid w:val="00A738F1"/>
    <w:rsid w:val="00A73B69"/>
    <w:rsid w:val="00A743D3"/>
    <w:rsid w:val="00A7484C"/>
    <w:rsid w:val="00A74998"/>
    <w:rsid w:val="00A77840"/>
    <w:rsid w:val="00A8044E"/>
    <w:rsid w:val="00A80762"/>
    <w:rsid w:val="00A81585"/>
    <w:rsid w:val="00A817A3"/>
    <w:rsid w:val="00A8260F"/>
    <w:rsid w:val="00A85879"/>
    <w:rsid w:val="00A860A0"/>
    <w:rsid w:val="00A86343"/>
    <w:rsid w:val="00A87436"/>
    <w:rsid w:val="00A87A69"/>
    <w:rsid w:val="00A907C9"/>
    <w:rsid w:val="00A90F7C"/>
    <w:rsid w:val="00A921ED"/>
    <w:rsid w:val="00A92711"/>
    <w:rsid w:val="00A929B5"/>
    <w:rsid w:val="00A92AE9"/>
    <w:rsid w:val="00A92B9C"/>
    <w:rsid w:val="00A93033"/>
    <w:rsid w:val="00A932B9"/>
    <w:rsid w:val="00A93654"/>
    <w:rsid w:val="00A93657"/>
    <w:rsid w:val="00A9365B"/>
    <w:rsid w:val="00A94A51"/>
    <w:rsid w:val="00A97615"/>
    <w:rsid w:val="00AA0184"/>
    <w:rsid w:val="00AA05B4"/>
    <w:rsid w:val="00AA1277"/>
    <w:rsid w:val="00AA3591"/>
    <w:rsid w:val="00AA6419"/>
    <w:rsid w:val="00AA762D"/>
    <w:rsid w:val="00AB0E2B"/>
    <w:rsid w:val="00AB359A"/>
    <w:rsid w:val="00AB3C09"/>
    <w:rsid w:val="00AB59AE"/>
    <w:rsid w:val="00AB5A35"/>
    <w:rsid w:val="00AB5D2B"/>
    <w:rsid w:val="00AB60C4"/>
    <w:rsid w:val="00AB736C"/>
    <w:rsid w:val="00AB7602"/>
    <w:rsid w:val="00AC1D8C"/>
    <w:rsid w:val="00AC1E83"/>
    <w:rsid w:val="00AC1FFA"/>
    <w:rsid w:val="00AC2E4F"/>
    <w:rsid w:val="00AC3436"/>
    <w:rsid w:val="00AC3A90"/>
    <w:rsid w:val="00AC4A70"/>
    <w:rsid w:val="00AC51D0"/>
    <w:rsid w:val="00AC53B1"/>
    <w:rsid w:val="00AC6E72"/>
    <w:rsid w:val="00AD01B7"/>
    <w:rsid w:val="00AD1D68"/>
    <w:rsid w:val="00AD2E4D"/>
    <w:rsid w:val="00AD3ABC"/>
    <w:rsid w:val="00AD4F30"/>
    <w:rsid w:val="00AE1100"/>
    <w:rsid w:val="00AE14D1"/>
    <w:rsid w:val="00AE216C"/>
    <w:rsid w:val="00AE2DD4"/>
    <w:rsid w:val="00AE3148"/>
    <w:rsid w:val="00AE334C"/>
    <w:rsid w:val="00AE346F"/>
    <w:rsid w:val="00AE3940"/>
    <w:rsid w:val="00AE68D6"/>
    <w:rsid w:val="00AE70C2"/>
    <w:rsid w:val="00AF02F6"/>
    <w:rsid w:val="00AF0F13"/>
    <w:rsid w:val="00AF1388"/>
    <w:rsid w:val="00AF2D3D"/>
    <w:rsid w:val="00AF334F"/>
    <w:rsid w:val="00AF38AA"/>
    <w:rsid w:val="00AF457C"/>
    <w:rsid w:val="00AF464F"/>
    <w:rsid w:val="00AF6F5A"/>
    <w:rsid w:val="00AF72B3"/>
    <w:rsid w:val="00B0014B"/>
    <w:rsid w:val="00B00243"/>
    <w:rsid w:val="00B01A3B"/>
    <w:rsid w:val="00B01B70"/>
    <w:rsid w:val="00B01E08"/>
    <w:rsid w:val="00B01E5D"/>
    <w:rsid w:val="00B0223E"/>
    <w:rsid w:val="00B02915"/>
    <w:rsid w:val="00B033ED"/>
    <w:rsid w:val="00B048CB"/>
    <w:rsid w:val="00B06790"/>
    <w:rsid w:val="00B07EEB"/>
    <w:rsid w:val="00B07F33"/>
    <w:rsid w:val="00B10D94"/>
    <w:rsid w:val="00B12158"/>
    <w:rsid w:val="00B12352"/>
    <w:rsid w:val="00B13FF8"/>
    <w:rsid w:val="00B15516"/>
    <w:rsid w:val="00B15734"/>
    <w:rsid w:val="00B158B9"/>
    <w:rsid w:val="00B15CFE"/>
    <w:rsid w:val="00B15DF3"/>
    <w:rsid w:val="00B16ACB"/>
    <w:rsid w:val="00B16D3C"/>
    <w:rsid w:val="00B175FD"/>
    <w:rsid w:val="00B17F58"/>
    <w:rsid w:val="00B20645"/>
    <w:rsid w:val="00B20BE7"/>
    <w:rsid w:val="00B22AC9"/>
    <w:rsid w:val="00B2331C"/>
    <w:rsid w:val="00B23486"/>
    <w:rsid w:val="00B23525"/>
    <w:rsid w:val="00B243D6"/>
    <w:rsid w:val="00B244B8"/>
    <w:rsid w:val="00B24CA5"/>
    <w:rsid w:val="00B254DF"/>
    <w:rsid w:val="00B27229"/>
    <w:rsid w:val="00B2774D"/>
    <w:rsid w:val="00B318D3"/>
    <w:rsid w:val="00B31D44"/>
    <w:rsid w:val="00B354FF"/>
    <w:rsid w:val="00B35AC0"/>
    <w:rsid w:val="00B35F51"/>
    <w:rsid w:val="00B3617E"/>
    <w:rsid w:val="00B36869"/>
    <w:rsid w:val="00B36D9B"/>
    <w:rsid w:val="00B37E13"/>
    <w:rsid w:val="00B40326"/>
    <w:rsid w:val="00B40D1D"/>
    <w:rsid w:val="00B40E0B"/>
    <w:rsid w:val="00B40F33"/>
    <w:rsid w:val="00B4242E"/>
    <w:rsid w:val="00B4374A"/>
    <w:rsid w:val="00B44C93"/>
    <w:rsid w:val="00B45254"/>
    <w:rsid w:val="00B45716"/>
    <w:rsid w:val="00B4733C"/>
    <w:rsid w:val="00B47FBD"/>
    <w:rsid w:val="00B50354"/>
    <w:rsid w:val="00B5306B"/>
    <w:rsid w:val="00B544C0"/>
    <w:rsid w:val="00B564EC"/>
    <w:rsid w:val="00B60441"/>
    <w:rsid w:val="00B60685"/>
    <w:rsid w:val="00B6182C"/>
    <w:rsid w:val="00B62384"/>
    <w:rsid w:val="00B63545"/>
    <w:rsid w:val="00B63DD2"/>
    <w:rsid w:val="00B63F5B"/>
    <w:rsid w:val="00B64680"/>
    <w:rsid w:val="00B65188"/>
    <w:rsid w:val="00B65223"/>
    <w:rsid w:val="00B6537E"/>
    <w:rsid w:val="00B71150"/>
    <w:rsid w:val="00B7164A"/>
    <w:rsid w:val="00B71A8F"/>
    <w:rsid w:val="00B72C5E"/>
    <w:rsid w:val="00B73D55"/>
    <w:rsid w:val="00B73E3E"/>
    <w:rsid w:val="00B74D4C"/>
    <w:rsid w:val="00B7627D"/>
    <w:rsid w:val="00B7631C"/>
    <w:rsid w:val="00B76531"/>
    <w:rsid w:val="00B8035B"/>
    <w:rsid w:val="00B80A9E"/>
    <w:rsid w:val="00B80F36"/>
    <w:rsid w:val="00B824F8"/>
    <w:rsid w:val="00B837E7"/>
    <w:rsid w:val="00B8463E"/>
    <w:rsid w:val="00B847C5"/>
    <w:rsid w:val="00B855E1"/>
    <w:rsid w:val="00B86955"/>
    <w:rsid w:val="00B87A69"/>
    <w:rsid w:val="00B92DF4"/>
    <w:rsid w:val="00B93058"/>
    <w:rsid w:val="00B933E4"/>
    <w:rsid w:val="00B93A85"/>
    <w:rsid w:val="00B94024"/>
    <w:rsid w:val="00B94786"/>
    <w:rsid w:val="00B94A0D"/>
    <w:rsid w:val="00B9554C"/>
    <w:rsid w:val="00B95587"/>
    <w:rsid w:val="00B957EC"/>
    <w:rsid w:val="00B95A04"/>
    <w:rsid w:val="00B96807"/>
    <w:rsid w:val="00B97466"/>
    <w:rsid w:val="00B974AB"/>
    <w:rsid w:val="00BA0483"/>
    <w:rsid w:val="00BA105B"/>
    <w:rsid w:val="00BA14C0"/>
    <w:rsid w:val="00BA19FE"/>
    <w:rsid w:val="00BA1C7F"/>
    <w:rsid w:val="00BA2053"/>
    <w:rsid w:val="00BA2FBA"/>
    <w:rsid w:val="00BA4D16"/>
    <w:rsid w:val="00BA65E2"/>
    <w:rsid w:val="00BB05CE"/>
    <w:rsid w:val="00BB13FE"/>
    <w:rsid w:val="00BB1BE8"/>
    <w:rsid w:val="00BB2AFD"/>
    <w:rsid w:val="00BB49A3"/>
    <w:rsid w:val="00BB50B8"/>
    <w:rsid w:val="00BB516F"/>
    <w:rsid w:val="00BB52BD"/>
    <w:rsid w:val="00BB5591"/>
    <w:rsid w:val="00BB73B1"/>
    <w:rsid w:val="00BB7EBA"/>
    <w:rsid w:val="00BC0167"/>
    <w:rsid w:val="00BC0C7B"/>
    <w:rsid w:val="00BC1ED8"/>
    <w:rsid w:val="00BC2772"/>
    <w:rsid w:val="00BC3AA4"/>
    <w:rsid w:val="00BC3DA1"/>
    <w:rsid w:val="00BC439E"/>
    <w:rsid w:val="00BC4721"/>
    <w:rsid w:val="00BC58D8"/>
    <w:rsid w:val="00BC5E6A"/>
    <w:rsid w:val="00BC6B69"/>
    <w:rsid w:val="00BC7A7D"/>
    <w:rsid w:val="00BD0A61"/>
    <w:rsid w:val="00BD1CC8"/>
    <w:rsid w:val="00BD25B9"/>
    <w:rsid w:val="00BD25D0"/>
    <w:rsid w:val="00BD49FA"/>
    <w:rsid w:val="00BD524B"/>
    <w:rsid w:val="00BD5E53"/>
    <w:rsid w:val="00BD7931"/>
    <w:rsid w:val="00BE003F"/>
    <w:rsid w:val="00BE0D91"/>
    <w:rsid w:val="00BE1DCB"/>
    <w:rsid w:val="00BE6D35"/>
    <w:rsid w:val="00BF00DC"/>
    <w:rsid w:val="00BF0D15"/>
    <w:rsid w:val="00BF24F0"/>
    <w:rsid w:val="00BF36BC"/>
    <w:rsid w:val="00BF424F"/>
    <w:rsid w:val="00BF45F5"/>
    <w:rsid w:val="00BF46B8"/>
    <w:rsid w:val="00BF5C04"/>
    <w:rsid w:val="00BF70B3"/>
    <w:rsid w:val="00BF7F79"/>
    <w:rsid w:val="00C013E1"/>
    <w:rsid w:val="00C01435"/>
    <w:rsid w:val="00C02B9D"/>
    <w:rsid w:val="00C04412"/>
    <w:rsid w:val="00C04BCC"/>
    <w:rsid w:val="00C05796"/>
    <w:rsid w:val="00C05B81"/>
    <w:rsid w:val="00C0781B"/>
    <w:rsid w:val="00C079E9"/>
    <w:rsid w:val="00C10476"/>
    <w:rsid w:val="00C10C5C"/>
    <w:rsid w:val="00C13C41"/>
    <w:rsid w:val="00C14B30"/>
    <w:rsid w:val="00C150A8"/>
    <w:rsid w:val="00C16130"/>
    <w:rsid w:val="00C162F2"/>
    <w:rsid w:val="00C20267"/>
    <w:rsid w:val="00C2073B"/>
    <w:rsid w:val="00C20BBB"/>
    <w:rsid w:val="00C21B2A"/>
    <w:rsid w:val="00C21F46"/>
    <w:rsid w:val="00C22AC3"/>
    <w:rsid w:val="00C23940"/>
    <w:rsid w:val="00C23A43"/>
    <w:rsid w:val="00C24CD9"/>
    <w:rsid w:val="00C25232"/>
    <w:rsid w:val="00C25C54"/>
    <w:rsid w:val="00C3030A"/>
    <w:rsid w:val="00C318E7"/>
    <w:rsid w:val="00C329ED"/>
    <w:rsid w:val="00C33B3F"/>
    <w:rsid w:val="00C34985"/>
    <w:rsid w:val="00C3696B"/>
    <w:rsid w:val="00C36F76"/>
    <w:rsid w:val="00C406C2"/>
    <w:rsid w:val="00C40A82"/>
    <w:rsid w:val="00C41796"/>
    <w:rsid w:val="00C43029"/>
    <w:rsid w:val="00C43040"/>
    <w:rsid w:val="00C44379"/>
    <w:rsid w:val="00C44D26"/>
    <w:rsid w:val="00C45960"/>
    <w:rsid w:val="00C45D92"/>
    <w:rsid w:val="00C4657C"/>
    <w:rsid w:val="00C46E96"/>
    <w:rsid w:val="00C47217"/>
    <w:rsid w:val="00C474D6"/>
    <w:rsid w:val="00C477ED"/>
    <w:rsid w:val="00C47B1F"/>
    <w:rsid w:val="00C47EBE"/>
    <w:rsid w:val="00C51C54"/>
    <w:rsid w:val="00C5491C"/>
    <w:rsid w:val="00C54AF8"/>
    <w:rsid w:val="00C554E2"/>
    <w:rsid w:val="00C5576F"/>
    <w:rsid w:val="00C57899"/>
    <w:rsid w:val="00C57AF3"/>
    <w:rsid w:val="00C57EE3"/>
    <w:rsid w:val="00C60229"/>
    <w:rsid w:val="00C60633"/>
    <w:rsid w:val="00C63712"/>
    <w:rsid w:val="00C65BFF"/>
    <w:rsid w:val="00C672FA"/>
    <w:rsid w:val="00C67655"/>
    <w:rsid w:val="00C70AC5"/>
    <w:rsid w:val="00C7153E"/>
    <w:rsid w:val="00C7468C"/>
    <w:rsid w:val="00C75121"/>
    <w:rsid w:val="00C75BB4"/>
    <w:rsid w:val="00C75C26"/>
    <w:rsid w:val="00C77277"/>
    <w:rsid w:val="00C77B36"/>
    <w:rsid w:val="00C80206"/>
    <w:rsid w:val="00C823FC"/>
    <w:rsid w:val="00C82B75"/>
    <w:rsid w:val="00C83C5D"/>
    <w:rsid w:val="00C848E9"/>
    <w:rsid w:val="00C854DD"/>
    <w:rsid w:val="00C85741"/>
    <w:rsid w:val="00C86562"/>
    <w:rsid w:val="00C86713"/>
    <w:rsid w:val="00C86E4F"/>
    <w:rsid w:val="00C90221"/>
    <w:rsid w:val="00C90668"/>
    <w:rsid w:val="00C92CDC"/>
    <w:rsid w:val="00C92DCF"/>
    <w:rsid w:val="00C977E9"/>
    <w:rsid w:val="00C97C1C"/>
    <w:rsid w:val="00CA0121"/>
    <w:rsid w:val="00CA01CF"/>
    <w:rsid w:val="00CA0DD1"/>
    <w:rsid w:val="00CA214A"/>
    <w:rsid w:val="00CA23B4"/>
    <w:rsid w:val="00CA3FD9"/>
    <w:rsid w:val="00CA47FF"/>
    <w:rsid w:val="00CA5622"/>
    <w:rsid w:val="00CA61A6"/>
    <w:rsid w:val="00CA620D"/>
    <w:rsid w:val="00CA6CA5"/>
    <w:rsid w:val="00CA7ECD"/>
    <w:rsid w:val="00CB0059"/>
    <w:rsid w:val="00CB2400"/>
    <w:rsid w:val="00CB2814"/>
    <w:rsid w:val="00CB3BD0"/>
    <w:rsid w:val="00CB44FF"/>
    <w:rsid w:val="00CB6357"/>
    <w:rsid w:val="00CB64C5"/>
    <w:rsid w:val="00CB70E5"/>
    <w:rsid w:val="00CC1480"/>
    <w:rsid w:val="00CC23E9"/>
    <w:rsid w:val="00CC2CD5"/>
    <w:rsid w:val="00CC4495"/>
    <w:rsid w:val="00CC6DCB"/>
    <w:rsid w:val="00CC7D25"/>
    <w:rsid w:val="00CD0416"/>
    <w:rsid w:val="00CD1F3C"/>
    <w:rsid w:val="00CD1F55"/>
    <w:rsid w:val="00CD406F"/>
    <w:rsid w:val="00CD4F31"/>
    <w:rsid w:val="00CD613D"/>
    <w:rsid w:val="00CD75AE"/>
    <w:rsid w:val="00CD7767"/>
    <w:rsid w:val="00CD7E05"/>
    <w:rsid w:val="00CE1B3F"/>
    <w:rsid w:val="00CE3D14"/>
    <w:rsid w:val="00CE3F3A"/>
    <w:rsid w:val="00CE5508"/>
    <w:rsid w:val="00CE573B"/>
    <w:rsid w:val="00CE5BE1"/>
    <w:rsid w:val="00CE67A3"/>
    <w:rsid w:val="00CE714E"/>
    <w:rsid w:val="00CF000B"/>
    <w:rsid w:val="00CF0529"/>
    <w:rsid w:val="00CF1398"/>
    <w:rsid w:val="00CF3713"/>
    <w:rsid w:val="00CF3AFE"/>
    <w:rsid w:val="00CF4FD1"/>
    <w:rsid w:val="00CF50DE"/>
    <w:rsid w:val="00CF5500"/>
    <w:rsid w:val="00CF5775"/>
    <w:rsid w:val="00CF5FF0"/>
    <w:rsid w:val="00CF604B"/>
    <w:rsid w:val="00CF69D1"/>
    <w:rsid w:val="00CF6F4D"/>
    <w:rsid w:val="00CF705E"/>
    <w:rsid w:val="00CF72C2"/>
    <w:rsid w:val="00CF7EC8"/>
    <w:rsid w:val="00D01124"/>
    <w:rsid w:val="00D01C85"/>
    <w:rsid w:val="00D01D60"/>
    <w:rsid w:val="00D01F8A"/>
    <w:rsid w:val="00D02ADF"/>
    <w:rsid w:val="00D05C40"/>
    <w:rsid w:val="00D067E9"/>
    <w:rsid w:val="00D06997"/>
    <w:rsid w:val="00D07C62"/>
    <w:rsid w:val="00D10AA3"/>
    <w:rsid w:val="00D11C86"/>
    <w:rsid w:val="00D122FB"/>
    <w:rsid w:val="00D12D43"/>
    <w:rsid w:val="00D15E53"/>
    <w:rsid w:val="00D1637E"/>
    <w:rsid w:val="00D1689E"/>
    <w:rsid w:val="00D1778D"/>
    <w:rsid w:val="00D17DCD"/>
    <w:rsid w:val="00D205FD"/>
    <w:rsid w:val="00D20F34"/>
    <w:rsid w:val="00D2110B"/>
    <w:rsid w:val="00D220F2"/>
    <w:rsid w:val="00D25A00"/>
    <w:rsid w:val="00D25C26"/>
    <w:rsid w:val="00D25EED"/>
    <w:rsid w:val="00D26A5C"/>
    <w:rsid w:val="00D26D65"/>
    <w:rsid w:val="00D3004F"/>
    <w:rsid w:val="00D305EA"/>
    <w:rsid w:val="00D32A2B"/>
    <w:rsid w:val="00D34EFB"/>
    <w:rsid w:val="00D35775"/>
    <w:rsid w:val="00D35778"/>
    <w:rsid w:val="00D35DBF"/>
    <w:rsid w:val="00D36033"/>
    <w:rsid w:val="00D37F12"/>
    <w:rsid w:val="00D40788"/>
    <w:rsid w:val="00D4167E"/>
    <w:rsid w:val="00D41C29"/>
    <w:rsid w:val="00D435EC"/>
    <w:rsid w:val="00D437E1"/>
    <w:rsid w:val="00D44333"/>
    <w:rsid w:val="00D44934"/>
    <w:rsid w:val="00D453EF"/>
    <w:rsid w:val="00D45650"/>
    <w:rsid w:val="00D457C7"/>
    <w:rsid w:val="00D4795A"/>
    <w:rsid w:val="00D51F4A"/>
    <w:rsid w:val="00D52184"/>
    <w:rsid w:val="00D52B21"/>
    <w:rsid w:val="00D533D1"/>
    <w:rsid w:val="00D54219"/>
    <w:rsid w:val="00D54240"/>
    <w:rsid w:val="00D56D87"/>
    <w:rsid w:val="00D56E75"/>
    <w:rsid w:val="00D57026"/>
    <w:rsid w:val="00D57075"/>
    <w:rsid w:val="00D57EC9"/>
    <w:rsid w:val="00D61A0E"/>
    <w:rsid w:val="00D62446"/>
    <w:rsid w:val="00D62AB3"/>
    <w:rsid w:val="00D62CA6"/>
    <w:rsid w:val="00D63B51"/>
    <w:rsid w:val="00D63C79"/>
    <w:rsid w:val="00D65452"/>
    <w:rsid w:val="00D65719"/>
    <w:rsid w:val="00D66A45"/>
    <w:rsid w:val="00D678F3"/>
    <w:rsid w:val="00D679DC"/>
    <w:rsid w:val="00D70943"/>
    <w:rsid w:val="00D711A6"/>
    <w:rsid w:val="00D71742"/>
    <w:rsid w:val="00D71956"/>
    <w:rsid w:val="00D71E80"/>
    <w:rsid w:val="00D71EB3"/>
    <w:rsid w:val="00D723DF"/>
    <w:rsid w:val="00D73129"/>
    <w:rsid w:val="00D73236"/>
    <w:rsid w:val="00D771D0"/>
    <w:rsid w:val="00D77453"/>
    <w:rsid w:val="00D812FB"/>
    <w:rsid w:val="00D824A2"/>
    <w:rsid w:val="00D834CC"/>
    <w:rsid w:val="00D84E89"/>
    <w:rsid w:val="00D85A63"/>
    <w:rsid w:val="00D86C60"/>
    <w:rsid w:val="00D87DA8"/>
    <w:rsid w:val="00D90A6D"/>
    <w:rsid w:val="00D9176A"/>
    <w:rsid w:val="00D91E0E"/>
    <w:rsid w:val="00D9203E"/>
    <w:rsid w:val="00D928BC"/>
    <w:rsid w:val="00D93184"/>
    <w:rsid w:val="00D93A28"/>
    <w:rsid w:val="00D9473C"/>
    <w:rsid w:val="00D9616E"/>
    <w:rsid w:val="00D963E1"/>
    <w:rsid w:val="00D97D31"/>
    <w:rsid w:val="00D97D97"/>
    <w:rsid w:val="00D97F4D"/>
    <w:rsid w:val="00DA109C"/>
    <w:rsid w:val="00DA125A"/>
    <w:rsid w:val="00DA2922"/>
    <w:rsid w:val="00DA2D5B"/>
    <w:rsid w:val="00DA3453"/>
    <w:rsid w:val="00DA3504"/>
    <w:rsid w:val="00DA39C2"/>
    <w:rsid w:val="00DA4141"/>
    <w:rsid w:val="00DA46BF"/>
    <w:rsid w:val="00DA5743"/>
    <w:rsid w:val="00DA6426"/>
    <w:rsid w:val="00DA6B4D"/>
    <w:rsid w:val="00DA746E"/>
    <w:rsid w:val="00DA7CB5"/>
    <w:rsid w:val="00DB017B"/>
    <w:rsid w:val="00DB0C7E"/>
    <w:rsid w:val="00DB0FB4"/>
    <w:rsid w:val="00DB1B5C"/>
    <w:rsid w:val="00DB3790"/>
    <w:rsid w:val="00DB3BD6"/>
    <w:rsid w:val="00DB48B0"/>
    <w:rsid w:val="00DC093E"/>
    <w:rsid w:val="00DC17EB"/>
    <w:rsid w:val="00DC1933"/>
    <w:rsid w:val="00DC1964"/>
    <w:rsid w:val="00DC3685"/>
    <w:rsid w:val="00DC3AF4"/>
    <w:rsid w:val="00DC3DFD"/>
    <w:rsid w:val="00DC4070"/>
    <w:rsid w:val="00DC4339"/>
    <w:rsid w:val="00DC483B"/>
    <w:rsid w:val="00DC5814"/>
    <w:rsid w:val="00DC708A"/>
    <w:rsid w:val="00DC7249"/>
    <w:rsid w:val="00DD0CCD"/>
    <w:rsid w:val="00DD0E2C"/>
    <w:rsid w:val="00DD1243"/>
    <w:rsid w:val="00DD1ACD"/>
    <w:rsid w:val="00DD1B7D"/>
    <w:rsid w:val="00DD2180"/>
    <w:rsid w:val="00DD363E"/>
    <w:rsid w:val="00DD4A1A"/>
    <w:rsid w:val="00DD4F2D"/>
    <w:rsid w:val="00DD68C7"/>
    <w:rsid w:val="00DD7D36"/>
    <w:rsid w:val="00DE0499"/>
    <w:rsid w:val="00DE1AD1"/>
    <w:rsid w:val="00DE2370"/>
    <w:rsid w:val="00DE392B"/>
    <w:rsid w:val="00DE3F09"/>
    <w:rsid w:val="00DE4449"/>
    <w:rsid w:val="00DE4C05"/>
    <w:rsid w:val="00DE6848"/>
    <w:rsid w:val="00DE6935"/>
    <w:rsid w:val="00DE6BD1"/>
    <w:rsid w:val="00DF008F"/>
    <w:rsid w:val="00DF09C4"/>
    <w:rsid w:val="00DF0FA7"/>
    <w:rsid w:val="00DF1F07"/>
    <w:rsid w:val="00DF299F"/>
    <w:rsid w:val="00DF3056"/>
    <w:rsid w:val="00DF345A"/>
    <w:rsid w:val="00DF4490"/>
    <w:rsid w:val="00DF7382"/>
    <w:rsid w:val="00E00AF1"/>
    <w:rsid w:val="00E0154D"/>
    <w:rsid w:val="00E02A94"/>
    <w:rsid w:val="00E03B0A"/>
    <w:rsid w:val="00E04063"/>
    <w:rsid w:val="00E04F18"/>
    <w:rsid w:val="00E06739"/>
    <w:rsid w:val="00E1182E"/>
    <w:rsid w:val="00E1234E"/>
    <w:rsid w:val="00E1294D"/>
    <w:rsid w:val="00E13C13"/>
    <w:rsid w:val="00E1426A"/>
    <w:rsid w:val="00E14F21"/>
    <w:rsid w:val="00E1547F"/>
    <w:rsid w:val="00E154A5"/>
    <w:rsid w:val="00E1605E"/>
    <w:rsid w:val="00E16D30"/>
    <w:rsid w:val="00E174CA"/>
    <w:rsid w:val="00E1785E"/>
    <w:rsid w:val="00E20FD6"/>
    <w:rsid w:val="00E22A05"/>
    <w:rsid w:val="00E22BCA"/>
    <w:rsid w:val="00E241B1"/>
    <w:rsid w:val="00E2430A"/>
    <w:rsid w:val="00E2460D"/>
    <w:rsid w:val="00E31FF8"/>
    <w:rsid w:val="00E32417"/>
    <w:rsid w:val="00E33E89"/>
    <w:rsid w:val="00E34596"/>
    <w:rsid w:val="00E34B3A"/>
    <w:rsid w:val="00E34DD3"/>
    <w:rsid w:val="00E358ED"/>
    <w:rsid w:val="00E35D94"/>
    <w:rsid w:val="00E35EB9"/>
    <w:rsid w:val="00E36649"/>
    <w:rsid w:val="00E366F0"/>
    <w:rsid w:val="00E36B0C"/>
    <w:rsid w:val="00E37F70"/>
    <w:rsid w:val="00E403E3"/>
    <w:rsid w:val="00E4110E"/>
    <w:rsid w:val="00E415B8"/>
    <w:rsid w:val="00E416CA"/>
    <w:rsid w:val="00E4247E"/>
    <w:rsid w:val="00E44E32"/>
    <w:rsid w:val="00E45DF2"/>
    <w:rsid w:val="00E46449"/>
    <w:rsid w:val="00E478A3"/>
    <w:rsid w:val="00E5108B"/>
    <w:rsid w:val="00E544EE"/>
    <w:rsid w:val="00E54CA4"/>
    <w:rsid w:val="00E54E3D"/>
    <w:rsid w:val="00E552BC"/>
    <w:rsid w:val="00E55539"/>
    <w:rsid w:val="00E555C3"/>
    <w:rsid w:val="00E555F6"/>
    <w:rsid w:val="00E55C4C"/>
    <w:rsid w:val="00E565BF"/>
    <w:rsid w:val="00E6050F"/>
    <w:rsid w:val="00E6116B"/>
    <w:rsid w:val="00E62588"/>
    <w:rsid w:val="00E63257"/>
    <w:rsid w:val="00E6506A"/>
    <w:rsid w:val="00E669D6"/>
    <w:rsid w:val="00E66D39"/>
    <w:rsid w:val="00E66F6C"/>
    <w:rsid w:val="00E70164"/>
    <w:rsid w:val="00E70738"/>
    <w:rsid w:val="00E728B0"/>
    <w:rsid w:val="00E7594C"/>
    <w:rsid w:val="00E75BB0"/>
    <w:rsid w:val="00E768CD"/>
    <w:rsid w:val="00E76BCB"/>
    <w:rsid w:val="00E76E19"/>
    <w:rsid w:val="00E77055"/>
    <w:rsid w:val="00E77A93"/>
    <w:rsid w:val="00E800B3"/>
    <w:rsid w:val="00E80188"/>
    <w:rsid w:val="00E81580"/>
    <w:rsid w:val="00E81C9D"/>
    <w:rsid w:val="00E81E84"/>
    <w:rsid w:val="00E832B5"/>
    <w:rsid w:val="00E83BDD"/>
    <w:rsid w:val="00E85199"/>
    <w:rsid w:val="00E854C2"/>
    <w:rsid w:val="00E85B18"/>
    <w:rsid w:val="00E866CE"/>
    <w:rsid w:val="00E8717D"/>
    <w:rsid w:val="00E871B3"/>
    <w:rsid w:val="00E872AB"/>
    <w:rsid w:val="00E90C38"/>
    <w:rsid w:val="00E9241D"/>
    <w:rsid w:val="00E92CF1"/>
    <w:rsid w:val="00E9350A"/>
    <w:rsid w:val="00E93F01"/>
    <w:rsid w:val="00E94DDE"/>
    <w:rsid w:val="00E95950"/>
    <w:rsid w:val="00E95F2A"/>
    <w:rsid w:val="00E96AE6"/>
    <w:rsid w:val="00EA05DF"/>
    <w:rsid w:val="00EA0C84"/>
    <w:rsid w:val="00EA1751"/>
    <w:rsid w:val="00EA266B"/>
    <w:rsid w:val="00EA39B7"/>
    <w:rsid w:val="00EA3F63"/>
    <w:rsid w:val="00EA6453"/>
    <w:rsid w:val="00EB1393"/>
    <w:rsid w:val="00EB23EF"/>
    <w:rsid w:val="00EB29A2"/>
    <w:rsid w:val="00EB29A5"/>
    <w:rsid w:val="00EB38B4"/>
    <w:rsid w:val="00EB3AB7"/>
    <w:rsid w:val="00EB3C56"/>
    <w:rsid w:val="00EB4F42"/>
    <w:rsid w:val="00EB51E9"/>
    <w:rsid w:val="00EB5403"/>
    <w:rsid w:val="00EB5BC5"/>
    <w:rsid w:val="00EB67B1"/>
    <w:rsid w:val="00EB7DD9"/>
    <w:rsid w:val="00EC01DC"/>
    <w:rsid w:val="00EC0C7C"/>
    <w:rsid w:val="00EC1C3C"/>
    <w:rsid w:val="00EC2352"/>
    <w:rsid w:val="00EC297C"/>
    <w:rsid w:val="00EC6878"/>
    <w:rsid w:val="00EC6C50"/>
    <w:rsid w:val="00EC730C"/>
    <w:rsid w:val="00ED1927"/>
    <w:rsid w:val="00ED271B"/>
    <w:rsid w:val="00ED3A1C"/>
    <w:rsid w:val="00ED401A"/>
    <w:rsid w:val="00ED403B"/>
    <w:rsid w:val="00ED4335"/>
    <w:rsid w:val="00ED496A"/>
    <w:rsid w:val="00ED602F"/>
    <w:rsid w:val="00ED7021"/>
    <w:rsid w:val="00ED73CC"/>
    <w:rsid w:val="00EE21BE"/>
    <w:rsid w:val="00EE22CD"/>
    <w:rsid w:val="00EE26F5"/>
    <w:rsid w:val="00EE2701"/>
    <w:rsid w:val="00EE2719"/>
    <w:rsid w:val="00EE278E"/>
    <w:rsid w:val="00EE480A"/>
    <w:rsid w:val="00EE4A2E"/>
    <w:rsid w:val="00EE65FB"/>
    <w:rsid w:val="00EE6C3D"/>
    <w:rsid w:val="00EE757D"/>
    <w:rsid w:val="00EF03B0"/>
    <w:rsid w:val="00EF0A26"/>
    <w:rsid w:val="00EF1274"/>
    <w:rsid w:val="00EF1487"/>
    <w:rsid w:val="00EF1978"/>
    <w:rsid w:val="00EF1CED"/>
    <w:rsid w:val="00EF1F5E"/>
    <w:rsid w:val="00EF252D"/>
    <w:rsid w:val="00EF2850"/>
    <w:rsid w:val="00EF3A3C"/>
    <w:rsid w:val="00EF3E18"/>
    <w:rsid w:val="00EF3E44"/>
    <w:rsid w:val="00EF42BC"/>
    <w:rsid w:val="00EF5C20"/>
    <w:rsid w:val="00EF7415"/>
    <w:rsid w:val="00EF7947"/>
    <w:rsid w:val="00EF7B7F"/>
    <w:rsid w:val="00F00C23"/>
    <w:rsid w:val="00F02062"/>
    <w:rsid w:val="00F02194"/>
    <w:rsid w:val="00F02530"/>
    <w:rsid w:val="00F02BF2"/>
    <w:rsid w:val="00F0315A"/>
    <w:rsid w:val="00F0551C"/>
    <w:rsid w:val="00F0579D"/>
    <w:rsid w:val="00F06336"/>
    <w:rsid w:val="00F069ED"/>
    <w:rsid w:val="00F06F4E"/>
    <w:rsid w:val="00F07FA2"/>
    <w:rsid w:val="00F119A2"/>
    <w:rsid w:val="00F1371B"/>
    <w:rsid w:val="00F15554"/>
    <w:rsid w:val="00F17DB8"/>
    <w:rsid w:val="00F201B0"/>
    <w:rsid w:val="00F213FF"/>
    <w:rsid w:val="00F24063"/>
    <w:rsid w:val="00F241E0"/>
    <w:rsid w:val="00F24BE6"/>
    <w:rsid w:val="00F251D5"/>
    <w:rsid w:val="00F25445"/>
    <w:rsid w:val="00F25B05"/>
    <w:rsid w:val="00F2676C"/>
    <w:rsid w:val="00F30990"/>
    <w:rsid w:val="00F35487"/>
    <w:rsid w:val="00F35A8A"/>
    <w:rsid w:val="00F36C10"/>
    <w:rsid w:val="00F37072"/>
    <w:rsid w:val="00F37575"/>
    <w:rsid w:val="00F40020"/>
    <w:rsid w:val="00F41D73"/>
    <w:rsid w:val="00F4216A"/>
    <w:rsid w:val="00F42D68"/>
    <w:rsid w:val="00F44CF2"/>
    <w:rsid w:val="00F456DA"/>
    <w:rsid w:val="00F46E49"/>
    <w:rsid w:val="00F471F3"/>
    <w:rsid w:val="00F50321"/>
    <w:rsid w:val="00F50C79"/>
    <w:rsid w:val="00F50CA3"/>
    <w:rsid w:val="00F5133B"/>
    <w:rsid w:val="00F53008"/>
    <w:rsid w:val="00F53EC6"/>
    <w:rsid w:val="00F54404"/>
    <w:rsid w:val="00F544EB"/>
    <w:rsid w:val="00F55608"/>
    <w:rsid w:val="00F576E2"/>
    <w:rsid w:val="00F5797F"/>
    <w:rsid w:val="00F60043"/>
    <w:rsid w:val="00F6007E"/>
    <w:rsid w:val="00F614E5"/>
    <w:rsid w:val="00F615F5"/>
    <w:rsid w:val="00F61A9C"/>
    <w:rsid w:val="00F61D36"/>
    <w:rsid w:val="00F63AD7"/>
    <w:rsid w:val="00F657C5"/>
    <w:rsid w:val="00F660FF"/>
    <w:rsid w:val="00F666A2"/>
    <w:rsid w:val="00F66BD0"/>
    <w:rsid w:val="00F6701D"/>
    <w:rsid w:val="00F678ED"/>
    <w:rsid w:val="00F70DAF"/>
    <w:rsid w:val="00F714F7"/>
    <w:rsid w:val="00F716A1"/>
    <w:rsid w:val="00F7266B"/>
    <w:rsid w:val="00F72B32"/>
    <w:rsid w:val="00F731C0"/>
    <w:rsid w:val="00F74702"/>
    <w:rsid w:val="00F7526F"/>
    <w:rsid w:val="00F754D9"/>
    <w:rsid w:val="00F759D0"/>
    <w:rsid w:val="00F75FDF"/>
    <w:rsid w:val="00F76032"/>
    <w:rsid w:val="00F76107"/>
    <w:rsid w:val="00F767C2"/>
    <w:rsid w:val="00F7794C"/>
    <w:rsid w:val="00F807FE"/>
    <w:rsid w:val="00F80EE1"/>
    <w:rsid w:val="00F823DB"/>
    <w:rsid w:val="00F824A9"/>
    <w:rsid w:val="00F8261A"/>
    <w:rsid w:val="00F83619"/>
    <w:rsid w:val="00F85732"/>
    <w:rsid w:val="00F85E9F"/>
    <w:rsid w:val="00F92245"/>
    <w:rsid w:val="00F927B7"/>
    <w:rsid w:val="00F93046"/>
    <w:rsid w:val="00F93755"/>
    <w:rsid w:val="00F937EC"/>
    <w:rsid w:val="00F93BF7"/>
    <w:rsid w:val="00F94446"/>
    <w:rsid w:val="00F9474F"/>
    <w:rsid w:val="00F9525D"/>
    <w:rsid w:val="00F96A4E"/>
    <w:rsid w:val="00F96EF0"/>
    <w:rsid w:val="00F97438"/>
    <w:rsid w:val="00F976E6"/>
    <w:rsid w:val="00F97A11"/>
    <w:rsid w:val="00FA0E12"/>
    <w:rsid w:val="00FA0E1D"/>
    <w:rsid w:val="00FA1AA0"/>
    <w:rsid w:val="00FA243C"/>
    <w:rsid w:val="00FA2E89"/>
    <w:rsid w:val="00FA3ACC"/>
    <w:rsid w:val="00FA4C43"/>
    <w:rsid w:val="00FA4C91"/>
    <w:rsid w:val="00FA5893"/>
    <w:rsid w:val="00FA5D8B"/>
    <w:rsid w:val="00FA63F1"/>
    <w:rsid w:val="00FA77ED"/>
    <w:rsid w:val="00FA7937"/>
    <w:rsid w:val="00FA7CF2"/>
    <w:rsid w:val="00FB0D35"/>
    <w:rsid w:val="00FB1967"/>
    <w:rsid w:val="00FB19C0"/>
    <w:rsid w:val="00FB279C"/>
    <w:rsid w:val="00FB3E9B"/>
    <w:rsid w:val="00FB7B0A"/>
    <w:rsid w:val="00FC09F7"/>
    <w:rsid w:val="00FC0B8A"/>
    <w:rsid w:val="00FC10B6"/>
    <w:rsid w:val="00FC1F95"/>
    <w:rsid w:val="00FC222E"/>
    <w:rsid w:val="00FC32ED"/>
    <w:rsid w:val="00FC3437"/>
    <w:rsid w:val="00FC3B52"/>
    <w:rsid w:val="00FC461B"/>
    <w:rsid w:val="00FC4847"/>
    <w:rsid w:val="00FC625C"/>
    <w:rsid w:val="00FC7C51"/>
    <w:rsid w:val="00FD06A5"/>
    <w:rsid w:val="00FD0988"/>
    <w:rsid w:val="00FD1525"/>
    <w:rsid w:val="00FD15BA"/>
    <w:rsid w:val="00FD177B"/>
    <w:rsid w:val="00FD30FC"/>
    <w:rsid w:val="00FD41AE"/>
    <w:rsid w:val="00FD56A3"/>
    <w:rsid w:val="00FD71CF"/>
    <w:rsid w:val="00FE0971"/>
    <w:rsid w:val="00FE0CEC"/>
    <w:rsid w:val="00FE1638"/>
    <w:rsid w:val="00FE2CAF"/>
    <w:rsid w:val="00FE3752"/>
    <w:rsid w:val="00FE3817"/>
    <w:rsid w:val="00FE4366"/>
    <w:rsid w:val="00FE4B43"/>
    <w:rsid w:val="00FE5082"/>
    <w:rsid w:val="00FE5800"/>
    <w:rsid w:val="00FE6E78"/>
    <w:rsid w:val="00FE6EF2"/>
    <w:rsid w:val="00FE77CC"/>
    <w:rsid w:val="00FE78AA"/>
    <w:rsid w:val="00FE7B22"/>
    <w:rsid w:val="00FF0414"/>
    <w:rsid w:val="00FF0490"/>
    <w:rsid w:val="00FF0554"/>
    <w:rsid w:val="00FF168C"/>
    <w:rsid w:val="00FF187B"/>
    <w:rsid w:val="00FF18BB"/>
    <w:rsid w:val="00FF3505"/>
    <w:rsid w:val="00FF4A32"/>
    <w:rsid w:val="00FF5834"/>
    <w:rsid w:val="00FF6B1C"/>
    <w:rsid w:val="00FF6F46"/>
    <w:rsid w:val="00FF7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2F7F"/>
  <w15:docId w15:val="{199D0415-6E95-4DA6-811F-9AE90B81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32"/>
    <w:rPr>
      <w:sz w:val="24"/>
    </w:rPr>
  </w:style>
  <w:style w:type="paragraph" w:styleId="Heading1">
    <w:name w:val="heading 1"/>
    <w:basedOn w:val="Heading2"/>
    <w:next w:val="Normal"/>
    <w:link w:val="Heading1Char"/>
    <w:uiPriority w:val="9"/>
    <w:qFormat/>
    <w:rsid w:val="00C86562"/>
    <w:pPr>
      <w:outlineLvl w:val="0"/>
    </w:pPr>
    <w:rPr>
      <w:rFonts w:ascii="Calibri" w:eastAsia="Times New Roman" w:hAnsi="Calibri" w:cs="Calibri"/>
      <w:sz w:val="28"/>
      <w:szCs w:val="28"/>
    </w:rPr>
  </w:style>
  <w:style w:type="paragraph" w:styleId="Heading2">
    <w:name w:val="heading 2"/>
    <w:basedOn w:val="Normal"/>
    <w:next w:val="Normal"/>
    <w:link w:val="Heading2Char"/>
    <w:uiPriority w:val="9"/>
    <w:unhideWhenUsed/>
    <w:qFormat/>
    <w:rsid w:val="003E22BB"/>
    <w:pPr>
      <w:keepNext/>
      <w:keepLines/>
      <w:spacing w:before="40" w:after="0" w:line="259" w:lineRule="auto"/>
      <w:outlineLvl w:val="1"/>
    </w:pPr>
    <w:rPr>
      <w:rFonts w:eastAsiaTheme="majorEastAsia" w:cstheme="minorHAnsi"/>
      <w:b/>
      <w:szCs w:val="26"/>
    </w:rPr>
  </w:style>
  <w:style w:type="paragraph" w:styleId="Heading3">
    <w:name w:val="heading 3"/>
    <w:basedOn w:val="Normal"/>
    <w:next w:val="Normal"/>
    <w:link w:val="Heading3Char"/>
    <w:uiPriority w:val="9"/>
    <w:unhideWhenUsed/>
    <w:qFormat/>
    <w:rsid w:val="003B170D"/>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3B170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62"/>
    <w:rPr>
      <w:rFonts w:ascii="Calibri" w:eastAsia="Times New Roman" w:hAnsi="Calibri" w:cs="Calibri"/>
      <w:b/>
      <w:sz w:val="28"/>
      <w:szCs w:val="28"/>
    </w:rPr>
  </w:style>
  <w:style w:type="character" w:customStyle="1" w:styleId="Heading2Char">
    <w:name w:val="Heading 2 Char"/>
    <w:basedOn w:val="DefaultParagraphFont"/>
    <w:link w:val="Heading2"/>
    <w:uiPriority w:val="9"/>
    <w:rsid w:val="003E22BB"/>
    <w:rPr>
      <w:rFonts w:eastAsiaTheme="majorEastAsia" w:cstheme="minorHAnsi"/>
      <w:b/>
      <w:sz w:val="24"/>
      <w:szCs w:val="26"/>
    </w:rPr>
  </w:style>
  <w:style w:type="character" w:customStyle="1" w:styleId="Heading3Char">
    <w:name w:val="Heading 3 Char"/>
    <w:basedOn w:val="DefaultParagraphFont"/>
    <w:link w:val="Heading3"/>
    <w:uiPriority w:val="9"/>
    <w:rsid w:val="003B170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B170D"/>
    <w:rPr>
      <w:rFonts w:asciiTheme="majorHAnsi" w:eastAsiaTheme="majorEastAsia" w:hAnsiTheme="majorHAnsi" w:cstheme="majorBidi"/>
      <w:i/>
      <w:iCs/>
      <w:color w:val="365F91" w:themeColor="accent1" w:themeShade="BF"/>
    </w:rPr>
  </w:style>
  <w:style w:type="table" w:styleId="TableGrid">
    <w:name w:val="Table Grid"/>
    <w:basedOn w:val="TableNormal"/>
    <w:uiPriority w:val="39"/>
    <w:rsid w:val="00204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D20"/>
  </w:style>
  <w:style w:type="paragraph" w:styleId="Footer">
    <w:name w:val="footer"/>
    <w:basedOn w:val="Normal"/>
    <w:link w:val="FooterChar"/>
    <w:uiPriority w:val="99"/>
    <w:unhideWhenUsed/>
    <w:rsid w:val="00204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D20"/>
  </w:style>
  <w:style w:type="paragraph" w:styleId="ListParagraph">
    <w:name w:val="List Paragraph"/>
    <w:aliases w:val="Recommendatio,Dot pt,No Spacing1,List Paragraph Char Char Char,Indicator Text,Numbered Para 1,List Paragraph1,Bullet 1,Bullet Points,MAIN CONTENT,F5 List Paragraph,List Paragraph2,List Paragraph12,Colorful List - Accent 11,Normal numbere"/>
    <w:basedOn w:val="Normal"/>
    <w:link w:val="ListParagraphChar"/>
    <w:uiPriority w:val="34"/>
    <w:qFormat/>
    <w:rsid w:val="00111B84"/>
    <w:pPr>
      <w:ind w:left="720"/>
      <w:contextualSpacing/>
    </w:pPr>
  </w:style>
  <w:style w:type="character" w:customStyle="1" w:styleId="ListParagraphChar">
    <w:name w:val="List Paragraph Char"/>
    <w:aliases w:val="Recommendatio Char,Dot pt Char,No Spacing1 Char,List Paragraph Char Char Char Char,Indicator Text Char,Numbered Para 1 Char,List Paragraph1 Char,Bullet 1 Char,Bullet Points Char,MAIN CONTENT Char,F5 List Paragraph Char"/>
    <w:link w:val="ListParagraph"/>
    <w:uiPriority w:val="34"/>
    <w:qFormat/>
    <w:locked/>
    <w:rsid w:val="008D20BE"/>
    <w:rPr>
      <w:sz w:val="24"/>
    </w:rPr>
  </w:style>
  <w:style w:type="character" w:styleId="Hyperlink">
    <w:name w:val="Hyperlink"/>
    <w:basedOn w:val="DefaultParagraphFont"/>
    <w:uiPriority w:val="99"/>
    <w:unhideWhenUsed/>
    <w:rsid w:val="00E83BDD"/>
    <w:rPr>
      <w:color w:val="0000FF" w:themeColor="hyperlink"/>
      <w:u w:val="single"/>
    </w:rPr>
  </w:style>
  <w:style w:type="paragraph" w:styleId="BalloonText">
    <w:name w:val="Balloon Text"/>
    <w:basedOn w:val="Normal"/>
    <w:link w:val="BalloonTextChar"/>
    <w:uiPriority w:val="99"/>
    <w:semiHidden/>
    <w:unhideWhenUsed/>
    <w:rsid w:val="0060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4DB9"/>
    <w:rPr>
      <w:rFonts w:ascii="Tahoma" w:hAnsi="Tahoma" w:cs="Tahoma"/>
      <w:sz w:val="16"/>
      <w:szCs w:val="16"/>
    </w:rPr>
  </w:style>
  <w:style w:type="character" w:styleId="FollowedHyperlink">
    <w:name w:val="FollowedHyperlink"/>
    <w:basedOn w:val="DefaultParagraphFont"/>
    <w:uiPriority w:val="99"/>
    <w:semiHidden/>
    <w:unhideWhenUsed/>
    <w:rsid w:val="00CE5BE1"/>
    <w:rPr>
      <w:color w:val="800080" w:themeColor="followedHyperlink"/>
      <w:u w:val="single"/>
    </w:rPr>
  </w:style>
  <w:style w:type="paragraph" w:customStyle="1" w:styleId="Default">
    <w:name w:val="Default"/>
    <w:rsid w:val="00B45716"/>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23A43"/>
    <w:rPr>
      <w:sz w:val="16"/>
      <w:szCs w:val="16"/>
    </w:rPr>
  </w:style>
  <w:style w:type="paragraph" w:styleId="CommentText">
    <w:name w:val="annotation text"/>
    <w:basedOn w:val="Normal"/>
    <w:link w:val="CommentTextChar"/>
    <w:uiPriority w:val="99"/>
    <w:unhideWhenUsed/>
    <w:rsid w:val="00C23A43"/>
    <w:pPr>
      <w:spacing w:line="240" w:lineRule="auto"/>
    </w:pPr>
    <w:rPr>
      <w:sz w:val="20"/>
      <w:szCs w:val="20"/>
    </w:rPr>
  </w:style>
  <w:style w:type="character" w:customStyle="1" w:styleId="CommentTextChar">
    <w:name w:val="Comment Text Char"/>
    <w:basedOn w:val="DefaultParagraphFont"/>
    <w:link w:val="CommentText"/>
    <w:uiPriority w:val="99"/>
    <w:rsid w:val="00C23A43"/>
    <w:rPr>
      <w:sz w:val="20"/>
      <w:szCs w:val="20"/>
    </w:rPr>
  </w:style>
  <w:style w:type="paragraph" w:styleId="CommentSubject">
    <w:name w:val="annotation subject"/>
    <w:basedOn w:val="CommentText"/>
    <w:next w:val="CommentText"/>
    <w:link w:val="CommentSubjectChar"/>
    <w:uiPriority w:val="99"/>
    <w:semiHidden/>
    <w:unhideWhenUsed/>
    <w:rsid w:val="00C23A43"/>
    <w:rPr>
      <w:b/>
      <w:bCs/>
    </w:rPr>
  </w:style>
  <w:style w:type="character" w:customStyle="1" w:styleId="CommentSubjectChar">
    <w:name w:val="Comment Subject Char"/>
    <w:basedOn w:val="CommentTextChar"/>
    <w:link w:val="CommentSubject"/>
    <w:uiPriority w:val="99"/>
    <w:semiHidden/>
    <w:rsid w:val="00C23A43"/>
    <w:rPr>
      <w:b/>
      <w:bCs/>
      <w:sz w:val="20"/>
      <w:szCs w:val="20"/>
    </w:rPr>
  </w:style>
  <w:style w:type="paragraph" w:styleId="Revision">
    <w:name w:val="Revision"/>
    <w:hidden/>
    <w:uiPriority w:val="99"/>
    <w:semiHidden/>
    <w:rsid w:val="00C23A43"/>
    <w:pPr>
      <w:spacing w:after="0" w:line="240" w:lineRule="auto"/>
    </w:pPr>
  </w:style>
  <w:style w:type="table" w:styleId="GridTable4-Accent1">
    <w:name w:val="Grid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3">
    <w:name w:val="Plain Table 13"/>
    <w:basedOn w:val="TableNormal"/>
    <w:next w:val="PlainTable1"/>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D20B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8D20BE"/>
  </w:style>
  <w:style w:type="table" w:styleId="ListTable4-Accent1">
    <w:name w:val="List Table 4 Accent 1"/>
    <w:basedOn w:val="TableNormal"/>
    <w:uiPriority w:val="49"/>
    <w:rsid w:val="008D20B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
    <w:name w:val="List Table 4"/>
    <w:basedOn w:val="TableNormal"/>
    <w:uiPriority w:val="49"/>
    <w:rsid w:val="001428C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rsid w:val="004C035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C05B81"/>
    <w:pPr>
      <w:spacing w:before="100" w:beforeAutospacing="1" w:after="100" w:afterAutospacing="1" w:line="240" w:lineRule="auto"/>
    </w:pPr>
    <w:rPr>
      <w:rFonts w:ascii="Times New Roman" w:hAnsi="Times New Roman" w:cs="Times New Roman"/>
      <w:szCs w:val="24"/>
      <w:lang w:eastAsia="en-GB"/>
    </w:rPr>
  </w:style>
  <w:style w:type="character" w:customStyle="1" w:styleId="eop">
    <w:name w:val="eop"/>
    <w:basedOn w:val="DefaultParagraphFont"/>
    <w:rsid w:val="00C05B81"/>
  </w:style>
  <w:style w:type="character" w:customStyle="1" w:styleId="normaltextrun">
    <w:name w:val="normaltextrun"/>
    <w:basedOn w:val="DefaultParagraphFont"/>
    <w:rsid w:val="00C05B81"/>
  </w:style>
  <w:style w:type="character" w:customStyle="1" w:styleId="UnresolvedMention1">
    <w:name w:val="Unresolved Mention1"/>
    <w:basedOn w:val="DefaultParagraphFont"/>
    <w:uiPriority w:val="99"/>
    <w:semiHidden/>
    <w:unhideWhenUsed/>
    <w:rsid w:val="00CA47FF"/>
    <w:rPr>
      <w:color w:val="605E5C"/>
      <w:shd w:val="clear" w:color="auto" w:fill="E1DFDD"/>
    </w:rPr>
  </w:style>
  <w:style w:type="paragraph" w:styleId="NormalWeb">
    <w:name w:val="Normal (Web)"/>
    <w:basedOn w:val="Normal"/>
    <w:uiPriority w:val="99"/>
    <w:semiHidden/>
    <w:unhideWhenUsed/>
    <w:rsid w:val="00912C08"/>
    <w:rPr>
      <w:rFonts w:ascii="Times New Roman" w:hAnsi="Times New Roman" w:cs="Times New Roman"/>
      <w:szCs w:val="24"/>
    </w:rPr>
  </w:style>
  <w:style w:type="paragraph" w:styleId="FootnoteText">
    <w:name w:val="footnote text"/>
    <w:basedOn w:val="Normal"/>
    <w:link w:val="FootnoteTextChar"/>
    <w:uiPriority w:val="99"/>
    <w:semiHidden/>
    <w:unhideWhenUsed/>
    <w:rsid w:val="005D1E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1EE3"/>
    <w:rPr>
      <w:sz w:val="20"/>
      <w:szCs w:val="20"/>
    </w:rPr>
  </w:style>
  <w:style w:type="character" w:styleId="FootnoteReference">
    <w:name w:val="footnote reference"/>
    <w:basedOn w:val="DefaultParagraphFont"/>
    <w:uiPriority w:val="99"/>
    <w:semiHidden/>
    <w:unhideWhenUsed/>
    <w:rsid w:val="005D1EE3"/>
    <w:rPr>
      <w:vertAlign w:val="superscript"/>
    </w:rPr>
  </w:style>
  <w:style w:type="character" w:customStyle="1" w:styleId="UnresolvedMention2">
    <w:name w:val="Unresolved Mention2"/>
    <w:basedOn w:val="DefaultParagraphFont"/>
    <w:uiPriority w:val="99"/>
    <w:semiHidden/>
    <w:unhideWhenUsed/>
    <w:rsid w:val="005D1EE3"/>
    <w:rPr>
      <w:color w:val="605E5C"/>
      <w:shd w:val="clear" w:color="auto" w:fill="E1DFDD"/>
    </w:rPr>
  </w:style>
  <w:style w:type="paragraph" w:customStyle="1" w:styleId="Pa5">
    <w:name w:val="Pa5"/>
    <w:basedOn w:val="Default"/>
    <w:next w:val="Default"/>
    <w:uiPriority w:val="99"/>
    <w:rsid w:val="005D7863"/>
    <w:pPr>
      <w:spacing w:line="221" w:lineRule="atLeast"/>
    </w:pPr>
    <w:rPr>
      <w:rFonts w:ascii="Gotham Book" w:hAnsi="Gotham Book" w:cstheme="minorBidi"/>
      <w:color w:val="auto"/>
    </w:rPr>
  </w:style>
  <w:style w:type="character" w:customStyle="1" w:styleId="A4">
    <w:name w:val="A4"/>
    <w:uiPriority w:val="99"/>
    <w:rsid w:val="005D7863"/>
    <w:rPr>
      <w:rFonts w:cs="Gotham Book"/>
      <w:color w:val="55554A"/>
      <w:sz w:val="22"/>
      <w:szCs w:val="22"/>
    </w:rPr>
  </w:style>
  <w:style w:type="character" w:customStyle="1" w:styleId="UnresolvedMention3">
    <w:name w:val="Unresolved Mention3"/>
    <w:basedOn w:val="DefaultParagraphFont"/>
    <w:uiPriority w:val="99"/>
    <w:semiHidden/>
    <w:unhideWhenUsed/>
    <w:rsid w:val="006E319D"/>
    <w:rPr>
      <w:color w:val="605E5C"/>
      <w:shd w:val="clear" w:color="auto" w:fill="E1DFDD"/>
    </w:rPr>
  </w:style>
  <w:style w:type="character" w:customStyle="1" w:styleId="cf01">
    <w:name w:val="cf01"/>
    <w:basedOn w:val="DefaultParagraphFont"/>
    <w:rsid w:val="006454B5"/>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7938DE"/>
    <w:rPr>
      <w:color w:val="605E5C"/>
      <w:shd w:val="clear" w:color="auto" w:fill="E1DFDD"/>
    </w:rPr>
  </w:style>
  <w:style w:type="character" w:styleId="Emphasis">
    <w:name w:val="Emphasis"/>
    <w:basedOn w:val="DefaultParagraphFont"/>
    <w:uiPriority w:val="20"/>
    <w:qFormat/>
    <w:rsid w:val="00DC1964"/>
    <w:rPr>
      <w:i/>
      <w:iCs/>
    </w:rPr>
  </w:style>
  <w:style w:type="character" w:styleId="UnresolvedMention">
    <w:name w:val="Unresolved Mention"/>
    <w:basedOn w:val="DefaultParagraphFont"/>
    <w:uiPriority w:val="99"/>
    <w:semiHidden/>
    <w:unhideWhenUsed/>
    <w:rsid w:val="000C3E41"/>
    <w:rPr>
      <w:color w:val="605E5C"/>
      <w:shd w:val="clear" w:color="auto" w:fill="E1DFDD"/>
    </w:rPr>
  </w:style>
  <w:style w:type="character" w:styleId="Strong">
    <w:name w:val="Strong"/>
    <w:uiPriority w:val="22"/>
    <w:qFormat/>
    <w:rsid w:val="008B7BD5"/>
    <w:rPr>
      <w:b/>
      <w:bCs/>
    </w:rPr>
  </w:style>
  <w:style w:type="table" w:styleId="TableGridLight">
    <w:name w:val="Grid Table Light"/>
    <w:basedOn w:val="TableNormal"/>
    <w:uiPriority w:val="40"/>
    <w:rsid w:val="005449F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3B1C20"/>
    <w:pPr>
      <w:spacing w:after="0" w:line="240" w:lineRule="auto"/>
    </w:pPr>
    <w:rPr>
      <w:rFonts w:ascii="Arial" w:hAnsi="Arial" w:cs="Arial"/>
      <w:sz w:val="22"/>
      <w:lang w:eastAsia="en-GB"/>
    </w:rPr>
  </w:style>
  <w:style w:type="paragraph" w:styleId="NoSpacing">
    <w:name w:val="No Spacing"/>
    <w:uiPriority w:val="1"/>
    <w:qFormat/>
    <w:rsid w:val="00E1547F"/>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08">
      <w:bodyDiv w:val="1"/>
      <w:marLeft w:val="0"/>
      <w:marRight w:val="0"/>
      <w:marTop w:val="0"/>
      <w:marBottom w:val="0"/>
      <w:divBdr>
        <w:top w:val="none" w:sz="0" w:space="0" w:color="auto"/>
        <w:left w:val="none" w:sz="0" w:space="0" w:color="auto"/>
        <w:bottom w:val="none" w:sz="0" w:space="0" w:color="auto"/>
        <w:right w:val="none" w:sz="0" w:space="0" w:color="auto"/>
      </w:divBdr>
    </w:div>
    <w:div w:id="12728315">
      <w:bodyDiv w:val="1"/>
      <w:marLeft w:val="0"/>
      <w:marRight w:val="0"/>
      <w:marTop w:val="0"/>
      <w:marBottom w:val="0"/>
      <w:divBdr>
        <w:top w:val="none" w:sz="0" w:space="0" w:color="auto"/>
        <w:left w:val="none" w:sz="0" w:space="0" w:color="auto"/>
        <w:bottom w:val="none" w:sz="0" w:space="0" w:color="auto"/>
        <w:right w:val="none" w:sz="0" w:space="0" w:color="auto"/>
      </w:divBdr>
    </w:div>
    <w:div w:id="21175636">
      <w:bodyDiv w:val="1"/>
      <w:marLeft w:val="0"/>
      <w:marRight w:val="0"/>
      <w:marTop w:val="0"/>
      <w:marBottom w:val="0"/>
      <w:divBdr>
        <w:top w:val="none" w:sz="0" w:space="0" w:color="auto"/>
        <w:left w:val="none" w:sz="0" w:space="0" w:color="auto"/>
        <w:bottom w:val="none" w:sz="0" w:space="0" w:color="auto"/>
        <w:right w:val="none" w:sz="0" w:space="0" w:color="auto"/>
      </w:divBdr>
    </w:div>
    <w:div w:id="24409558">
      <w:bodyDiv w:val="1"/>
      <w:marLeft w:val="0"/>
      <w:marRight w:val="0"/>
      <w:marTop w:val="0"/>
      <w:marBottom w:val="0"/>
      <w:divBdr>
        <w:top w:val="none" w:sz="0" w:space="0" w:color="auto"/>
        <w:left w:val="none" w:sz="0" w:space="0" w:color="auto"/>
        <w:bottom w:val="none" w:sz="0" w:space="0" w:color="auto"/>
        <w:right w:val="none" w:sz="0" w:space="0" w:color="auto"/>
      </w:divBdr>
    </w:div>
    <w:div w:id="34425813">
      <w:bodyDiv w:val="1"/>
      <w:marLeft w:val="0"/>
      <w:marRight w:val="0"/>
      <w:marTop w:val="0"/>
      <w:marBottom w:val="0"/>
      <w:divBdr>
        <w:top w:val="none" w:sz="0" w:space="0" w:color="auto"/>
        <w:left w:val="none" w:sz="0" w:space="0" w:color="auto"/>
        <w:bottom w:val="none" w:sz="0" w:space="0" w:color="auto"/>
        <w:right w:val="none" w:sz="0" w:space="0" w:color="auto"/>
      </w:divBdr>
    </w:div>
    <w:div w:id="49767702">
      <w:bodyDiv w:val="1"/>
      <w:marLeft w:val="0"/>
      <w:marRight w:val="0"/>
      <w:marTop w:val="0"/>
      <w:marBottom w:val="0"/>
      <w:divBdr>
        <w:top w:val="none" w:sz="0" w:space="0" w:color="auto"/>
        <w:left w:val="none" w:sz="0" w:space="0" w:color="auto"/>
        <w:bottom w:val="none" w:sz="0" w:space="0" w:color="auto"/>
        <w:right w:val="none" w:sz="0" w:space="0" w:color="auto"/>
      </w:divBdr>
    </w:div>
    <w:div w:id="49960608">
      <w:bodyDiv w:val="1"/>
      <w:marLeft w:val="0"/>
      <w:marRight w:val="0"/>
      <w:marTop w:val="0"/>
      <w:marBottom w:val="0"/>
      <w:divBdr>
        <w:top w:val="none" w:sz="0" w:space="0" w:color="auto"/>
        <w:left w:val="none" w:sz="0" w:space="0" w:color="auto"/>
        <w:bottom w:val="none" w:sz="0" w:space="0" w:color="auto"/>
        <w:right w:val="none" w:sz="0" w:space="0" w:color="auto"/>
      </w:divBdr>
    </w:div>
    <w:div w:id="58066912">
      <w:bodyDiv w:val="1"/>
      <w:marLeft w:val="0"/>
      <w:marRight w:val="0"/>
      <w:marTop w:val="0"/>
      <w:marBottom w:val="0"/>
      <w:divBdr>
        <w:top w:val="none" w:sz="0" w:space="0" w:color="auto"/>
        <w:left w:val="none" w:sz="0" w:space="0" w:color="auto"/>
        <w:bottom w:val="none" w:sz="0" w:space="0" w:color="auto"/>
        <w:right w:val="none" w:sz="0" w:space="0" w:color="auto"/>
      </w:divBdr>
    </w:div>
    <w:div w:id="87964751">
      <w:bodyDiv w:val="1"/>
      <w:marLeft w:val="0"/>
      <w:marRight w:val="0"/>
      <w:marTop w:val="0"/>
      <w:marBottom w:val="0"/>
      <w:divBdr>
        <w:top w:val="none" w:sz="0" w:space="0" w:color="auto"/>
        <w:left w:val="none" w:sz="0" w:space="0" w:color="auto"/>
        <w:bottom w:val="none" w:sz="0" w:space="0" w:color="auto"/>
        <w:right w:val="none" w:sz="0" w:space="0" w:color="auto"/>
      </w:divBdr>
    </w:div>
    <w:div w:id="93289534">
      <w:bodyDiv w:val="1"/>
      <w:marLeft w:val="0"/>
      <w:marRight w:val="0"/>
      <w:marTop w:val="0"/>
      <w:marBottom w:val="0"/>
      <w:divBdr>
        <w:top w:val="none" w:sz="0" w:space="0" w:color="auto"/>
        <w:left w:val="none" w:sz="0" w:space="0" w:color="auto"/>
        <w:bottom w:val="none" w:sz="0" w:space="0" w:color="auto"/>
        <w:right w:val="none" w:sz="0" w:space="0" w:color="auto"/>
      </w:divBdr>
    </w:div>
    <w:div w:id="95715315">
      <w:bodyDiv w:val="1"/>
      <w:marLeft w:val="0"/>
      <w:marRight w:val="0"/>
      <w:marTop w:val="0"/>
      <w:marBottom w:val="0"/>
      <w:divBdr>
        <w:top w:val="none" w:sz="0" w:space="0" w:color="auto"/>
        <w:left w:val="none" w:sz="0" w:space="0" w:color="auto"/>
        <w:bottom w:val="none" w:sz="0" w:space="0" w:color="auto"/>
        <w:right w:val="none" w:sz="0" w:space="0" w:color="auto"/>
      </w:divBdr>
    </w:div>
    <w:div w:id="104230636">
      <w:bodyDiv w:val="1"/>
      <w:marLeft w:val="0"/>
      <w:marRight w:val="0"/>
      <w:marTop w:val="0"/>
      <w:marBottom w:val="0"/>
      <w:divBdr>
        <w:top w:val="none" w:sz="0" w:space="0" w:color="auto"/>
        <w:left w:val="none" w:sz="0" w:space="0" w:color="auto"/>
        <w:bottom w:val="none" w:sz="0" w:space="0" w:color="auto"/>
        <w:right w:val="none" w:sz="0" w:space="0" w:color="auto"/>
      </w:divBdr>
    </w:div>
    <w:div w:id="122969744">
      <w:bodyDiv w:val="1"/>
      <w:marLeft w:val="0"/>
      <w:marRight w:val="0"/>
      <w:marTop w:val="0"/>
      <w:marBottom w:val="0"/>
      <w:divBdr>
        <w:top w:val="none" w:sz="0" w:space="0" w:color="auto"/>
        <w:left w:val="none" w:sz="0" w:space="0" w:color="auto"/>
        <w:bottom w:val="none" w:sz="0" w:space="0" w:color="auto"/>
        <w:right w:val="none" w:sz="0" w:space="0" w:color="auto"/>
      </w:divBdr>
    </w:div>
    <w:div w:id="126895612">
      <w:bodyDiv w:val="1"/>
      <w:marLeft w:val="0"/>
      <w:marRight w:val="0"/>
      <w:marTop w:val="0"/>
      <w:marBottom w:val="0"/>
      <w:divBdr>
        <w:top w:val="none" w:sz="0" w:space="0" w:color="auto"/>
        <w:left w:val="none" w:sz="0" w:space="0" w:color="auto"/>
        <w:bottom w:val="none" w:sz="0" w:space="0" w:color="auto"/>
        <w:right w:val="none" w:sz="0" w:space="0" w:color="auto"/>
      </w:divBdr>
    </w:div>
    <w:div w:id="146825786">
      <w:bodyDiv w:val="1"/>
      <w:marLeft w:val="0"/>
      <w:marRight w:val="0"/>
      <w:marTop w:val="0"/>
      <w:marBottom w:val="0"/>
      <w:divBdr>
        <w:top w:val="none" w:sz="0" w:space="0" w:color="auto"/>
        <w:left w:val="none" w:sz="0" w:space="0" w:color="auto"/>
        <w:bottom w:val="none" w:sz="0" w:space="0" w:color="auto"/>
        <w:right w:val="none" w:sz="0" w:space="0" w:color="auto"/>
      </w:divBdr>
    </w:div>
    <w:div w:id="147941381">
      <w:bodyDiv w:val="1"/>
      <w:marLeft w:val="0"/>
      <w:marRight w:val="0"/>
      <w:marTop w:val="0"/>
      <w:marBottom w:val="0"/>
      <w:divBdr>
        <w:top w:val="none" w:sz="0" w:space="0" w:color="auto"/>
        <w:left w:val="none" w:sz="0" w:space="0" w:color="auto"/>
        <w:bottom w:val="none" w:sz="0" w:space="0" w:color="auto"/>
        <w:right w:val="none" w:sz="0" w:space="0" w:color="auto"/>
      </w:divBdr>
    </w:div>
    <w:div w:id="156575737">
      <w:bodyDiv w:val="1"/>
      <w:marLeft w:val="0"/>
      <w:marRight w:val="0"/>
      <w:marTop w:val="0"/>
      <w:marBottom w:val="0"/>
      <w:divBdr>
        <w:top w:val="none" w:sz="0" w:space="0" w:color="auto"/>
        <w:left w:val="none" w:sz="0" w:space="0" w:color="auto"/>
        <w:bottom w:val="none" w:sz="0" w:space="0" w:color="auto"/>
        <w:right w:val="none" w:sz="0" w:space="0" w:color="auto"/>
      </w:divBdr>
    </w:div>
    <w:div w:id="157695011">
      <w:bodyDiv w:val="1"/>
      <w:marLeft w:val="0"/>
      <w:marRight w:val="0"/>
      <w:marTop w:val="0"/>
      <w:marBottom w:val="0"/>
      <w:divBdr>
        <w:top w:val="none" w:sz="0" w:space="0" w:color="auto"/>
        <w:left w:val="none" w:sz="0" w:space="0" w:color="auto"/>
        <w:bottom w:val="none" w:sz="0" w:space="0" w:color="auto"/>
        <w:right w:val="none" w:sz="0" w:space="0" w:color="auto"/>
      </w:divBdr>
    </w:div>
    <w:div w:id="178617692">
      <w:bodyDiv w:val="1"/>
      <w:marLeft w:val="0"/>
      <w:marRight w:val="0"/>
      <w:marTop w:val="0"/>
      <w:marBottom w:val="0"/>
      <w:divBdr>
        <w:top w:val="none" w:sz="0" w:space="0" w:color="auto"/>
        <w:left w:val="none" w:sz="0" w:space="0" w:color="auto"/>
        <w:bottom w:val="none" w:sz="0" w:space="0" w:color="auto"/>
        <w:right w:val="none" w:sz="0" w:space="0" w:color="auto"/>
      </w:divBdr>
    </w:div>
    <w:div w:id="179245871">
      <w:bodyDiv w:val="1"/>
      <w:marLeft w:val="0"/>
      <w:marRight w:val="0"/>
      <w:marTop w:val="0"/>
      <w:marBottom w:val="0"/>
      <w:divBdr>
        <w:top w:val="none" w:sz="0" w:space="0" w:color="auto"/>
        <w:left w:val="none" w:sz="0" w:space="0" w:color="auto"/>
        <w:bottom w:val="none" w:sz="0" w:space="0" w:color="auto"/>
        <w:right w:val="none" w:sz="0" w:space="0" w:color="auto"/>
      </w:divBdr>
    </w:div>
    <w:div w:id="188569715">
      <w:bodyDiv w:val="1"/>
      <w:marLeft w:val="0"/>
      <w:marRight w:val="0"/>
      <w:marTop w:val="0"/>
      <w:marBottom w:val="0"/>
      <w:divBdr>
        <w:top w:val="none" w:sz="0" w:space="0" w:color="auto"/>
        <w:left w:val="none" w:sz="0" w:space="0" w:color="auto"/>
        <w:bottom w:val="none" w:sz="0" w:space="0" w:color="auto"/>
        <w:right w:val="none" w:sz="0" w:space="0" w:color="auto"/>
      </w:divBdr>
    </w:div>
    <w:div w:id="198251424">
      <w:bodyDiv w:val="1"/>
      <w:marLeft w:val="0"/>
      <w:marRight w:val="0"/>
      <w:marTop w:val="0"/>
      <w:marBottom w:val="0"/>
      <w:divBdr>
        <w:top w:val="none" w:sz="0" w:space="0" w:color="auto"/>
        <w:left w:val="none" w:sz="0" w:space="0" w:color="auto"/>
        <w:bottom w:val="none" w:sz="0" w:space="0" w:color="auto"/>
        <w:right w:val="none" w:sz="0" w:space="0" w:color="auto"/>
      </w:divBdr>
    </w:div>
    <w:div w:id="209345304">
      <w:bodyDiv w:val="1"/>
      <w:marLeft w:val="0"/>
      <w:marRight w:val="0"/>
      <w:marTop w:val="0"/>
      <w:marBottom w:val="0"/>
      <w:divBdr>
        <w:top w:val="none" w:sz="0" w:space="0" w:color="auto"/>
        <w:left w:val="none" w:sz="0" w:space="0" w:color="auto"/>
        <w:bottom w:val="none" w:sz="0" w:space="0" w:color="auto"/>
        <w:right w:val="none" w:sz="0" w:space="0" w:color="auto"/>
      </w:divBdr>
    </w:div>
    <w:div w:id="217397283">
      <w:bodyDiv w:val="1"/>
      <w:marLeft w:val="0"/>
      <w:marRight w:val="0"/>
      <w:marTop w:val="0"/>
      <w:marBottom w:val="0"/>
      <w:divBdr>
        <w:top w:val="none" w:sz="0" w:space="0" w:color="auto"/>
        <w:left w:val="none" w:sz="0" w:space="0" w:color="auto"/>
        <w:bottom w:val="none" w:sz="0" w:space="0" w:color="auto"/>
        <w:right w:val="none" w:sz="0" w:space="0" w:color="auto"/>
      </w:divBdr>
    </w:div>
    <w:div w:id="220333803">
      <w:bodyDiv w:val="1"/>
      <w:marLeft w:val="0"/>
      <w:marRight w:val="0"/>
      <w:marTop w:val="0"/>
      <w:marBottom w:val="0"/>
      <w:divBdr>
        <w:top w:val="none" w:sz="0" w:space="0" w:color="auto"/>
        <w:left w:val="none" w:sz="0" w:space="0" w:color="auto"/>
        <w:bottom w:val="none" w:sz="0" w:space="0" w:color="auto"/>
        <w:right w:val="none" w:sz="0" w:space="0" w:color="auto"/>
      </w:divBdr>
    </w:div>
    <w:div w:id="222181423">
      <w:bodyDiv w:val="1"/>
      <w:marLeft w:val="0"/>
      <w:marRight w:val="0"/>
      <w:marTop w:val="0"/>
      <w:marBottom w:val="0"/>
      <w:divBdr>
        <w:top w:val="none" w:sz="0" w:space="0" w:color="auto"/>
        <w:left w:val="none" w:sz="0" w:space="0" w:color="auto"/>
        <w:bottom w:val="none" w:sz="0" w:space="0" w:color="auto"/>
        <w:right w:val="none" w:sz="0" w:space="0" w:color="auto"/>
      </w:divBdr>
    </w:div>
    <w:div w:id="237398695">
      <w:bodyDiv w:val="1"/>
      <w:marLeft w:val="0"/>
      <w:marRight w:val="0"/>
      <w:marTop w:val="0"/>
      <w:marBottom w:val="0"/>
      <w:divBdr>
        <w:top w:val="none" w:sz="0" w:space="0" w:color="auto"/>
        <w:left w:val="none" w:sz="0" w:space="0" w:color="auto"/>
        <w:bottom w:val="none" w:sz="0" w:space="0" w:color="auto"/>
        <w:right w:val="none" w:sz="0" w:space="0" w:color="auto"/>
      </w:divBdr>
    </w:div>
    <w:div w:id="239683309">
      <w:bodyDiv w:val="1"/>
      <w:marLeft w:val="0"/>
      <w:marRight w:val="0"/>
      <w:marTop w:val="0"/>
      <w:marBottom w:val="0"/>
      <w:divBdr>
        <w:top w:val="none" w:sz="0" w:space="0" w:color="auto"/>
        <w:left w:val="none" w:sz="0" w:space="0" w:color="auto"/>
        <w:bottom w:val="none" w:sz="0" w:space="0" w:color="auto"/>
        <w:right w:val="none" w:sz="0" w:space="0" w:color="auto"/>
      </w:divBdr>
    </w:div>
    <w:div w:id="239945094">
      <w:bodyDiv w:val="1"/>
      <w:marLeft w:val="0"/>
      <w:marRight w:val="0"/>
      <w:marTop w:val="0"/>
      <w:marBottom w:val="0"/>
      <w:divBdr>
        <w:top w:val="none" w:sz="0" w:space="0" w:color="auto"/>
        <w:left w:val="none" w:sz="0" w:space="0" w:color="auto"/>
        <w:bottom w:val="none" w:sz="0" w:space="0" w:color="auto"/>
        <w:right w:val="none" w:sz="0" w:space="0" w:color="auto"/>
      </w:divBdr>
    </w:div>
    <w:div w:id="248123276">
      <w:bodyDiv w:val="1"/>
      <w:marLeft w:val="0"/>
      <w:marRight w:val="0"/>
      <w:marTop w:val="0"/>
      <w:marBottom w:val="0"/>
      <w:divBdr>
        <w:top w:val="none" w:sz="0" w:space="0" w:color="auto"/>
        <w:left w:val="none" w:sz="0" w:space="0" w:color="auto"/>
        <w:bottom w:val="none" w:sz="0" w:space="0" w:color="auto"/>
        <w:right w:val="none" w:sz="0" w:space="0" w:color="auto"/>
      </w:divBdr>
    </w:div>
    <w:div w:id="252665811">
      <w:bodyDiv w:val="1"/>
      <w:marLeft w:val="0"/>
      <w:marRight w:val="0"/>
      <w:marTop w:val="0"/>
      <w:marBottom w:val="0"/>
      <w:divBdr>
        <w:top w:val="none" w:sz="0" w:space="0" w:color="auto"/>
        <w:left w:val="none" w:sz="0" w:space="0" w:color="auto"/>
        <w:bottom w:val="none" w:sz="0" w:space="0" w:color="auto"/>
        <w:right w:val="none" w:sz="0" w:space="0" w:color="auto"/>
      </w:divBdr>
    </w:div>
    <w:div w:id="294288722">
      <w:bodyDiv w:val="1"/>
      <w:marLeft w:val="0"/>
      <w:marRight w:val="0"/>
      <w:marTop w:val="0"/>
      <w:marBottom w:val="0"/>
      <w:divBdr>
        <w:top w:val="none" w:sz="0" w:space="0" w:color="auto"/>
        <w:left w:val="none" w:sz="0" w:space="0" w:color="auto"/>
        <w:bottom w:val="none" w:sz="0" w:space="0" w:color="auto"/>
        <w:right w:val="none" w:sz="0" w:space="0" w:color="auto"/>
      </w:divBdr>
    </w:div>
    <w:div w:id="323632130">
      <w:bodyDiv w:val="1"/>
      <w:marLeft w:val="0"/>
      <w:marRight w:val="0"/>
      <w:marTop w:val="0"/>
      <w:marBottom w:val="0"/>
      <w:divBdr>
        <w:top w:val="none" w:sz="0" w:space="0" w:color="auto"/>
        <w:left w:val="none" w:sz="0" w:space="0" w:color="auto"/>
        <w:bottom w:val="none" w:sz="0" w:space="0" w:color="auto"/>
        <w:right w:val="none" w:sz="0" w:space="0" w:color="auto"/>
      </w:divBdr>
    </w:div>
    <w:div w:id="324207332">
      <w:bodyDiv w:val="1"/>
      <w:marLeft w:val="0"/>
      <w:marRight w:val="0"/>
      <w:marTop w:val="0"/>
      <w:marBottom w:val="0"/>
      <w:divBdr>
        <w:top w:val="none" w:sz="0" w:space="0" w:color="auto"/>
        <w:left w:val="none" w:sz="0" w:space="0" w:color="auto"/>
        <w:bottom w:val="none" w:sz="0" w:space="0" w:color="auto"/>
        <w:right w:val="none" w:sz="0" w:space="0" w:color="auto"/>
      </w:divBdr>
    </w:div>
    <w:div w:id="334653241">
      <w:bodyDiv w:val="1"/>
      <w:marLeft w:val="0"/>
      <w:marRight w:val="0"/>
      <w:marTop w:val="0"/>
      <w:marBottom w:val="0"/>
      <w:divBdr>
        <w:top w:val="none" w:sz="0" w:space="0" w:color="auto"/>
        <w:left w:val="none" w:sz="0" w:space="0" w:color="auto"/>
        <w:bottom w:val="none" w:sz="0" w:space="0" w:color="auto"/>
        <w:right w:val="none" w:sz="0" w:space="0" w:color="auto"/>
      </w:divBdr>
    </w:div>
    <w:div w:id="340157971">
      <w:bodyDiv w:val="1"/>
      <w:marLeft w:val="0"/>
      <w:marRight w:val="0"/>
      <w:marTop w:val="0"/>
      <w:marBottom w:val="0"/>
      <w:divBdr>
        <w:top w:val="none" w:sz="0" w:space="0" w:color="auto"/>
        <w:left w:val="none" w:sz="0" w:space="0" w:color="auto"/>
        <w:bottom w:val="none" w:sz="0" w:space="0" w:color="auto"/>
        <w:right w:val="none" w:sz="0" w:space="0" w:color="auto"/>
      </w:divBdr>
    </w:div>
    <w:div w:id="369768834">
      <w:bodyDiv w:val="1"/>
      <w:marLeft w:val="0"/>
      <w:marRight w:val="0"/>
      <w:marTop w:val="0"/>
      <w:marBottom w:val="0"/>
      <w:divBdr>
        <w:top w:val="none" w:sz="0" w:space="0" w:color="auto"/>
        <w:left w:val="none" w:sz="0" w:space="0" w:color="auto"/>
        <w:bottom w:val="none" w:sz="0" w:space="0" w:color="auto"/>
        <w:right w:val="none" w:sz="0" w:space="0" w:color="auto"/>
      </w:divBdr>
    </w:div>
    <w:div w:id="371274484">
      <w:bodyDiv w:val="1"/>
      <w:marLeft w:val="0"/>
      <w:marRight w:val="0"/>
      <w:marTop w:val="0"/>
      <w:marBottom w:val="0"/>
      <w:divBdr>
        <w:top w:val="none" w:sz="0" w:space="0" w:color="auto"/>
        <w:left w:val="none" w:sz="0" w:space="0" w:color="auto"/>
        <w:bottom w:val="none" w:sz="0" w:space="0" w:color="auto"/>
        <w:right w:val="none" w:sz="0" w:space="0" w:color="auto"/>
      </w:divBdr>
    </w:div>
    <w:div w:id="381827479">
      <w:bodyDiv w:val="1"/>
      <w:marLeft w:val="0"/>
      <w:marRight w:val="0"/>
      <w:marTop w:val="0"/>
      <w:marBottom w:val="0"/>
      <w:divBdr>
        <w:top w:val="none" w:sz="0" w:space="0" w:color="auto"/>
        <w:left w:val="none" w:sz="0" w:space="0" w:color="auto"/>
        <w:bottom w:val="none" w:sz="0" w:space="0" w:color="auto"/>
        <w:right w:val="none" w:sz="0" w:space="0" w:color="auto"/>
      </w:divBdr>
    </w:div>
    <w:div w:id="384065748">
      <w:bodyDiv w:val="1"/>
      <w:marLeft w:val="0"/>
      <w:marRight w:val="0"/>
      <w:marTop w:val="0"/>
      <w:marBottom w:val="0"/>
      <w:divBdr>
        <w:top w:val="none" w:sz="0" w:space="0" w:color="auto"/>
        <w:left w:val="none" w:sz="0" w:space="0" w:color="auto"/>
        <w:bottom w:val="none" w:sz="0" w:space="0" w:color="auto"/>
        <w:right w:val="none" w:sz="0" w:space="0" w:color="auto"/>
      </w:divBdr>
    </w:div>
    <w:div w:id="406535667">
      <w:bodyDiv w:val="1"/>
      <w:marLeft w:val="0"/>
      <w:marRight w:val="0"/>
      <w:marTop w:val="0"/>
      <w:marBottom w:val="0"/>
      <w:divBdr>
        <w:top w:val="none" w:sz="0" w:space="0" w:color="auto"/>
        <w:left w:val="none" w:sz="0" w:space="0" w:color="auto"/>
        <w:bottom w:val="none" w:sz="0" w:space="0" w:color="auto"/>
        <w:right w:val="none" w:sz="0" w:space="0" w:color="auto"/>
      </w:divBdr>
    </w:div>
    <w:div w:id="408502172">
      <w:bodyDiv w:val="1"/>
      <w:marLeft w:val="0"/>
      <w:marRight w:val="0"/>
      <w:marTop w:val="0"/>
      <w:marBottom w:val="0"/>
      <w:divBdr>
        <w:top w:val="none" w:sz="0" w:space="0" w:color="auto"/>
        <w:left w:val="none" w:sz="0" w:space="0" w:color="auto"/>
        <w:bottom w:val="none" w:sz="0" w:space="0" w:color="auto"/>
        <w:right w:val="none" w:sz="0" w:space="0" w:color="auto"/>
      </w:divBdr>
    </w:div>
    <w:div w:id="434980643">
      <w:bodyDiv w:val="1"/>
      <w:marLeft w:val="0"/>
      <w:marRight w:val="0"/>
      <w:marTop w:val="0"/>
      <w:marBottom w:val="0"/>
      <w:divBdr>
        <w:top w:val="none" w:sz="0" w:space="0" w:color="auto"/>
        <w:left w:val="none" w:sz="0" w:space="0" w:color="auto"/>
        <w:bottom w:val="none" w:sz="0" w:space="0" w:color="auto"/>
        <w:right w:val="none" w:sz="0" w:space="0" w:color="auto"/>
      </w:divBdr>
    </w:div>
    <w:div w:id="435835346">
      <w:bodyDiv w:val="1"/>
      <w:marLeft w:val="0"/>
      <w:marRight w:val="0"/>
      <w:marTop w:val="0"/>
      <w:marBottom w:val="0"/>
      <w:divBdr>
        <w:top w:val="none" w:sz="0" w:space="0" w:color="auto"/>
        <w:left w:val="none" w:sz="0" w:space="0" w:color="auto"/>
        <w:bottom w:val="none" w:sz="0" w:space="0" w:color="auto"/>
        <w:right w:val="none" w:sz="0" w:space="0" w:color="auto"/>
      </w:divBdr>
    </w:div>
    <w:div w:id="457408131">
      <w:bodyDiv w:val="1"/>
      <w:marLeft w:val="0"/>
      <w:marRight w:val="0"/>
      <w:marTop w:val="0"/>
      <w:marBottom w:val="0"/>
      <w:divBdr>
        <w:top w:val="none" w:sz="0" w:space="0" w:color="auto"/>
        <w:left w:val="none" w:sz="0" w:space="0" w:color="auto"/>
        <w:bottom w:val="none" w:sz="0" w:space="0" w:color="auto"/>
        <w:right w:val="none" w:sz="0" w:space="0" w:color="auto"/>
      </w:divBdr>
    </w:div>
    <w:div w:id="486626999">
      <w:bodyDiv w:val="1"/>
      <w:marLeft w:val="0"/>
      <w:marRight w:val="0"/>
      <w:marTop w:val="0"/>
      <w:marBottom w:val="0"/>
      <w:divBdr>
        <w:top w:val="none" w:sz="0" w:space="0" w:color="auto"/>
        <w:left w:val="none" w:sz="0" w:space="0" w:color="auto"/>
        <w:bottom w:val="none" w:sz="0" w:space="0" w:color="auto"/>
        <w:right w:val="none" w:sz="0" w:space="0" w:color="auto"/>
      </w:divBdr>
    </w:div>
    <w:div w:id="487408136">
      <w:bodyDiv w:val="1"/>
      <w:marLeft w:val="0"/>
      <w:marRight w:val="0"/>
      <w:marTop w:val="0"/>
      <w:marBottom w:val="0"/>
      <w:divBdr>
        <w:top w:val="none" w:sz="0" w:space="0" w:color="auto"/>
        <w:left w:val="none" w:sz="0" w:space="0" w:color="auto"/>
        <w:bottom w:val="none" w:sz="0" w:space="0" w:color="auto"/>
        <w:right w:val="none" w:sz="0" w:space="0" w:color="auto"/>
      </w:divBdr>
    </w:div>
    <w:div w:id="522591278">
      <w:bodyDiv w:val="1"/>
      <w:marLeft w:val="0"/>
      <w:marRight w:val="0"/>
      <w:marTop w:val="0"/>
      <w:marBottom w:val="0"/>
      <w:divBdr>
        <w:top w:val="none" w:sz="0" w:space="0" w:color="auto"/>
        <w:left w:val="none" w:sz="0" w:space="0" w:color="auto"/>
        <w:bottom w:val="none" w:sz="0" w:space="0" w:color="auto"/>
        <w:right w:val="none" w:sz="0" w:space="0" w:color="auto"/>
      </w:divBdr>
    </w:div>
    <w:div w:id="523792898">
      <w:bodyDiv w:val="1"/>
      <w:marLeft w:val="0"/>
      <w:marRight w:val="0"/>
      <w:marTop w:val="0"/>
      <w:marBottom w:val="0"/>
      <w:divBdr>
        <w:top w:val="none" w:sz="0" w:space="0" w:color="auto"/>
        <w:left w:val="none" w:sz="0" w:space="0" w:color="auto"/>
        <w:bottom w:val="none" w:sz="0" w:space="0" w:color="auto"/>
        <w:right w:val="none" w:sz="0" w:space="0" w:color="auto"/>
      </w:divBdr>
    </w:div>
    <w:div w:id="528030594">
      <w:bodyDiv w:val="1"/>
      <w:marLeft w:val="0"/>
      <w:marRight w:val="0"/>
      <w:marTop w:val="0"/>
      <w:marBottom w:val="0"/>
      <w:divBdr>
        <w:top w:val="none" w:sz="0" w:space="0" w:color="auto"/>
        <w:left w:val="none" w:sz="0" w:space="0" w:color="auto"/>
        <w:bottom w:val="none" w:sz="0" w:space="0" w:color="auto"/>
        <w:right w:val="none" w:sz="0" w:space="0" w:color="auto"/>
      </w:divBdr>
    </w:div>
    <w:div w:id="538393471">
      <w:bodyDiv w:val="1"/>
      <w:marLeft w:val="0"/>
      <w:marRight w:val="0"/>
      <w:marTop w:val="0"/>
      <w:marBottom w:val="0"/>
      <w:divBdr>
        <w:top w:val="none" w:sz="0" w:space="0" w:color="auto"/>
        <w:left w:val="none" w:sz="0" w:space="0" w:color="auto"/>
        <w:bottom w:val="none" w:sz="0" w:space="0" w:color="auto"/>
        <w:right w:val="none" w:sz="0" w:space="0" w:color="auto"/>
      </w:divBdr>
    </w:div>
    <w:div w:id="541020893">
      <w:bodyDiv w:val="1"/>
      <w:marLeft w:val="0"/>
      <w:marRight w:val="0"/>
      <w:marTop w:val="0"/>
      <w:marBottom w:val="0"/>
      <w:divBdr>
        <w:top w:val="none" w:sz="0" w:space="0" w:color="auto"/>
        <w:left w:val="none" w:sz="0" w:space="0" w:color="auto"/>
        <w:bottom w:val="none" w:sz="0" w:space="0" w:color="auto"/>
        <w:right w:val="none" w:sz="0" w:space="0" w:color="auto"/>
      </w:divBdr>
    </w:div>
    <w:div w:id="552010838">
      <w:bodyDiv w:val="1"/>
      <w:marLeft w:val="0"/>
      <w:marRight w:val="0"/>
      <w:marTop w:val="0"/>
      <w:marBottom w:val="0"/>
      <w:divBdr>
        <w:top w:val="none" w:sz="0" w:space="0" w:color="auto"/>
        <w:left w:val="none" w:sz="0" w:space="0" w:color="auto"/>
        <w:bottom w:val="none" w:sz="0" w:space="0" w:color="auto"/>
        <w:right w:val="none" w:sz="0" w:space="0" w:color="auto"/>
      </w:divBdr>
    </w:div>
    <w:div w:id="561675862">
      <w:bodyDiv w:val="1"/>
      <w:marLeft w:val="0"/>
      <w:marRight w:val="0"/>
      <w:marTop w:val="0"/>
      <w:marBottom w:val="0"/>
      <w:divBdr>
        <w:top w:val="none" w:sz="0" w:space="0" w:color="auto"/>
        <w:left w:val="none" w:sz="0" w:space="0" w:color="auto"/>
        <w:bottom w:val="none" w:sz="0" w:space="0" w:color="auto"/>
        <w:right w:val="none" w:sz="0" w:space="0" w:color="auto"/>
      </w:divBdr>
    </w:div>
    <w:div w:id="572860010">
      <w:bodyDiv w:val="1"/>
      <w:marLeft w:val="0"/>
      <w:marRight w:val="0"/>
      <w:marTop w:val="0"/>
      <w:marBottom w:val="0"/>
      <w:divBdr>
        <w:top w:val="none" w:sz="0" w:space="0" w:color="auto"/>
        <w:left w:val="none" w:sz="0" w:space="0" w:color="auto"/>
        <w:bottom w:val="none" w:sz="0" w:space="0" w:color="auto"/>
        <w:right w:val="none" w:sz="0" w:space="0" w:color="auto"/>
      </w:divBdr>
    </w:div>
    <w:div w:id="589509344">
      <w:bodyDiv w:val="1"/>
      <w:marLeft w:val="0"/>
      <w:marRight w:val="0"/>
      <w:marTop w:val="0"/>
      <w:marBottom w:val="0"/>
      <w:divBdr>
        <w:top w:val="none" w:sz="0" w:space="0" w:color="auto"/>
        <w:left w:val="none" w:sz="0" w:space="0" w:color="auto"/>
        <w:bottom w:val="none" w:sz="0" w:space="0" w:color="auto"/>
        <w:right w:val="none" w:sz="0" w:space="0" w:color="auto"/>
      </w:divBdr>
    </w:div>
    <w:div w:id="602956089">
      <w:bodyDiv w:val="1"/>
      <w:marLeft w:val="0"/>
      <w:marRight w:val="0"/>
      <w:marTop w:val="0"/>
      <w:marBottom w:val="0"/>
      <w:divBdr>
        <w:top w:val="none" w:sz="0" w:space="0" w:color="auto"/>
        <w:left w:val="none" w:sz="0" w:space="0" w:color="auto"/>
        <w:bottom w:val="none" w:sz="0" w:space="0" w:color="auto"/>
        <w:right w:val="none" w:sz="0" w:space="0" w:color="auto"/>
      </w:divBdr>
    </w:div>
    <w:div w:id="604994692">
      <w:bodyDiv w:val="1"/>
      <w:marLeft w:val="0"/>
      <w:marRight w:val="0"/>
      <w:marTop w:val="0"/>
      <w:marBottom w:val="0"/>
      <w:divBdr>
        <w:top w:val="none" w:sz="0" w:space="0" w:color="auto"/>
        <w:left w:val="none" w:sz="0" w:space="0" w:color="auto"/>
        <w:bottom w:val="none" w:sz="0" w:space="0" w:color="auto"/>
        <w:right w:val="none" w:sz="0" w:space="0" w:color="auto"/>
      </w:divBdr>
    </w:div>
    <w:div w:id="623389132">
      <w:bodyDiv w:val="1"/>
      <w:marLeft w:val="0"/>
      <w:marRight w:val="0"/>
      <w:marTop w:val="0"/>
      <w:marBottom w:val="0"/>
      <w:divBdr>
        <w:top w:val="none" w:sz="0" w:space="0" w:color="auto"/>
        <w:left w:val="none" w:sz="0" w:space="0" w:color="auto"/>
        <w:bottom w:val="none" w:sz="0" w:space="0" w:color="auto"/>
        <w:right w:val="none" w:sz="0" w:space="0" w:color="auto"/>
      </w:divBdr>
    </w:div>
    <w:div w:id="627904036">
      <w:bodyDiv w:val="1"/>
      <w:marLeft w:val="0"/>
      <w:marRight w:val="0"/>
      <w:marTop w:val="0"/>
      <w:marBottom w:val="0"/>
      <w:divBdr>
        <w:top w:val="none" w:sz="0" w:space="0" w:color="auto"/>
        <w:left w:val="none" w:sz="0" w:space="0" w:color="auto"/>
        <w:bottom w:val="none" w:sz="0" w:space="0" w:color="auto"/>
        <w:right w:val="none" w:sz="0" w:space="0" w:color="auto"/>
      </w:divBdr>
    </w:div>
    <w:div w:id="629819923">
      <w:bodyDiv w:val="1"/>
      <w:marLeft w:val="0"/>
      <w:marRight w:val="0"/>
      <w:marTop w:val="0"/>
      <w:marBottom w:val="0"/>
      <w:divBdr>
        <w:top w:val="none" w:sz="0" w:space="0" w:color="auto"/>
        <w:left w:val="none" w:sz="0" w:space="0" w:color="auto"/>
        <w:bottom w:val="none" w:sz="0" w:space="0" w:color="auto"/>
        <w:right w:val="none" w:sz="0" w:space="0" w:color="auto"/>
      </w:divBdr>
    </w:div>
    <w:div w:id="649331539">
      <w:bodyDiv w:val="1"/>
      <w:marLeft w:val="0"/>
      <w:marRight w:val="0"/>
      <w:marTop w:val="0"/>
      <w:marBottom w:val="0"/>
      <w:divBdr>
        <w:top w:val="none" w:sz="0" w:space="0" w:color="auto"/>
        <w:left w:val="none" w:sz="0" w:space="0" w:color="auto"/>
        <w:bottom w:val="none" w:sz="0" w:space="0" w:color="auto"/>
        <w:right w:val="none" w:sz="0" w:space="0" w:color="auto"/>
      </w:divBdr>
    </w:div>
    <w:div w:id="652178685">
      <w:bodyDiv w:val="1"/>
      <w:marLeft w:val="0"/>
      <w:marRight w:val="0"/>
      <w:marTop w:val="0"/>
      <w:marBottom w:val="0"/>
      <w:divBdr>
        <w:top w:val="none" w:sz="0" w:space="0" w:color="auto"/>
        <w:left w:val="none" w:sz="0" w:space="0" w:color="auto"/>
        <w:bottom w:val="none" w:sz="0" w:space="0" w:color="auto"/>
        <w:right w:val="none" w:sz="0" w:space="0" w:color="auto"/>
      </w:divBdr>
    </w:div>
    <w:div w:id="653073214">
      <w:bodyDiv w:val="1"/>
      <w:marLeft w:val="0"/>
      <w:marRight w:val="0"/>
      <w:marTop w:val="0"/>
      <w:marBottom w:val="0"/>
      <w:divBdr>
        <w:top w:val="none" w:sz="0" w:space="0" w:color="auto"/>
        <w:left w:val="none" w:sz="0" w:space="0" w:color="auto"/>
        <w:bottom w:val="none" w:sz="0" w:space="0" w:color="auto"/>
        <w:right w:val="none" w:sz="0" w:space="0" w:color="auto"/>
      </w:divBdr>
    </w:div>
    <w:div w:id="657727597">
      <w:bodyDiv w:val="1"/>
      <w:marLeft w:val="0"/>
      <w:marRight w:val="0"/>
      <w:marTop w:val="0"/>
      <w:marBottom w:val="0"/>
      <w:divBdr>
        <w:top w:val="none" w:sz="0" w:space="0" w:color="auto"/>
        <w:left w:val="none" w:sz="0" w:space="0" w:color="auto"/>
        <w:bottom w:val="none" w:sz="0" w:space="0" w:color="auto"/>
        <w:right w:val="none" w:sz="0" w:space="0" w:color="auto"/>
      </w:divBdr>
    </w:div>
    <w:div w:id="662437999">
      <w:bodyDiv w:val="1"/>
      <w:marLeft w:val="0"/>
      <w:marRight w:val="0"/>
      <w:marTop w:val="0"/>
      <w:marBottom w:val="0"/>
      <w:divBdr>
        <w:top w:val="none" w:sz="0" w:space="0" w:color="auto"/>
        <w:left w:val="none" w:sz="0" w:space="0" w:color="auto"/>
        <w:bottom w:val="none" w:sz="0" w:space="0" w:color="auto"/>
        <w:right w:val="none" w:sz="0" w:space="0" w:color="auto"/>
      </w:divBdr>
    </w:div>
    <w:div w:id="665861225">
      <w:bodyDiv w:val="1"/>
      <w:marLeft w:val="0"/>
      <w:marRight w:val="0"/>
      <w:marTop w:val="0"/>
      <w:marBottom w:val="0"/>
      <w:divBdr>
        <w:top w:val="none" w:sz="0" w:space="0" w:color="auto"/>
        <w:left w:val="none" w:sz="0" w:space="0" w:color="auto"/>
        <w:bottom w:val="none" w:sz="0" w:space="0" w:color="auto"/>
        <w:right w:val="none" w:sz="0" w:space="0" w:color="auto"/>
      </w:divBdr>
    </w:div>
    <w:div w:id="676925575">
      <w:bodyDiv w:val="1"/>
      <w:marLeft w:val="0"/>
      <w:marRight w:val="0"/>
      <w:marTop w:val="0"/>
      <w:marBottom w:val="0"/>
      <w:divBdr>
        <w:top w:val="none" w:sz="0" w:space="0" w:color="auto"/>
        <w:left w:val="none" w:sz="0" w:space="0" w:color="auto"/>
        <w:bottom w:val="none" w:sz="0" w:space="0" w:color="auto"/>
        <w:right w:val="none" w:sz="0" w:space="0" w:color="auto"/>
      </w:divBdr>
    </w:div>
    <w:div w:id="679889618">
      <w:bodyDiv w:val="1"/>
      <w:marLeft w:val="0"/>
      <w:marRight w:val="0"/>
      <w:marTop w:val="0"/>
      <w:marBottom w:val="0"/>
      <w:divBdr>
        <w:top w:val="none" w:sz="0" w:space="0" w:color="auto"/>
        <w:left w:val="none" w:sz="0" w:space="0" w:color="auto"/>
        <w:bottom w:val="none" w:sz="0" w:space="0" w:color="auto"/>
        <w:right w:val="none" w:sz="0" w:space="0" w:color="auto"/>
      </w:divBdr>
    </w:div>
    <w:div w:id="687604989">
      <w:bodyDiv w:val="1"/>
      <w:marLeft w:val="0"/>
      <w:marRight w:val="0"/>
      <w:marTop w:val="0"/>
      <w:marBottom w:val="0"/>
      <w:divBdr>
        <w:top w:val="none" w:sz="0" w:space="0" w:color="auto"/>
        <w:left w:val="none" w:sz="0" w:space="0" w:color="auto"/>
        <w:bottom w:val="none" w:sz="0" w:space="0" w:color="auto"/>
        <w:right w:val="none" w:sz="0" w:space="0" w:color="auto"/>
      </w:divBdr>
    </w:div>
    <w:div w:id="688727298">
      <w:bodyDiv w:val="1"/>
      <w:marLeft w:val="0"/>
      <w:marRight w:val="0"/>
      <w:marTop w:val="0"/>
      <w:marBottom w:val="0"/>
      <w:divBdr>
        <w:top w:val="none" w:sz="0" w:space="0" w:color="auto"/>
        <w:left w:val="none" w:sz="0" w:space="0" w:color="auto"/>
        <w:bottom w:val="none" w:sz="0" w:space="0" w:color="auto"/>
        <w:right w:val="none" w:sz="0" w:space="0" w:color="auto"/>
      </w:divBdr>
    </w:div>
    <w:div w:id="703332937">
      <w:bodyDiv w:val="1"/>
      <w:marLeft w:val="0"/>
      <w:marRight w:val="0"/>
      <w:marTop w:val="0"/>
      <w:marBottom w:val="0"/>
      <w:divBdr>
        <w:top w:val="none" w:sz="0" w:space="0" w:color="auto"/>
        <w:left w:val="none" w:sz="0" w:space="0" w:color="auto"/>
        <w:bottom w:val="none" w:sz="0" w:space="0" w:color="auto"/>
        <w:right w:val="none" w:sz="0" w:space="0" w:color="auto"/>
      </w:divBdr>
    </w:div>
    <w:div w:id="708145374">
      <w:bodyDiv w:val="1"/>
      <w:marLeft w:val="0"/>
      <w:marRight w:val="0"/>
      <w:marTop w:val="0"/>
      <w:marBottom w:val="0"/>
      <w:divBdr>
        <w:top w:val="none" w:sz="0" w:space="0" w:color="auto"/>
        <w:left w:val="none" w:sz="0" w:space="0" w:color="auto"/>
        <w:bottom w:val="none" w:sz="0" w:space="0" w:color="auto"/>
        <w:right w:val="none" w:sz="0" w:space="0" w:color="auto"/>
      </w:divBdr>
    </w:div>
    <w:div w:id="718288165">
      <w:bodyDiv w:val="1"/>
      <w:marLeft w:val="0"/>
      <w:marRight w:val="0"/>
      <w:marTop w:val="0"/>
      <w:marBottom w:val="0"/>
      <w:divBdr>
        <w:top w:val="none" w:sz="0" w:space="0" w:color="auto"/>
        <w:left w:val="none" w:sz="0" w:space="0" w:color="auto"/>
        <w:bottom w:val="none" w:sz="0" w:space="0" w:color="auto"/>
        <w:right w:val="none" w:sz="0" w:space="0" w:color="auto"/>
      </w:divBdr>
    </w:div>
    <w:div w:id="721440150">
      <w:bodyDiv w:val="1"/>
      <w:marLeft w:val="0"/>
      <w:marRight w:val="0"/>
      <w:marTop w:val="0"/>
      <w:marBottom w:val="0"/>
      <w:divBdr>
        <w:top w:val="none" w:sz="0" w:space="0" w:color="auto"/>
        <w:left w:val="none" w:sz="0" w:space="0" w:color="auto"/>
        <w:bottom w:val="none" w:sz="0" w:space="0" w:color="auto"/>
        <w:right w:val="none" w:sz="0" w:space="0" w:color="auto"/>
      </w:divBdr>
    </w:div>
    <w:div w:id="766343383">
      <w:bodyDiv w:val="1"/>
      <w:marLeft w:val="0"/>
      <w:marRight w:val="0"/>
      <w:marTop w:val="0"/>
      <w:marBottom w:val="0"/>
      <w:divBdr>
        <w:top w:val="none" w:sz="0" w:space="0" w:color="auto"/>
        <w:left w:val="none" w:sz="0" w:space="0" w:color="auto"/>
        <w:bottom w:val="none" w:sz="0" w:space="0" w:color="auto"/>
        <w:right w:val="none" w:sz="0" w:space="0" w:color="auto"/>
      </w:divBdr>
    </w:div>
    <w:div w:id="770930518">
      <w:bodyDiv w:val="1"/>
      <w:marLeft w:val="0"/>
      <w:marRight w:val="0"/>
      <w:marTop w:val="0"/>
      <w:marBottom w:val="0"/>
      <w:divBdr>
        <w:top w:val="none" w:sz="0" w:space="0" w:color="auto"/>
        <w:left w:val="none" w:sz="0" w:space="0" w:color="auto"/>
        <w:bottom w:val="none" w:sz="0" w:space="0" w:color="auto"/>
        <w:right w:val="none" w:sz="0" w:space="0" w:color="auto"/>
      </w:divBdr>
    </w:div>
    <w:div w:id="775058723">
      <w:bodyDiv w:val="1"/>
      <w:marLeft w:val="0"/>
      <w:marRight w:val="0"/>
      <w:marTop w:val="0"/>
      <w:marBottom w:val="0"/>
      <w:divBdr>
        <w:top w:val="none" w:sz="0" w:space="0" w:color="auto"/>
        <w:left w:val="none" w:sz="0" w:space="0" w:color="auto"/>
        <w:bottom w:val="none" w:sz="0" w:space="0" w:color="auto"/>
        <w:right w:val="none" w:sz="0" w:space="0" w:color="auto"/>
      </w:divBdr>
    </w:div>
    <w:div w:id="786122578">
      <w:bodyDiv w:val="1"/>
      <w:marLeft w:val="0"/>
      <w:marRight w:val="0"/>
      <w:marTop w:val="0"/>
      <w:marBottom w:val="0"/>
      <w:divBdr>
        <w:top w:val="none" w:sz="0" w:space="0" w:color="auto"/>
        <w:left w:val="none" w:sz="0" w:space="0" w:color="auto"/>
        <w:bottom w:val="none" w:sz="0" w:space="0" w:color="auto"/>
        <w:right w:val="none" w:sz="0" w:space="0" w:color="auto"/>
      </w:divBdr>
    </w:div>
    <w:div w:id="791363985">
      <w:bodyDiv w:val="1"/>
      <w:marLeft w:val="0"/>
      <w:marRight w:val="0"/>
      <w:marTop w:val="0"/>
      <w:marBottom w:val="0"/>
      <w:divBdr>
        <w:top w:val="none" w:sz="0" w:space="0" w:color="auto"/>
        <w:left w:val="none" w:sz="0" w:space="0" w:color="auto"/>
        <w:bottom w:val="none" w:sz="0" w:space="0" w:color="auto"/>
        <w:right w:val="none" w:sz="0" w:space="0" w:color="auto"/>
      </w:divBdr>
    </w:div>
    <w:div w:id="799490917">
      <w:bodyDiv w:val="1"/>
      <w:marLeft w:val="0"/>
      <w:marRight w:val="0"/>
      <w:marTop w:val="0"/>
      <w:marBottom w:val="0"/>
      <w:divBdr>
        <w:top w:val="none" w:sz="0" w:space="0" w:color="auto"/>
        <w:left w:val="none" w:sz="0" w:space="0" w:color="auto"/>
        <w:bottom w:val="none" w:sz="0" w:space="0" w:color="auto"/>
        <w:right w:val="none" w:sz="0" w:space="0" w:color="auto"/>
      </w:divBdr>
    </w:div>
    <w:div w:id="802044845">
      <w:bodyDiv w:val="1"/>
      <w:marLeft w:val="0"/>
      <w:marRight w:val="0"/>
      <w:marTop w:val="0"/>
      <w:marBottom w:val="0"/>
      <w:divBdr>
        <w:top w:val="none" w:sz="0" w:space="0" w:color="auto"/>
        <w:left w:val="none" w:sz="0" w:space="0" w:color="auto"/>
        <w:bottom w:val="none" w:sz="0" w:space="0" w:color="auto"/>
        <w:right w:val="none" w:sz="0" w:space="0" w:color="auto"/>
      </w:divBdr>
    </w:div>
    <w:div w:id="810171959">
      <w:bodyDiv w:val="1"/>
      <w:marLeft w:val="0"/>
      <w:marRight w:val="0"/>
      <w:marTop w:val="0"/>
      <w:marBottom w:val="0"/>
      <w:divBdr>
        <w:top w:val="none" w:sz="0" w:space="0" w:color="auto"/>
        <w:left w:val="none" w:sz="0" w:space="0" w:color="auto"/>
        <w:bottom w:val="none" w:sz="0" w:space="0" w:color="auto"/>
        <w:right w:val="none" w:sz="0" w:space="0" w:color="auto"/>
      </w:divBdr>
    </w:div>
    <w:div w:id="820198298">
      <w:bodyDiv w:val="1"/>
      <w:marLeft w:val="0"/>
      <w:marRight w:val="0"/>
      <w:marTop w:val="0"/>
      <w:marBottom w:val="0"/>
      <w:divBdr>
        <w:top w:val="none" w:sz="0" w:space="0" w:color="auto"/>
        <w:left w:val="none" w:sz="0" w:space="0" w:color="auto"/>
        <w:bottom w:val="none" w:sz="0" w:space="0" w:color="auto"/>
        <w:right w:val="none" w:sz="0" w:space="0" w:color="auto"/>
      </w:divBdr>
    </w:div>
    <w:div w:id="827405661">
      <w:bodyDiv w:val="1"/>
      <w:marLeft w:val="0"/>
      <w:marRight w:val="0"/>
      <w:marTop w:val="0"/>
      <w:marBottom w:val="0"/>
      <w:divBdr>
        <w:top w:val="none" w:sz="0" w:space="0" w:color="auto"/>
        <w:left w:val="none" w:sz="0" w:space="0" w:color="auto"/>
        <w:bottom w:val="none" w:sz="0" w:space="0" w:color="auto"/>
        <w:right w:val="none" w:sz="0" w:space="0" w:color="auto"/>
      </w:divBdr>
    </w:div>
    <w:div w:id="830369702">
      <w:bodyDiv w:val="1"/>
      <w:marLeft w:val="0"/>
      <w:marRight w:val="0"/>
      <w:marTop w:val="0"/>
      <w:marBottom w:val="0"/>
      <w:divBdr>
        <w:top w:val="none" w:sz="0" w:space="0" w:color="auto"/>
        <w:left w:val="none" w:sz="0" w:space="0" w:color="auto"/>
        <w:bottom w:val="none" w:sz="0" w:space="0" w:color="auto"/>
        <w:right w:val="none" w:sz="0" w:space="0" w:color="auto"/>
      </w:divBdr>
    </w:div>
    <w:div w:id="836043445">
      <w:bodyDiv w:val="1"/>
      <w:marLeft w:val="0"/>
      <w:marRight w:val="0"/>
      <w:marTop w:val="0"/>
      <w:marBottom w:val="0"/>
      <w:divBdr>
        <w:top w:val="none" w:sz="0" w:space="0" w:color="auto"/>
        <w:left w:val="none" w:sz="0" w:space="0" w:color="auto"/>
        <w:bottom w:val="none" w:sz="0" w:space="0" w:color="auto"/>
        <w:right w:val="none" w:sz="0" w:space="0" w:color="auto"/>
      </w:divBdr>
    </w:div>
    <w:div w:id="847646451">
      <w:bodyDiv w:val="1"/>
      <w:marLeft w:val="0"/>
      <w:marRight w:val="0"/>
      <w:marTop w:val="0"/>
      <w:marBottom w:val="0"/>
      <w:divBdr>
        <w:top w:val="none" w:sz="0" w:space="0" w:color="auto"/>
        <w:left w:val="none" w:sz="0" w:space="0" w:color="auto"/>
        <w:bottom w:val="none" w:sz="0" w:space="0" w:color="auto"/>
        <w:right w:val="none" w:sz="0" w:space="0" w:color="auto"/>
      </w:divBdr>
    </w:div>
    <w:div w:id="848981687">
      <w:bodyDiv w:val="1"/>
      <w:marLeft w:val="0"/>
      <w:marRight w:val="0"/>
      <w:marTop w:val="0"/>
      <w:marBottom w:val="0"/>
      <w:divBdr>
        <w:top w:val="none" w:sz="0" w:space="0" w:color="auto"/>
        <w:left w:val="none" w:sz="0" w:space="0" w:color="auto"/>
        <w:bottom w:val="none" w:sz="0" w:space="0" w:color="auto"/>
        <w:right w:val="none" w:sz="0" w:space="0" w:color="auto"/>
      </w:divBdr>
    </w:div>
    <w:div w:id="854079389">
      <w:bodyDiv w:val="1"/>
      <w:marLeft w:val="0"/>
      <w:marRight w:val="0"/>
      <w:marTop w:val="0"/>
      <w:marBottom w:val="0"/>
      <w:divBdr>
        <w:top w:val="none" w:sz="0" w:space="0" w:color="auto"/>
        <w:left w:val="none" w:sz="0" w:space="0" w:color="auto"/>
        <w:bottom w:val="none" w:sz="0" w:space="0" w:color="auto"/>
        <w:right w:val="none" w:sz="0" w:space="0" w:color="auto"/>
      </w:divBdr>
    </w:div>
    <w:div w:id="854537694">
      <w:bodyDiv w:val="1"/>
      <w:marLeft w:val="0"/>
      <w:marRight w:val="0"/>
      <w:marTop w:val="0"/>
      <w:marBottom w:val="0"/>
      <w:divBdr>
        <w:top w:val="none" w:sz="0" w:space="0" w:color="auto"/>
        <w:left w:val="none" w:sz="0" w:space="0" w:color="auto"/>
        <w:bottom w:val="none" w:sz="0" w:space="0" w:color="auto"/>
        <w:right w:val="none" w:sz="0" w:space="0" w:color="auto"/>
      </w:divBdr>
    </w:div>
    <w:div w:id="855537030">
      <w:bodyDiv w:val="1"/>
      <w:marLeft w:val="0"/>
      <w:marRight w:val="0"/>
      <w:marTop w:val="0"/>
      <w:marBottom w:val="0"/>
      <w:divBdr>
        <w:top w:val="none" w:sz="0" w:space="0" w:color="auto"/>
        <w:left w:val="none" w:sz="0" w:space="0" w:color="auto"/>
        <w:bottom w:val="none" w:sz="0" w:space="0" w:color="auto"/>
        <w:right w:val="none" w:sz="0" w:space="0" w:color="auto"/>
      </w:divBdr>
    </w:div>
    <w:div w:id="859972793">
      <w:bodyDiv w:val="1"/>
      <w:marLeft w:val="0"/>
      <w:marRight w:val="0"/>
      <w:marTop w:val="0"/>
      <w:marBottom w:val="0"/>
      <w:divBdr>
        <w:top w:val="none" w:sz="0" w:space="0" w:color="auto"/>
        <w:left w:val="none" w:sz="0" w:space="0" w:color="auto"/>
        <w:bottom w:val="none" w:sz="0" w:space="0" w:color="auto"/>
        <w:right w:val="none" w:sz="0" w:space="0" w:color="auto"/>
      </w:divBdr>
    </w:div>
    <w:div w:id="862284357">
      <w:bodyDiv w:val="1"/>
      <w:marLeft w:val="0"/>
      <w:marRight w:val="0"/>
      <w:marTop w:val="0"/>
      <w:marBottom w:val="0"/>
      <w:divBdr>
        <w:top w:val="none" w:sz="0" w:space="0" w:color="auto"/>
        <w:left w:val="none" w:sz="0" w:space="0" w:color="auto"/>
        <w:bottom w:val="none" w:sz="0" w:space="0" w:color="auto"/>
        <w:right w:val="none" w:sz="0" w:space="0" w:color="auto"/>
      </w:divBdr>
    </w:div>
    <w:div w:id="868570070">
      <w:bodyDiv w:val="1"/>
      <w:marLeft w:val="0"/>
      <w:marRight w:val="0"/>
      <w:marTop w:val="0"/>
      <w:marBottom w:val="0"/>
      <w:divBdr>
        <w:top w:val="none" w:sz="0" w:space="0" w:color="auto"/>
        <w:left w:val="none" w:sz="0" w:space="0" w:color="auto"/>
        <w:bottom w:val="none" w:sz="0" w:space="0" w:color="auto"/>
        <w:right w:val="none" w:sz="0" w:space="0" w:color="auto"/>
      </w:divBdr>
    </w:div>
    <w:div w:id="883908524">
      <w:bodyDiv w:val="1"/>
      <w:marLeft w:val="0"/>
      <w:marRight w:val="0"/>
      <w:marTop w:val="0"/>
      <w:marBottom w:val="0"/>
      <w:divBdr>
        <w:top w:val="none" w:sz="0" w:space="0" w:color="auto"/>
        <w:left w:val="none" w:sz="0" w:space="0" w:color="auto"/>
        <w:bottom w:val="none" w:sz="0" w:space="0" w:color="auto"/>
        <w:right w:val="none" w:sz="0" w:space="0" w:color="auto"/>
      </w:divBdr>
    </w:div>
    <w:div w:id="887035429">
      <w:bodyDiv w:val="1"/>
      <w:marLeft w:val="0"/>
      <w:marRight w:val="0"/>
      <w:marTop w:val="0"/>
      <w:marBottom w:val="0"/>
      <w:divBdr>
        <w:top w:val="none" w:sz="0" w:space="0" w:color="auto"/>
        <w:left w:val="none" w:sz="0" w:space="0" w:color="auto"/>
        <w:bottom w:val="none" w:sz="0" w:space="0" w:color="auto"/>
        <w:right w:val="none" w:sz="0" w:space="0" w:color="auto"/>
      </w:divBdr>
    </w:div>
    <w:div w:id="894464709">
      <w:bodyDiv w:val="1"/>
      <w:marLeft w:val="0"/>
      <w:marRight w:val="0"/>
      <w:marTop w:val="0"/>
      <w:marBottom w:val="0"/>
      <w:divBdr>
        <w:top w:val="none" w:sz="0" w:space="0" w:color="auto"/>
        <w:left w:val="none" w:sz="0" w:space="0" w:color="auto"/>
        <w:bottom w:val="none" w:sz="0" w:space="0" w:color="auto"/>
        <w:right w:val="none" w:sz="0" w:space="0" w:color="auto"/>
      </w:divBdr>
    </w:div>
    <w:div w:id="914556356">
      <w:bodyDiv w:val="1"/>
      <w:marLeft w:val="0"/>
      <w:marRight w:val="0"/>
      <w:marTop w:val="0"/>
      <w:marBottom w:val="0"/>
      <w:divBdr>
        <w:top w:val="none" w:sz="0" w:space="0" w:color="auto"/>
        <w:left w:val="none" w:sz="0" w:space="0" w:color="auto"/>
        <w:bottom w:val="none" w:sz="0" w:space="0" w:color="auto"/>
        <w:right w:val="none" w:sz="0" w:space="0" w:color="auto"/>
      </w:divBdr>
    </w:div>
    <w:div w:id="919144838">
      <w:bodyDiv w:val="1"/>
      <w:marLeft w:val="0"/>
      <w:marRight w:val="0"/>
      <w:marTop w:val="0"/>
      <w:marBottom w:val="0"/>
      <w:divBdr>
        <w:top w:val="none" w:sz="0" w:space="0" w:color="auto"/>
        <w:left w:val="none" w:sz="0" w:space="0" w:color="auto"/>
        <w:bottom w:val="none" w:sz="0" w:space="0" w:color="auto"/>
        <w:right w:val="none" w:sz="0" w:space="0" w:color="auto"/>
      </w:divBdr>
    </w:div>
    <w:div w:id="922300714">
      <w:bodyDiv w:val="1"/>
      <w:marLeft w:val="0"/>
      <w:marRight w:val="0"/>
      <w:marTop w:val="0"/>
      <w:marBottom w:val="0"/>
      <w:divBdr>
        <w:top w:val="none" w:sz="0" w:space="0" w:color="auto"/>
        <w:left w:val="none" w:sz="0" w:space="0" w:color="auto"/>
        <w:bottom w:val="none" w:sz="0" w:space="0" w:color="auto"/>
        <w:right w:val="none" w:sz="0" w:space="0" w:color="auto"/>
      </w:divBdr>
    </w:div>
    <w:div w:id="935945761">
      <w:bodyDiv w:val="1"/>
      <w:marLeft w:val="0"/>
      <w:marRight w:val="0"/>
      <w:marTop w:val="0"/>
      <w:marBottom w:val="0"/>
      <w:divBdr>
        <w:top w:val="none" w:sz="0" w:space="0" w:color="auto"/>
        <w:left w:val="none" w:sz="0" w:space="0" w:color="auto"/>
        <w:bottom w:val="none" w:sz="0" w:space="0" w:color="auto"/>
        <w:right w:val="none" w:sz="0" w:space="0" w:color="auto"/>
      </w:divBdr>
    </w:div>
    <w:div w:id="966665595">
      <w:bodyDiv w:val="1"/>
      <w:marLeft w:val="0"/>
      <w:marRight w:val="0"/>
      <w:marTop w:val="0"/>
      <w:marBottom w:val="0"/>
      <w:divBdr>
        <w:top w:val="none" w:sz="0" w:space="0" w:color="auto"/>
        <w:left w:val="none" w:sz="0" w:space="0" w:color="auto"/>
        <w:bottom w:val="none" w:sz="0" w:space="0" w:color="auto"/>
        <w:right w:val="none" w:sz="0" w:space="0" w:color="auto"/>
      </w:divBdr>
    </w:div>
    <w:div w:id="969091863">
      <w:bodyDiv w:val="1"/>
      <w:marLeft w:val="0"/>
      <w:marRight w:val="0"/>
      <w:marTop w:val="0"/>
      <w:marBottom w:val="0"/>
      <w:divBdr>
        <w:top w:val="none" w:sz="0" w:space="0" w:color="auto"/>
        <w:left w:val="none" w:sz="0" w:space="0" w:color="auto"/>
        <w:bottom w:val="none" w:sz="0" w:space="0" w:color="auto"/>
        <w:right w:val="none" w:sz="0" w:space="0" w:color="auto"/>
      </w:divBdr>
    </w:div>
    <w:div w:id="985935513">
      <w:bodyDiv w:val="1"/>
      <w:marLeft w:val="0"/>
      <w:marRight w:val="0"/>
      <w:marTop w:val="0"/>
      <w:marBottom w:val="0"/>
      <w:divBdr>
        <w:top w:val="none" w:sz="0" w:space="0" w:color="auto"/>
        <w:left w:val="none" w:sz="0" w:space="0" w:color="auto"/>
        <w:bottom w:val="none" w:sz="0" w:space="0" w:color="auto"/>
        <w:right w:val="none" w:sz="0" w:space="0" w:color="auto"/>
      </w:divBdr>
    </w:div>
    <w:div w:id="986713678">
      <w:bodyDiv w:val="1"/>
      <w:marLeft w:val="0"/>
      <w:marRight w:val="0"/>
      <w:marTop w:val="0"/>
      <w:marBottom w:val="0"/>
      <w:divBdr>
        <w:top w:val="none" w:sz="0" w:space="0" w:color="auto"/>
        <w:left w:val="none" w:sz="0" w:space="0" w:color="auto"/>
        <w:bottom w:val="none" w:sz="0" w:space="0" w:color="auto"/>
        <w:right w:val="none" w:sz="0" w:space="0" w:color="auto"/>
      </w:divBdr>
    </w:div>
    <w:div w:id="999238963">
      <w:bodyDiv w:val="1"/>
      <w:marLeft w:val="0"/>
      <w:marRight w:val="0"/>
      <w:marTop w:val="0"/>
      <w:marBottom w:val="0"/>
      <w:divBdr>
        <w:top w:val="none" w:sz="0" w:space="0" w:color="auto"/>
        <w:left w:val="none" w:sz="0" w:space="0" w:color="auto"/>
        <w:bottom w:val="none" w:sz="0" w:space="0" w:color="auto"/>
        <w:right w:val="none" w:sz="0" w:space="0" w:color="auto"/>
      </w:divBdr>
    </w:div>
    <w:div w:id="1011949561">
      <w:bodyDiv w:val="1"/>
      <w:marLeft w:val="0"/>
      <w:marRight w:val="0"/>
      <w:marTop w:val="0"/>
      <w:marBottom w:val="0"/>
      <w:divBdr>
        <w:top w:val="none" w:sz="0" w:space="0" w:color="auto"/>
        <w:left w:val="none" w:sz="0" w:space="0" w:color="auto"/>
        <w:bottom w:val="none" w:sz="0" w:space="0" w:color="auto"/>
        <w:right w:val="none" w:sz="0" w:space="0" w:color="auto"/>
      </w:divBdr>
    </w:div>
    <w:div w:id="1022899832">
      <w:bodyDiv w:val="1"/>
      <w:marLeft w:val="0"/>
      <w:marRight w:val="0"/>
      <w:marTop w:val="0"/>
      <w:marBottom w:val="0"/>
      <w:divBdr>
        <w:top w:val="none" w:sz="0" w:space="0" w:color="auto"/>
        <w:left w:val="none" w:sz="0" w:space="0" w:color="auto"/>
        <w:bottom w:val="none" w:sz="0" w:space="0" w:color="auto"/>
        <w:right w:val="none" w:sz="0" w:space="0" w:color="auto"/>
      </w:divBdr>
    </w:div>
    <w:div w:id="1023214537">
      <w:bodyDiv w:val="1"/>
      <w:marLeft w:val="0"/>
      <w:marRight w:val="0"/>
      <w:marTop w:val="0"/>
      <w:marBottom w:val="0"/>
      <w:divBdr>
        <w:top w:val="none" w:sz="0" w:space="0" w:color="auto"/>
        <w:left w:val="none" w:sz="0" w:space="0" w:color="auto"/>
        <w:bottom w:val="none" w:sz="0" w:space="0" w:color="auto"/>
        <w:right w:val="none" w:sz="0" w:space="0" w:color="auto"/>
      </w:divBdr>
    </w:div>
    <w:div w:id="1023828619">
      <w:bodyDiv w:val="1"/>
      <w:marLeft w:val="0"/>
      <w:marRight w:val="0"/>
      <w:marTop w:val="0"/>
      <w:marBottom w:val="0"/>
      <w:divBdr>
        <w:top w:val="none" w:sz="0" w:space="0" w:color="auto"/>
        <w:left w:val="none" w:sz="0" w:space="0" w:color="auto"/>
        <w:bottom w:val="none" w:sz="0" w:space="0" w:color="auto"/>
        <w:right w:val="none" w:sz="0" w:space="0" w:color="auto"/>
      </w:divBdr>
    </w:div>
    <w:div w:id="1032614082">
      <w:bodyDiv w:val="1"/>
      <w:marLeft w:val="0"/>
      <w:marRight w:val="0"/>
      <w:marTop w:val="0"/>
      <w:marBottom w:val="0"/>
      <w:divBdr>
        <w:top w:val="none" w:sz="0" w:space="0" w:color="auto"/>
        <w:left w:val="none" w:sz="0" w:space="0" w:color="auto"/>
        <w:bottom w:val="none" w:sz="0" w:space="0" w:color="auto"/>
        <w:right w:val="none" w:sz="0" w:space="0" w:color="auto"/>
      </w:divBdr>
    </w:div>
    <w:div w:id="1041973583">
      <w:bodyDiv w:val="1"/>
      <w:marLeft w:val="0"/>
      <w:marRight w:val="0"/>
      <w:marTop w:val="0"/>
      <w:marBottom w:val="0"/>
      <w:divBdr>
        <w:top w:val="none" w:sz="0" w:space="0" w:color="auto"/>
        <w:left w:val="none" w:sz="0" w:space="0" w:color="auto"/>
        <w:bottom w:val="none" w:sz="0" w:space="0" w:color="auto"/>
        <w:right w:val="none" w:sz="0" w:space="0" w:color="auto"/>
      </w:divBdr>
    </w:div>
    <w:div w:id="1056393652">
      <w:bodyDiv w:val="1"/>
      <w:marLeft w:val="0"/>
      <w:marRight w:val="0"/>
      <w:marTop w:val="0"/>
      <w:marBottom w:val="0"/>
      <w:divBdr>
        <w:top w:val="none" w:sz="0" w:space="0" w:color="auto"/>
        <w:left w:val="none" w:sz="0" w:space="0" w:color="auto"/>
        <w:bottom w:val="none" w:sz="0" w:space="0" w:color="auto"/>
        <w:right w:val="none" w:sz="0" w:space="0" w:color="auto"/>
      </w:divBdr>
    </w:div>
    <w:div w:id="1082524670">
      <w:bodyDiv w:val="1"/>
      <w:marLeft w:val="0"/>
      <w:marRight w:val="0"/>
      <w:marTop w:val="0"/>
      <w:marBottom w:val="0"/>
      <w:divBdr>
        <w:top w:val="none" w:sz="0" w:space="0" w:color="auto"/>
        <w:left w:val="none" w:sz="0" w:space="0" w:color="auto"/>
        <w:bottom w:val="none" w:sz="0" w:space="0" w:color="auto"/>
        <w:right w:val="none" w:sz="0" w:space="0" w:color="auto"/>
      </w:divBdr>
    </w:div>
    <w:div w:id="1093285222">
      <w:bodyDiv w:val="1"/>
      <w:marLeft w:val="0"/>
      <w:marRight w:val="0"/>
      <w:marTop w:val="0"/>
      <w:marBottom w:val="0"/>
      <w:divBdr>
        <w:top w:val="none" w:sz="0" w:space="0" w:color="auto"/>
        <w:left w:val="none" w:sz="0" w:space="0" w:color="auto"/>
        <w:bottom w:val="none" w:sz="0" w:space="0" w:color="auto"/>
        <w:right w:val="none" w:sz="0" w:space="0" w:color="auto"/>
      </w:divBdr>
    </w:div>
    <w:div w:id="1097095013">
      <w:bodyDiv w:val="1"/>
      <w:marLeft w:val="0"/>
      <w:marRight w:val="0"/>
      <w:marTop w:val="0"/>
      <w:marBottom w:val="0"/>
      <w:divBdr>
        <w:top w:val="none" w:sz="0" w:space="0" w:color="auto"/>
        <w:left w:val="none" w:sz="0" w:space="0" w:color="auto"/>
        <w:bottom w:val="none" w:sz="0" w:space="0" w:color="auto"/>
        <w:right w:val="none" w:sz="0" w:space="0" w:color="auto"/>
      </w:divBdr>
    </w:div>
    <w:div w:id="1119570119">
      <w:bodyDiv w:val="1"/>
      <w:marLeft w:val="0"/>
      <w:marRight w:val="0"/>
      <w:marTop w:val="0"/>
      <w:marBottom w:val="0"/>
      <w:divBdr>
        <w:top w:val="none" w:sz="0" w:space="0" w:color="auto"/>
        <w:left w:val="none" w:sz="0" w:space="0" w:color="auto"/>
        <w:bottom w:val="none" w:sz="0" w:space="0" w:color="auto"/>
        <w:right w:val="none" w:sz="0" w:space="0" w:color="auto"/>
      </w:divBdr>
    </w:div>
    <w:div w:id="1126241554">
      <w:bodyDiv w:val="1"/>
      <w:marLeft w:val="0"/>
      <w:marRight w:val="0"/>
      <w:marTop w:val="0"/>
      <w:marBottom w:val="0"/>
      <w:divBdr>
        <w:top w:val="none" w:sz="0" w:space="0" w:color="auto"/>
        <w:left w:val="none" w:sz="0" w:space="0" w:color="auto"/>
        <w:bottom w:val="none" w:sz="0" w:space="0" w:color="auto"/>
        <w:right w:val="none" w:sz="0" w:space="0" w:color="auto"/>
      </w:divBdr>
    </w:div>
    <w:div w:id="1131090326">
      <w:bodyDiv w:val="1"/>
      <w:marLeft w:val="0"/>
      <w:marRight w:val="0"/>
      <w:marTop w:val="0"/>
      <w:marBottom w:val="0"/>
      <w:divBdr>
        <w:top w:val="none" w:sz="0" w:space="0" w:color="auto"/>
        <w:left w:val="none" w:sz="0" w:space="0" w:color="auto"/>
        <w:bottom w:val="none" w:sz="0" w:space="0" w:color="auto"/>
        <w:right w:val="none" w:sz="0" w:space="0" w:color="auto"/>
      </w:divBdr>
    </w:div>
    <w:div w:id="1140616604">
      <w:bodyDiv w:val="1"/>
      <w:marLeft w:val="0"/>
      <w:marRight w:val="0"/>
      <w:marTop w:val="0"/>
      <w:marBottom w:val="0"/>
      <w:divBdr>
        <w:top w:val="none" w:sz="0" w:space="0" w:color="auto"/>
        <w:left w:val="none" w:sz="0" w:space="0" w:color="auto"/>
        <w:bottom w:val="none" w:sz="0" w:space="0" w:color="auto"/>
        <w:right w:val="none" w:sz="0" w:space="0" w:color="auto"/>
      </w:divBdr>
    </w:div>
    <w:div w:id="1142161505">
      <w:bodyDiv w:val="1"/>
      <w:marLeft w:val="0"/>
      <w:marRight w:val="0"/>
      <w:marTop w:val="0"/>
      <w:marBottom w:val="0"/>
      <w:divBdr>
        <w:top w:val="none" w:sz="0" w:space="0" w:color="auto"/>
        <w:left w:val="none" w:sz="0" w:space="0" w:color="auto"/>
        <w:bottom w:val="none" w:sz="0" w:space="0" w:color="auto"/>
        <w:right w:val="none" w:sz="0" w:space="0" w:color="auto"/>
      </w:divBdr>
    </w:div>
    <w:div w:id="1160536816">
      <w:bodyDiv w:val="1"/>
      <w:marLeft w:val="0"/>
      <w:marRight w:val="0"/>
      <w:marTop w:val="0"/>
      <w:marBottom w:val="0"/>
      <w:divBdr>
        <w:top w:val="none" w:sz="0" w:space="0" w:color="auto"/>
        <w:left w:val="none" w:sz="0" w:space="0" w:color="auto"/>
        <w:bottom w:val="none" w:sz="0" w:space="0" w:color="auto"/>
        <w:right w:val="none" w:sz="0" w:space="0" w:color="auto"/>
      </w:divBdr>
    </w:div>
    <w:div w:id="1163083591">
      <w:bodyDiv w:val="1"/>
      <w:marLeft w:val="0"/>
      <w:marRight w:val="0"/>
      <w:marTop w:val="0"/>
      <w:marBottom w:val="0"/>
      <w:divBdr>
        <w:top w:val="none" w:sz="0" w:space="0" w:color="auto"/>
        <w:left w:val="none" w:sz="0" w:space="0" w:color="auto"/>
        <w:bottom w:val="none" w:sz="0" w:space="0" w:color="auto"/>
        <w:right w:val="none" w:sz="0" w:space="0" w:color="auto"/>
      </w:divBdr>
    </w:div>
    <w:div w:id="1213924786">
      <w:bodyDiv w:val="1"/>
      <w:marLeft w:val="0"/>
      <w:marRight w:val="0"/>
      <w:marTop w:val="0"/>
      <w:marBottom w:val="0"/>
      <w:divBdr>
        <w:top w:val="none" w:sz="0" w:space="0" w:color="auto"/>
        <w:left w:val="none" w:sz="0" w:space="0" w:color="auto"/>
        <w:bottom w:val="none" w:sz="0" w:space="0" w:color="auto"/>
        <w:right w:val="none" w:sz="0" w:space="0" w:color="auto"/>
      </w:divBdr>
    </w:div>
    <w:div w:id="1215628577">
      <w:bodyDiv w:val="1"/>
      <w:marLeft w:val="0"/>
      <w:marRight w:val="0"/>
      <w:marTop w:val="0"/>
      <w:marBottom w:val="0"/>
      <w:divBdr>
        <w:top w:val="none" w:sz="0" w:space="0" w:color="auto"/>
        <w:left w:val="none" w:sz="0" w:space="0" w:color="auto"/>
        <w:bottom w:val="none" w:sz="0" w:space="0" w:color="auto"/>
        <w:right w:val="none" w:sz="0" w:space="0" w:color="auto"/>
      </w:divBdr>
    </w:div>
    <w:div w:id="1218778961">
      <w:bodyDiv w:val="1"/>
      <w:marLeft w:val="0"/>
      <w:marRight w:val="0"/>
      <w:marTop w:val="0"/>
      <w:marBottom w:val="0"/>
      <w:divBdr>
        <w:top w:val="none" w:sz="0" w:space="0" w:color="auto"/>
        <w:left w:val="none" w:sz="0" w:space="0" w:color="auto"/>
        <w:bottom w:val="none" w:sz="0" w:space="0" w:color="auto"/>
        <w:right w:val="none" w:sz="0" w:space="0" w:color="auto"/>
      </w:divBdr>
    </w:div>
    <w:div w:id="1234269343">
      <w:bodyDiv w:val="1"/>
      <w:marLeft w:val="0"/>
      <w:marRight w:val="0"/>
      <w:marTop w:val="0"/>
      <w:marBottom w:val="0"/>
      <w:divBdr>
        <w:top w:val="none" w:sz="0" w:space="0" w:color="auto"/>
        <w:left w:val="none" w:sz="0" w:space="0" w:color="auto"/>
        <w:bottom w:val="none" w:sz="0" w:space="0" w:color="auto"/>
        <w:right w:val="none" w:sz="0" w:space="0" w:color="auto"/>
      </w:divBdr>
    </w:div>
    <w:div w:id="1238243611">
      <w:bodyDiv w:val="1"/>
      <w:marLeft w:val="0"/>
      <w:marRight w:val="0"/>
      <w:marTop w:val="0"/>
      <w:marBottom w:val="0"/>
      <w:divBdr>
        <w:top w:val="none" w:sz="0" w:space="0" w:color="auto"/>
        <w:left w:val="none" w:sz="0" w:space="0" w:color="auto"/>
        <w:bottom w:val="none" w:sz="0" w:space="0" w:color="auto"/>
        <w:right w:val="none" w:sz="0" w:space="0" w:color="auto"/>
      </w:divBdr>
    </w:div>
    <w:div w:id="1245801401">
      <w:bodyDiv w:val="1"/>
      <w:marLeft w:val="0"/>
      <w:marRight w:val="0"/>
      <w:marTop w:val="0"/>
      <w:marBottom w:val="0"/>
      <w:divBdr>
        <w:top w:val="none" w:sz="0" w:space="0" w:color="auto"/>
        <w:left w:val="none" w:sz="0" w:space="0" w:color="auto"/>
        <w:bottom w:val="none" w:sz="0" w:space="0" w:color="auto"/>
        <w:right w:val="none" w:sz="0" w:space="0" w:color="auto"/>
      </w:divBdr>
    </w:div>
    <w:div w:id="1247300391">
      <w:bodyDiv w:val="1"/>
      <w:marLeft w:val="0"/>
      <w:marRight w:val="0"/>
      <w:marTop w:val="0"/>
      <w:marBottom w:val="0"/>
      <w:divBdr>
        <w:top w:val="none" w:sz="0" w:space="0" w:color="auto"/>
        <w:left w:val="none" w:sz="0" w:space="0" w:color="auto"/>
        <w:bottom w:val="none" w:sz="0" w:space="0" w:color="auto"/>
        <w:right w:val="none" w:sz="0" w:space="0" w:color="auto"/>
      </w:divBdr>
    </w:div>
    <w:div w:id="1252734533">
      <w:bodyDiv w:val="1"/>
      <w:marLeft w:val="0"/>
      <w:marRight w:val="0"/>
      <w:marTop w:val="0"/>
      <w:marBottom w:val="0"/>
      <w:divBdr>
        <w:top w:val="none" w:sz="0" w:space="0" w:color="auto"/>
        <w:left w:val="none" w:sz="0" w:space="0" w:color="auto"/>
        <w:bottom w:val="none" w:sz="0" w:space="0" w:color="auto"/>
        <w:right w:val="none" w:sz="0" w:space="0" w:color="auto"/>
      </w:divBdr>
    </w:div>
    <w:div w:id="1300458300">
      <w:bodyDiv w:val="1"/>
      <w:marLeft w:val="0"/>
      <w:marRight w:val="0"/>
      <w:marTop w:val="0"/>
      <w:marBottom w:val="0"/>
      <w:divBdr>
        <w:top w:val="none" w:sz="0" w:space="0" w:color="auto"/>
        <w:left w:val="none" w:sz="0" w:space="0" w:color="auto"/>
        <w:bottom w:val="none" w:sz="0" w:space="0" w:color="auto"/>
        <w:right w:val="none" w:sz="0" w:space="0" w:color="auto"/>
      </w:divBdr>
    </w:div>
    <w:div w:id="1301763137">
      <w:bodyDiv w:val="1"/>
      <w:marLeft w:val="0"/>
      <w:marRight w:val="0"/>
      <w:marTop w:val="0"/>
      <w:marBottom w:val="0"/>
      <w:divBdr>
        <w:top w:val="none" w:sz="0" w:space="0" w:color="auto"/>
        <w:left w:val="none" w:sz="0" w:space="0" w:color="auto"/>
        <w:bottom w:val="none" w:sz="0" w:space="0" w:color="auto"/>
        <w:right w:val="none" w:sz="0" w:space="0" w:color="auto"/>
      </w:divBdr>
    </w:div>
    <w:div w:id="1312097579">
      <w:bodyDiv w:val="1"/>
      <w:marLeft w:val="0"/>
      <w:marRight w:val="0"/>
      <w:marTop w:val="0"/>
      <w:marBottom w:val="0"/>
      <w:divBdr>
        <w:top w:val="none" w:sz="0" w:space="0" w:color="auto"/>
        <w:left w:val="none" w:sz="0" w:space="0" w:color="auto"/>
        <w:bottom w:val="none" w:sz="0" w:space="0" w:color="auto"/>
        <w:right w:val="none" w:sz="0" w:space="0" w:color="auto"/>
      </w:divBdr>
    </w:div>
    <w:div w:id="1314984638">
      <w:bodyDiv w:val="1"/>
      <w:marLeft w:val="0"/>
      <w:marRight w:val="0"/>
      <w:marTop w:val="0"/>
      <w:marBottom w:val="0"/>
      <w:divBdr>
        <w:top w:val="none" w:sz="0" w:space="0" w:color="auto"/>
        <w:left w:val="none" w:sz="0" w:space="0" w:color="auto"/>
        <w:bottom w:val="none" w:sz="0" w:space="0" w:color="auto"/>
        <w:right w:val="none" w:sz="0" w:space="0" w:color="auto"/>
      </w:divBdr>
    </w:div>
    <w:div w:id="1345933287">
      <w:bodyDiv w:val="1"/>
      <w:marLeft w:val="0"/>
      <w:marRight w:val="0"/>
      <w:marTop w:val="0"/>
      <w:marBottom w:val="0"/>
      <w:divBdr>
        <w:top w:val="none" w:sz="0" w:space="0" w:color="auto"/>
        <w:left w:val="none" w:sz="0" w:space="0" w:color="auto"/>
        <w:bottom w:val="none" w:sz="0" w:space="0" w:color="auto"/>
        <w:right w:val="none" w:sz="0" w:space="0" w:color="auto"/>
      </w:divBdr>
    </w:div>
    <w:div w:id="1353872181">
      <w:bodyDiv w:val="1"/>
      <w:marLeft w:val="0"/>
      <w:marRight w:val="0"/>
      <w:marTop w:val="0"/>
      <w:marBottom w:val="0"/>
      <w:divBdr>
        <w:top w:val="none" w:sz="0" w:space="0" w:color="auto"/>
        <w:left w:val="none" w:sz="0" w:space="0" w:color="auto"/>
        <w:bottom w:val="none" w:sz="0" w:space="0" w:color="auto"/>
        <w:right w:val="none" w:sz="0" w:space="0" w:color="auto"/>
      </w:divBdr>
    </w:div>
    <w:div w:id="1365473945">
      <w:bodyDiv w:val="1"/>
      <w:marLeft w:val="0"/>
      <w:marRight w:val="0"/>
      <w:marTop w:val="0"/>
      <w:marBottom w:val="0"/>
      <w:divBdr>
        <w:top w:val="none" w:sz="0" w:space="0" w:color="auto"/>
        <w:left w:val="none" w:sz="0" w:space="0" w:color="auto"/>
        <w:bottom w:val="none" w:sz="0" w:space="0" w:color="auto"/>
        <w:right w:val="none" w:sz="0" w:space="0" w:color="auto"/>
      </w:divBdr>
    </w:div>
    <w:div w:id="1379624587">
      <w:bodyDiv w:val="1"/>
      <w:marLeft w:val="0"/>
      <w:marRight w:val="0"/>
      <w:marTop w:val="0"/>
      <w:marBottom w:val="0"/>
      <w:divBdr>
        <w:top w:val="none" w:sz="0" w:space="0" w:color="auto"/>
        <w:left w:val="none" w:sz="0" w:space="0" w:color="auto"/>
        <w:bottom w:val="none" w:sz="0" w:space="0" w:color="auto"/>
        <w:right w:val="none" w:sz="0" w:space="0" w:color="auto"/>
      </w:divBdr>
    </w:div>
    <w:div w:id="1392772685">
      <w:bodyDiv w:val="1"/>
      <w:marLeft w:val="0"/>
      <w:marRight w:val="0"/>
      <w:marTop w:val="0"/>
      <w:marBottom w:val="0"/>
      <w:divBdr>
        <w:top w:val="none" w:sz="0" w:space="0" w:color="auto"/>
        <w:left w:val="none" w:sz="0" w:space="0" w:color="auto"/>
        <w:bottom w:val="none" w:sz="0" w:space="0" w:color="auto"/>
        <w:right w:val="none" w:sz="0" w:space="0" w:color="auto"/>
      </w:divBdr>
    </w:div>
    <w:div w:id="1401562913">
      <w:bodyDiv w:val="1"/>
      <w:marLeft w:val="0"/>
      <w:marRight w:val="0"/>
      <w:marTop w:val="0"/>
      <w:marBottom w:val="0"/>
      <w:divBdr>
        <w:top w:val="none" w:sz="0" w:space="0" w:color="auto"/>
        <w:left w:val="none" w:sz="0" w:space="0" w:color="auto"/>
        <w:bottom w:val="none" w:sz="0" w:space="0" w:color="auto"/>
        <w:right w:val="none" w:sz="0" w:space="0" w:color="auto"/>
      </w:divBdr>
    </w:div>
    <w:div w:id="1402750684">
      <w:bodyDiv w:val="1"/>
      <w:marLeft w:val="0"/>
      <w:marRight w:val="0"/>
      <w:marTop w:val="0"/>
      <w:marBottom w:val="0"/>
      <w:divBdr>
        <w:top w:val="none" w:sz="0" w:space="0" w:color="auto"/>
        <w:left w:val="none" w:sz="0" w:space="0" w:color="auto"/>
        <w:bottom w:val="none" w:sz="0" w:space="0" w:color="auto"/>
        <w:right w:val="none" w:sz="0" w:space="0" w:color="auto"/>
      </w:divBdr>
    </w:div>
    <w:div w:id="1412046456">
      <w:bodyDiv w:val="1"/>
      <w:marLeft w:val="0"/>
      <w:marRight w:val="0"/>
      <w:marTop w:val="0"/>
      <w:marBottom w:val="0"/>
      <w:divBdr>
        <w:top w:val="none" w:sz="0" w:space="0" w:color="auto"/>
        <w:left w:val="none" w:sz="0" w:space="0" w:color="auto"/>
        <w:bottom w:val="none" w:sz="0" w:space="0" w:color="auto"/>
        <w:right w:val="none" w:sz="0" w:space="0" w:color="auto"/>
      </w:divBdr>
    </w:div>
    <w:div w:id="1426342231">
      <w:bodyDiv w:val="1"/>
      <w:marLeft w:val="0"/>
      <w:marRight w:val="0"/>
      <w:marTop w:val="0"/>
      <w:marBottom w:val="0"/>
      <w:divBdr>
        <w:top w:val="none" w:sz="0" w:space="0" w:color="auto"/>
        <w:left w:val="none" w:sz="0" w:space="0" w:color="auto"/>
        <w:bottom w:val="none" w:sz="0" w:space="0" w:color="auto"/>
        <w:right w:val="none" w:sz="0" w:space="0" w:color="auto"/>
      </w:divBdr>
    </w:div>
    <w:div w:id="1433237878">
      <w:bodyDiv w:val="1"/>
      <w:marLeft w:val="0"/>
      <w:marRight w:val="0"/>
      <w:marTop w:val="0"/>
      <w:marBottom w:val="0"/>
      <w:divBdr>
        <w:top w:val="none" w:sz="0" w:space="0" w:color="auto"/>
        <w:left w:val="none" w:sz="0" w:space="0" w:color="auto"/>
        <w:bottom w:val="none" w:sz="0" w:space="0" w:color="auto"/>
        <w:right w:val="none" w:sz="0" w:space="0" w:color="auto"/>
      </w:divBdr>
    </w:div>
    <w:div w:id="1434208971">
      <w:bodyDiv w:val="1"/>
      <w:marLeft w:val="0"/>
      <w:marRight w:val="0"/>
      <w:marTop w:val="0"/>
      <w:marBottom w:val="0"/>
      <w:divBdr>
        <w:top w:val="none" w:sz="0" w:space="0" w:color="auto"/>
        <w:left w:val="none" w:sz="0" w:space="0" w:color="auto"/>
        <w:bottom w:val="none" w:sz="0" w:space="0" w:color="auto"/>
        <w:right w:val="none" w:sz="0" w:space="0" w:color="auto"/>
      </w:divBdr>
    </w:div>
    <w:div w:id="1439328375">
      <w:bodyDiv w:val="1"/>
      <w:marLeft w:val="0"/>
      <w:marRight w:val="0"/>
      <w:marTop w:val="0"/>
      <w:marBottom w:val="0"/>
      <w:divBdr>
        <w:top w:val="none" w:sz="0" w:space="0" w:color="auto"/>
        <w:left w:val="none" w:sz="0" w:space="0" w:color="auto"/>
        <w:bottom w:val="none" w:sz="0" w:space="0" w:color="auto"/>
        <w:right w:val="none" w:sz="0" w:space="0" w:color="auto"/>
      </w:divBdr>
    </w:div>
    <w:div w:id="1451439665">
      <w:bodyDiv w:val="1"/>
      <w:marLeft w:val="0"/>
      <w:marRight w:val="0"/>
      <w:marTop w:val="0"/>
      <w:marBottom w:val="0"/>
      <w:divBdr>
        <w:top w:val="none" w:sz="0" w:space="0" w:color="auto"/>
        <w:left w:val="none" w:sz="0" w:space="0" w:color="auto"/>
        <w:bottom w:val="none" w:sz="0" w:space="0" w:color="auto"/>
        <w:right w:val="none" w:sz="0" w:space="0" w:color="auto"/>
      </w:divBdr>
    </w:div>
    <w:div w:id="1474786172">
      <w:bodyDiv w:val="1"/>
      <w:marLeft w:val="0"/>
      <w:marRight w:val="0"/>
      <w:marTop w:val="0"/>
      <w:marBottom w:val="0"/>
      <w:divBdr>
        <w:top w:val="none" w:sz="0" w:space="0" w:color="auto"/>
        <w:left w:val="none" w:sz="0" w:space="0" w:color="auto"/>
        <w:bottom w:val="none" w:sz="0" w:space="0" w:color="auto"/>
        <w:right w:val="none" w:sz="0" w:space="0" w:color="auto"/>
      </w:divBdr>
    </w:div>
    <w:div w:id="1479422030">
      <w:bodyDiv w:val="1"/>
      <w:marLeft w:val="0"/>
      <w:marRight w:val="0"/>
      <w:marTop w:val="0"/>
      <w:marBottom w:val="0"/>
      <w:divBdr>
        <w:top w:val="none" w:sz="0" w:space="0" w:color="auto"/>
        <w:left w:val="none" w:sz="0" w:space="0" w:color="auto"/>
        <w:bottom w:val="none" w:sz="0" w:space="0" w:color="auto"/>
        <w:right w:val="none" w:sz="0" w:space="0" w:color="auto"/>
      </w:divBdr>
    </w:div>
    <w:div w:id="1480731986">
      <w:bodyDiv w:val="1"/>
      <w:marLeft w:val="0"/>
      <w:marRight w:val="0"/>
      <w:marTop w:val="0"/>
      <w:marBottom w:val="0"/>
      <w:divBdr>
        <w:top w:val="none" w:sz="0" w:space="0" w:color="auto"/>
        <w:left w:val="none" w:sz="0" w:space="0" w:color="auto"/>
        <w:bottom w:val="none" w:sz="0" w:space="0" w:color="auto"/>
        <w:right w:val="none" w:sz="0" w:space="0" w:color="auto"/>
      </w:divBdr>
    </w:div>
    <w:div w:id="1481534331">
      <w:bodyDiv w:val="1"/>
      <w:marLeft w:val="0"/>
      <w:marRight w:val="0"/>
      <w:marTop w:val="0"/>
      <w:marBottom w:val="0"/>
      <w:divBdr>
        <w:top w:val="none" w:sz="0" w:space="0" w:color="auto"/>
        <w:left w:val="none" w:sz="0" w:space="0" w:color="auto"/>
        <w:bottom w:val="none" w:sz="0" w:space="0" w:color="auto"/>
        <w:right w:val="none" w:sz="0" w:space="0" w:color="auto"/>
      </w:divBdr>
    </w:div>
    <w:div w:id="1489593274">
      <w:bodyDiv w:val="1"/>
      <w:marLeft w:val="0"/>
      <w:marRight w:val="0"/>
      <w:marTop w:val="0"/>
      <w:marBottom w:val="0"/>
      <w:divBdr>
        <w:top w:val="none" w:sz="0" w:space="0" w:color="auto"/>
        <w:left w:val="none" w:sz="0" w:space="0" w:color="auto"/>
        <w:bottom w:val="none" w:sz="0" w:space="0" w:color="auto"/>
        <w:right w:val="none" w:sz="0" w:space="0" w:color="auto"/>
      </w:divBdr>
    </w:div>
    <w:div w:id="1496535319">
      <w:bodyDiv w:val="1"/>
      <w:marLeft w:val="0"/>
      <w:marRight w:val="0"/>
      <w:marTop w:val="0"/>
      <w:marBottom w:val="0"/>
      <w:divBdr>
        <w:top w:val="none" w:sz="0" w:space="0" w:color="auto"/>
        <w:left w:val="none" w:sz="0" w:space="0" w:color="auto"/>
        <w:bottom w:val="none" w:sz="0" w:space="0" w:color="auto"/>
        <w:right w:val="none" w:sz="0" w:space="0" w:color="auto"/>
      </w:divBdr>
    </w:div>
    <w:div w:id="1506674729">
      <w:bodyDiv w:val="1"/>
      <w:marLeft w:val="0"/>
      <w:marRight w:val="0"/>
      <w:marTop w:val="0"/>
      <w:marBottom w:val="0"/>
      <w:divBdr>
        <w:top w:val="none" w:sz="0" w:space="0" w:color="auto"/>
        <w:left w:val="none" w:sz="0" w:space="0" w:color="auto"/>
        <w:bottom w:val="none" w:sz="0" w:space="0" w:color="auto"/>
        <w:right w:val="none" w:sz="0" w:space="0" w:color="auto"/>
      </w:divBdr>
    </w:div>
    <w:div w:id="1510874732">
      <w:bodyDiv w:val="1"/>
      <w:marLeft w:val="0"/>
      <w:marRight w:val="0"/>
      <w:marTop w:val="0"/>
      <w:marBottom w:val="0"/>
      <w:divBdr>
        <w:top w:val="none" w:sz="0" w:space="0" w:color="auto"/>
        <w:left w:val="none" w:sz="0" w:space="0" w:color="auto"/>
        <w:bottom w:val="none" w:sz="0" w:space="0" w:color="auto"/>
        <w:right w:val="none" w:sz="0" w:space="0" w:color="auto"/>
      </w:divBdr>
    </w:div>
    <w:div w:id="1514876697">
      <w:bodyDiv w:val="1"/>
      <w:marLeft w:val="0"/>
      <w:marRight w:val="0"/>
      <w:marTop w:val="0"/>
      <w:marBottom w:val="0"/>
      <w:divBdr>
        <w:top w:val="none" w:sz="0" w:space="0" w:color="auto"/>
        <w:left w:val="none" w:sz="0" w:space="0" w:color="auto"/>
        <w:bottom w:val="none" w:sz="0" w:space="0" w:color="auto"/>
        <w:right w:val="none" w:sz="0" w:space="0" w:color="auto"/>
      </w:divBdr>
    </w:div>
    <w:div w:id="1519735274">
      <w:bodyDiv w:val="1"/>
      <w:marLeft w:val="0"/>
      <w:marRight w:val="0"/>
      <w:marTop w:val="0"/>
      <w:marBottom w:val="0"/>
      <w:divBdr>
        <w:top w:val="none" w:sz="0" w:space="0" w:color="auto"/>
        <w:left w:val="none" w:sz="0" w:space="0" w:color="auto"/>
        <w:bottom w:val="none" w:sz="0" w:space="0" w:color="auto"/>
        <w:right w:val="none" w:sz="0" w:space="0" w:color="auto"/>
      </w:divBdr>
    </w:div>
    <w:div w:id="1542395547">
      <w:bodyDiv w:val="1"/>
      <w:marLeft w:val="0"/>
      <w:marRight w:val="0"/>
      <w:marTop w:val="0"/>
      <w:marBottom w:val="0"/>
      <w:divBdr>
        <w:top w:val="none" w:sz="0" w:space="0" w:color="auto"/>
        <w:left w:val="none" w:sz="0" w:space="0" w:color="auto"/>
        <w:bottom w:val="none" w:sz="0" w:space="0" w:color="auto"/>
        <w:right w:val="none" w:sz="0" w:space="0" w:color="auto"/>
      </w:divBdr>
    </w:div>
    <w:div w:id="1545366639">
      <w:bodyDiv w:val="1"/>
      <w:marLeft w:val="0"/>
      <w:marRight w:val="0"/>
      <w:marTop w:val="0"/>
      <w:marBottom w:val="0"/>
      <w:divBdr>
        <w:top w:val="none" w:sz="0" w:space="0" w:color="auto"/>
        <w:left w:val="none" w:sz="0" w:space="0" w:color="auto"/>
        <w:bottom w:val="none" w:sz="0" w:space="0" w:color="auto"/>
        <w:right w:val="none" w:sz="0" w:space="0" w:color="auto"/>
      </w:divBdr>
    </w:div>
    <w:div w:id="1556355239">
      <w:bodyDiv w:val="1"/>
      <w:marLeft w:val="0"/>
      <w:marRight w:val="0"/>
      <w:marTop w:val="0"/>
      <w:marBottom w:val="0"/>
      <w:divBdr>
        <w:top w:val="none" w:sz="0" w:space="0" w:color="auto"/>
        <w:left w:val="none" w:sz="0" w:space="0" w:color="auto"/>
        <w:bottom w:val="none" w:sz="0" w:space="0" w:color="auto"/>
        <w:right w:val="none" w:sz="0" w:space="0" w:color="auto"/>
      </w:divBdr>
    </w:div>
    <w:div w:id="1564632746">
      <w:bodyDiv w:val="1"/>
      <w:marLeft w:val="0"/>
      <w:marRight w:val="0"/>
      <w:marTop w:val="0"/>
      <w:marBottom w:val="0"/>
      <w:divBdr>
        <w:top w:val="none" w:sz="0" w:space="0" w:color="auto"/>
        <w:left w:val="none" w:sz="0" w:space="0" w:color="auto"/>
        <w:bottom w:val="none" w:sz="0" w:space="0" w:color="auto"/>
        <w:right w:val="none" w:sz="0" w:space="0" w:color="auto"/>
      </w:divBdr>
    </w:div>
    <w:div w:id="1598637882">
      <w:bodyDiv w:val="1"/>
      <w:marLeft w:val="0"/>
      <w:marRight w:val="0"/>
      <w:marTop w:val="0"/>
      <w:marBottom w:val="0"/>
      <w:divBdr>
        <w:top w:val="none" w:sz="0" w:space="0" w:color="auto"/>
        <w:left w:val="none" w:sz="0" w:space="0" w:color="auto"/>
        <w:bottom w:val="none" w:sz="0" w:space="0" w:color="auto"/>
        <w:right w:val="none" w:sz="0" w:space="0" w:color="auto"/>
      </w:divBdr>
    </w:div>
    <w:div w:id="1605263492">
      <w:bodyDiv w:val="1"/>
      <w:marLeft w:val="0"/>
      <w:marRight w:val="0"/>
      <w:marTop w:val="0"/>
      <w:marBottom w:val="0"/>
      <w:divBdr>
        <w:top w:val="none" w:sz="0" w:space="0" w:color="auto"/>
        <w:left w:val="none" w:sz="0" w:space="0" w:color="auto"/>
        <w:bottom w:val="none" w:sz="0" w:space="0" w:color="auto"/>
        <w:right w:val="none" w:sz="0" w:space="0" w:color="auto"/>
      </w:divBdr>
    </w:div>
    <w:div w:id="1607730404">
      <w:bodyDiv w:val="1"/>
      <w:marLeft w:val="0"/>
      <w:marRight w:val="0"/>
      <w:marTop w:val="0"/>
      <w:marBottom w:val="0"/>
      <w:divBdr>
        <w:top w:val="none" w:sz="0" w:space="0" w:color="auto"/>
        <w:left w:val="none" w:sz="0" w:space="0" w:color="auto"/>
        <w:bottom w:val="none" w:sz="0" w:space="0" w:color="auto"/>
        <w:right w:val="none" w:sz="0" w:space="0" w:color="auto"/>
      </w:divBdr>
    </w:div>
    <w:div w:id="1609462313">
      <w:bodyDiv w:val="1"/>
      <w:marLeft w:val="0"/>
      <w:marRight w:val="0"/>
      <w:marTop w:val="0"/>
      <w:marBottom w:val="0"/>
      <w:divBdr>
        <w:top w:val="none" w:sz="0" w:space="0" w:color="auto"/>
        <w:left w:val="none" w:sz="0" w:space="0" w:color="auto"/>
        <w:bottom w:val="none" w:sz="0" w:space="0" w:color="auto"/>
        <w:right w:val="none" w:sz="0" w:space="0" w:color="auto"/>
      </w:divBdr>
    </w:div>
    <w:div w:id="1656303485">
      <w:bodyDiv w:val="1"/>
      <w:marLeft w:val="0"/>
      <w:marRight w:val="0"/>
      <w:marTop w:val="0"/>
      <w:marBottom w:val="0"/>
      <w:divBdr>
        <w:top w:val="none" w:sz="0" w:space="0" w:color="auto"/>
        <w:left w:val="none" w:sz="0" w:space="0" w:color="auto"/>
        <w:bottom w:val="none" w:sz="0" w:space="0" w:color="auto"/>
        <w:right w:val="none" w:sz="0" w:space="0" w:color="auto"/>
      </w:divBdr>
    </w:div>
    <w:div w:id="1658146977">
      <w:bodyDiv w:val="1"/>
      <w:marLeft w:val="0"/>
      <w:marRight w:val="0"/>
      <w:marTop w:val="0"/>
      <w:marBottom w:val="0"/>
      <w:divBdr>
        <w:top w:val="none" w:sz="0" w:space="0" w:color="auto"/>
        <w:left w:val="none" w:sz="0" w:space="0" w:color="auto"/>
        <w:bottom w:val="none" w:sz="0" w:space="0" w:color="auto"/>
        <w:right w:val="none" w:sz="0" w:space="0" w:color="auto"/>
      </w:divBdr>
    </w:div>
    <w:div w:id="1661040690">
      <w:bodyDiv w:val="1"/>
      <w:marLeft w:val="0"/>
      <w:marRight w:val="0"/>
      <w:marTop w:val="0"/>
      <w:marBottom w:val="0"/>
      <w:divBdr>
        <w:top w:val="none" w:sz="0" w:space="0" w:color="auto"/>
        <w:left w:val="none" w:sz="0" w:space="0" w:color="auto"/>
        <w:bottom w:val="none" w:sz="0" w:space="0" w:color="auto"/>
        <w:right w:val="none" w:sz="0" w:space="0" w:color="auto"/>
      </w:divBdr>
    </w:div>
    <w:div w:id="1676347463">
      <w:bodyDiv w:val="1"/>
      <w:marLeft w:val="0"/>
      <w:marRight w:val="0"/>
      <w:marTop w:val="0"/>
      <w:marBottom w:val="0"/>
      <w:divBdr>
        <w:top w:val="none" w:sz="0" w:space="0" w:color="auto"/>
        <w:left w:val="none" w:sz="0" w:space="0" w:color="auto"/>
        <w:bottom w:val="none" w:sz="0" w:space="0" w:color="auto"/>
        <w:right w:val="none" w:sz="0" w:space="0" w:color="auto"/>
      </w:divBdr>
    </w:div>
    <w:div w:id="1678338916">
      <w:bodyDiv w:val="1"/>
      <w:marLeft w:val="0"/>
      <w:marRight w:val="0"/>
      <w:marTop w:val="0"/>
      <w:marBottom w:val="0"/>
      <w:divBdr>
        <w:top w:val="none" w:sz="0" w:space="0" w:color="auto"/>
        <w:left w:val="none" w:sz="0" w:space="0" w:color="auto"/>
        <w:bottom w:val="none" w:sz="0" w:space="0" w:color="auto"/>
        <w:right w:val="none" w:sz="0" w:space="0" w:color="auto"/>
      </w:divBdr>
    </w:div>
    <w:div w:id="1694499858">
      <w:bodyDiv w:val="1"/>
      <w:marLeft w:val="0"/>
      <w:marRight w:val="0"/>
      <w:marTop w:val="0"/>
      <w:marBottom w:val="0"/>
      <w:divBdr>
        <w:top w:val="none" w:sz="0" w:space="0" w:color="auto"/>
        <w:left w:val="none" w:sz="0" w:space="0" w:color="auto"/>
        <w:bottom w:val="none" w:sz="0" w:space="0" w:color="auto"/>
        <w:right w:val="none" w:sz="0" w:space="0" w:color="auto"/>
      </w:divBdr>
    </w:div>
    <w:div w:id="1702709162">
      <w:bodyDiv w:val="1"/>
      <w:marLeft w:val="0"/>
      <w:marRight w:val="0"/>
      <w:marTop w:val="0"/>
      <w:marBottom w:val="0"/>
      <w:divBdr>
        <w:top w:val="none" w:sz="0" w:space="0" w:color="auto"/>
        <w:left w:val="none" w:sz="0" w:space="0" w:color="auto"/>
        <w:bottom w:val="none" w:sz="0" w:space="0" w:color="auto"/>
        <w:right w:val="none" w:sz="0" w:space="0" w:color="auto"/>
      </w:divBdr>
    </w:div>
    <w:div w:id="1714844850">
      <w:bodyDiv w:val="1"/>
      <w:marLeft w:val="0"/>
      <w:marRight w:val="0"/>
      <w:marTop w:val="0"/>
      <w:marBottom w:val="0"/>
      <w:divBdr>
        <w:top w:val="none" w:sz="0" w:space="0" w:color="auto"/>
        <w:left w:val="none" w:sz="0" w:space="0" w:color="auto"/>
        <w:bottom w:val="none" w:sz="0" w:space="0" w:color="auto"/>
        <w:right w:val="none" w:sz="0" w:space="0" w:color="auto"/>
      </w:divBdr>
    </w:div>
    <w:div w:id="1719011022">
      <w:bodyDiv w:val="1"/>
      <w:marLeft w:val="0"/>
      <w:marRight w:val="0"/>
      <w:marTop w:val="0"/>
      <w:marBottom w:val="0"/>
      <w:divBdr>
        <w:top w:val="none" w:sz="0" w:space="0" w:color="auto"/>
        <w:left w:val="none" w:sz="0" w:space="0" w:color="auto"/>
        <w:bottom w:val="none" w:sz="0" w:space="0" w:color="auto"/>
        <w:right w:val="none" w:sz="0" w:space="0" w:color="auto"/>
      </w:divBdr>
    </w:div>
    <w:div w:id="1721977484">
      <w:bodyDiv w:val="1"/>
      <w:marLeft w:val="0"/>
      <w:marRight w:val="0"/>
      <w:marTop w:val="0"/>
      <w:marBottom w:val="0"/>
      <w:divBdr>
        <w:top w:val="none" w:sz="0" w:space="0" w:color="auto"/>
        <w:left w:val="none" w:sz="0" w:space="0" w:color="auto"/>
        <w:bottom w:val="none" w:sz="0" w:space="0" w:color="auto"/>
        <w:right w:val="none" w:sz="0" w:space="0" w:color="auto"/>
      </w:divBdr>
    </w:div>
    <w:div w:id="1725181715">
      <w:bodyDiv w:val="1"/>
      <w:marLeft w:val="0"/>
      <w:marRight w:val="0"/>
      <w:marTop w:val="0"/>
      <w:marBottom w:val="0"/>
      <w:divBdr>
        <w:top w:val="none" w:sz="0" w:space="0" w:color="auto"/>
        <w:left w:val="none" w:sz="0" w:space="0" w:color="auto"/>
        <w:bottom w:val="none" w:sz="0" w:space="0" w:color="auto"/>
        <w:right w:val="none" w:sz="0" w:space="0" w:color="auto"/>
      </w:divBdr>
    </w:div>
    <w:div w:id="1752893809">
      <w:bodyDiv w:val="1"/>
      <w:marLeft w:val="0"/>
      <w:marRight w:val="0"/>
      <w:marTop w:val="0"/>
      <w:marBottom w:val="0"/>
      <w:divBdr>
        <w:top w:val="none" w:sz="0" w:space="0" w:color="auto"/>
        <w:left w:val="none" w:sz="0" w:space="0" w:color="auto"/>
        <w:bottom w:val="none" w:sz="0" w:space="0" w:color="auto"/>
        <w:right w:val="none" w:sz="0" w:space="0" w:color="auto"/>
      </w:divBdr>
    </w:div>
    <w:div w:id="1762212222">
      <w:bodyDiv w:val="1"/>
      <w:marLeft w:val="0"/>
      <w:marRight w:val="0"/>
      <w:marTop w:val="0"/>
      <w:marBottom w:val="0"/>
      <w:divBdr>
        <w:top w:val="none" w:sz="0" w:space="0" w:color="auto"/>
        <w:left w:val="none" w:sz="0" w:space="0" w:color="auto"/>
        <w:bottom w:val="none" w:sz="0" w:space="0" w:color="auto"/>
        <w:right w:val="none" w:sz="0" w:space="0" w:color="auto"/>
      </w:divBdr>
    </w:div>
    <w:div w:id="1784153259">
      <w:bodyDiv w:val="1"/>
      <w:marLeft w:val="0"/>
      <w:marRight w:val="0"/>
      <w:marTop w:val="0"/>
      <w:marBottom w:val="0"/>
      <w:divBdr>
        <w:top w:val="none" w:sz="0" w:space="0" w:color="auto"/>
        <w:left w:val="none" w:sz="0" w:space="0" w:color="auto"/>
        <w:bottom w:val="none" w:sz="0" w:space="0" w:color="auto"/>
        <w:right w:val="none" w:sz="0" w:space="0" w:color="auto"/>
      </w:divBdr>
    </w:div>
    <w:div w:id="1785150178">
      <w:bodyDiv w:val="1"/>
      <w:marLeft w:val="0"/>
      <w:marRight w:val="0"/>
      <w:marTop w:val="0"/>
      <w:marBottom w:val="0"/>
      <w:divBdr>
        <w:top w:val="none" w:sz="0" w:space="0" w:color="auto"/>
        <w:left w:val="none" w:sz="0" w:space="0" w:color="auto"/>
        <w:bottom w:val="none" w:sz="0" w:space="0" w:color="auto"/>
        <w:right w:val="none" w:sz="0" w:space="0" w:color="auto"/>
      </w:divBdr>
    </w:div>
    <w:div w:id="1786801983">
      <w:bodyDiv w:val="1"/>
      <w:marLeft w:val="0"/>
      <w:marRight w:val="0"/>
      <w:marTop w:val="0"/>
      <w:marBottom w:val="0"/>
      <w:divBdr>
        <w:top w:val="none" w:sz="0" w:space="0" w:color="auto"/>
        <w:left w:val="none" w:sz="0" w:space="0" w:color="auto"/>
        <w:bottom w:val="none" w:sz="0" w:space="0" w:color="auto"/>
        <w:right w:val="none" w:sz="0" w:space="0" w:color="auto"/>
      </w:divBdr>
    </w:div>
    <w:div w:id="1808670321">
      <w:bodyDiv w:val="1"/>
      <w:marLeft w:val="0"/>
      <w:marRight w:val="0"/>
      <w:marTop w:val="0"/>
      <w:marBottom w:val="0"/>
      <w:divBdr>
        <w:top w:val="none" w:sz="0" w:space="0" w:color="auto"/>
        <w:left w:val="none" w:sz="0" w:space="0" w:color="auto"/>
        <w:bottom w:val="none" w:sz="0" w:space="0" w:color="auto"/>
        <w:right w:val="none" w:sz="0" w:space="0" w:color="auto"/>
      </w:divBdr>
    </w:div>
    <w:div w:id="1838880036">
      <w:bodyDiv w:val="1"/>
      <w:marLeft w:val="0"/>
      <w:marRight w:val="0"/>
      <w:marTop w:val="0"/>
      <w:marBottom w:val="0"/>
      <w:divBdr>
        <w:top w:val="none" w:sz="0" w:space="0" w:color="auto"/>
        <w:left w:val="none" w:sz="0" w:space="0" w:color="auto"/>
        <w:bottom w:val="none" w:sz="0" w:space="0" w:color="auto"/>
        <w:right w:val="none" w:sz="0" w:space="0" w:color="auto"/>
      </w:divBdr>
    </w:div>
    <w:div w:id="1841851731">
      <w:bodyDiv w:val="1"/>
      <w:marLeft w:val="0"/>
      <w:marRight w:val="0"/>
      <w:marTop w:val="0"/>
      <w:marBottom w:val="0"/>
      <w:divBdr>
        <w:top w:val="none" w:sz="0" w:space="0" w:color="auto"/>
        <w:left w:val="none" w:sz="0" w:space="0" w:color="auto"/>
        <w:bottom w:val="none" w:sz="0" w:space="0" w:color="auto"/>
        <w:right w:val="none" w:sz="0" w:space="0" w:color="auto"/>
      </w:divBdr>
    </w:div>
    <w:div w:id="1852915008">
      <w:bodyDiv w:val="1"/>
      <w:marLeft w:val="0"/>
      <w:marRight w:val="0"/>
      <w:marTop w:val="0"/>
      <w:marBottom w:val="0"/>
      <w:divBdr>
        <w:top w:val="none" w:sz="0" w:space="0" w:color="auto"/>
        <w:left w:val="none" w:sz="0" w:space="0" w:color="auto"/>
        <w:bottom w:val="none" w:sz="0" w:space="0" w:color="auto"/>
        <w:right w:val="none" w:sz="0" w:space="0" w:color="auto"/>
      </w:divBdr>
    </w:div>
    <w:div w:id="1867937421">
      <w:bodyDiv w:val="1"/>
      <w:marLeft w:val="0"/>
      <w:marRight w:val="0"/>
      <w:marTop w:val="0"/>
      <w:marBottom w:val="0"/>
      <w:divBdr>
        <w:top w:val="none" w:sz="0" w:space="0" w:color="auto"/>
        <w:left w:val="none" w:sz="0" w:space="0" w:color="auto"/>
        <w:bottom w:val="none" w:sz="0" w:space="0" w:color="auto"/>
        <w:right w:val="none" w:sz="0" w:space="0" w:color="auto"/>
      </w:divBdr>
    </w:div>
    <w:div w:id="1875146262">
      <w:bodyDiv w:val="1"/>
      <w:marLeft w:val="0"/>
      <w:marRight w:val="0"/>
      <w:marTop w:val="0"/>
      <w:marBottom w:val="0"/>
      <w:divBdr>
        <w:top w:val="none" w:sz="0" w:space="0" w:color="auto"/>
        <w:left w:val="none" w:sz="0" w:space="0" w:color="auto"/>
        <w:bottom w:val="none" w:sz="0" w:space="0" w:color="auto"/>
        <w:right w:val="none" w:sz="0" w:space="0" w:color="auto"/>
      </w:divBdr>
    </w:div>
    <w:div w:id="1882327536">
      <w:bodyDiv w:val="1"/>
      <w:marLeft w:val="0"/>
      <w:marRight w:val="0"/>
      <w:marTop w:val="0"/>
      <w:marBottom w:val="0"/>
      <w:divBdr>
        <w:top w:val="none" w:sz="0" w:space="0" w:color="auto"/>
        <w:left w:val="none" w:sz="0" w:space="0" w:color="auto"/>
        <w:bottom w:val="none" w:sz="0" w:space="0" w:color="auto"/>
        <w:right w:val="none" w:sz="0" w:space="0" w:color="auto"/>
      </w:divBdr>
      <w:divsChild>
        <w:div w:id="2073459970">
          <w:marLeft w:val="0"/>
          <w:marRight w:val="0"/>
          <w:marTop w:val="0"/>
          <w:marBottom w:val="75"/>
          <w:divBdr>
            <w:top w:val="none" w:sz="0" w:space="0" w:color="auto"/>
            <w:left w:val="none" w:sz="0" w:space="0" w:color="auto"/>
            <w:bottom w:val="none" w:sz="0" w:space="0" w:color="auto"/>
            <w:right w:val="none" w:sz="0" w:space="0" w:color="auto"/>
          </w:divBdr>
        </w:div>
      </w:divsChild>
    </w:div>
    <w:div w:id="1885605550">
      <w:bodyDiv w:val="1"/>
      <w:marLeft w:val="0"/>
      <w:marRight w:val="0"/>
      <w:marTop w:val="0"/>
      <w:marBottom w:val="0"/>
      <w:divBdr>
        <w:top w:val="none" w:sz="0" w:space="0" w:color="auto"/>
        <w:left w:val="none" w:sz="0" w:space="0" w:color="auto"/>
        <w:bottom w:val="none" w:sz="0" w:space="0" w:color="auto"/>
        <w:right w:val="none" w:sz="0" w:space="0" w:color="auto"/>
      </w:divBdr>
    </w:div>
    <w:div w:id="1893341897">
      <w:bodyDiv w:val="1"/>
      <w:marLeft w:val="0"/>
      <w:marRight w:val="0"/>
      <w:marTop w:val="0"/>
      <w:marBottom w:val="0"/>
      <w:divBdr>
        <w:top w:val="none" w:sz="0" w:space="0" w:color="auto"/>
        <w:left w:val="none" w:sz="0" w:space="0" w:color="auto"/>
        <w:bottom w:val="none" w:sz="0" w:space="0" w:color="auto"/>
        <w:right w:val="none" w:sz="0" w:space="0" w:color="auto"/>
      </w:divBdr>
    </w:div>
    <w:div w:id="1899242749">
      <w:bodyDiv w:val="1"/>
      <w:marLeft w:val="0"/>
      <w:marRight w:val="0"/>
      <w:marTop w:val="0"/>
      <w:marBottom w:val="0"/>
      <w:divBdr>
        <w:top w:val="none" w:sz="0" w:space="0" w:color="auto"/>
        <w:left w:val="none" w:sz="0" w:space="0" w:color="auto"/>
        <w:bottom w:val="none" w:sz="0" w:space="0" w:color="auto"/>
        <w:right w:val="none" w:sz="0" w:space="0" w:color="auto"/>
      </w:divBdr>
    </w:div>
    <w:div w:id="1913419762">
      <w:bodyDiv w:val="1"/>
      <w:marLeft w:val="0"/>
      <w:marRight w:val="0"/>
      <w:marTop w:val="0"/>
      <w:marBottom w:val="0"/>
      <w:divBdr>
        <w:top w:val="none" w:sz="0" w:space="0" w:color="auto"/>
        <w:left w:val="none" w:sz="0" w:space="0" w:color="auto"/>
        <w:bottom w:val="none" w:sz="0" w:space="0" w:color="auto"/>
        <w:right w:val="none" w:sz="0" w:space="0" w:color="auto"/>
      </w:divBdr>
    </w:div>
    <w:div w:id="1919778480">
      <w:bodyDiv w:val="1"/>
      <w:marLeft w:val="0"/>
      <w:marRight w:val="0"/>
      <w:marTop w:val="0"/>
      <w:marBottom w:val="0"/>
      <w:divBdr>
        <w:top w:val="none" w:sz="0" w:space="0" w:color="auto"/>
        <w:left w:val="none" w:sz="0" w:space="0" w:color="auto"/>
        <w:bottom w:val="none" w:sz="0" w:space="0" w:color="auto"/>
        <w:right w:val="none" w:sz="0" w:space="0" w:color="auto"/>
      </w:divBdr>
    </w:div>
    <w:div w:id="1925382390">
      <w:bodyDiv w:val="1"/>
      <w:marLeft w:val="0"/>
      <w:marRight w:val="0"/>
      <w:marTop w:val="0"/>
      <w:marBottom w:val="0"/>
      <w:divBdr>
        <w:top w:val="none" w:sz="0" w:space="0" w:color="auto"/>
        <w:left w:val="none" w:sz="0" w:space="0" w:color="auto"/>
        <w:bottom w:val="none" w:sz="0" w:space="0" w:color="auto"/>
        <w:right w:val="none" w:sz="0" w:space="0" w:color="auto"/>
      </w:divBdr>
    </w:div>
    <w:div w:id="1934775077">
      <w:bodyDiv w:val="1"/>
      <w:marLeft w:val="0"/>
      <w:marRight w:val="0"/>
      <w:marTop w:val="0"/>
      <w:marBottom w:val="0"/>
      <w:divBdr>
        <w:top w:val="none" w:sz="0" w:space="0" w:color="auto"/>
        <w:left w:val="none" w:sz="0" w:space="0" w:color="auto"/>
        <w:bottom w:val="none" w:sz="0" w:space="0" w:color="auto"/>
        <w:right w:val="none" w:sz="0" w:space="0" w:color="auto"/>
      </w:divBdr>
    </w:div>
    <w:div w:id="1951155865">
      <w:bodyDiv w:val="1"/>
      <w:marLeft w:val="0"/>
      <w:marRight w:val="0"/>
      <w:marTop w:val="0"/>
      <w:marBottom w:val="0"/>
      <w:divBdr>
        <w:top w:val="none" w:sz="0" w:space="0" w:color="auto"/>
        <w:left w:val="none" w:sz="0" w:space="0" w:color="auto"/>
        <w:bottom w:val="none" w:sz="0" w:space="0" w:color="auto"/>
        <w:right w:val="none" w:sz="0" w:space="0" w:color="auto"/>
      </w:divBdr>
      <w:divsChild>
        <w:div w:id="399405080">
          <w:marLeft w:val="0"/>
          <w:marRight w:val="0"/>
          <w:marTop w:val="0"/>
          <w:marBottom w:val="75"/>
          <w:divBdr>
            <w:top w:val="none" w:sz="0" w:space="0" w:color="auto"/>
            <w:left w:val="none" w:sz="0" w:space="0" w:color="auto"/>
            <w:bottom w:val="none" w:sz="0" w:space="0" w:color="auto"/>
            <w:right w:val="none" w:sz="0" w:space="0" w:color="auto"/>
          </w:divBdr>
        </w:div>
      </w:divsChild>
    </w:div>
    <w:div w:id="1951233393">
      <w:bodyDiv w:val="1"/>
      <w:marLeft w:val="0"/>
      <w:marRight w:val="0"/>
      <w:marTop w:val="0"/>
      <w:marBottom w:val="0"/>
      <w:divBdr>
        <w:top w:val="none" w:sz="0" w:space="0" w:color="auto"/>
        <w:left w:val="none" w:sz="0" w:space="0" w:color="auto"/>
        <w:bottom w:val="none" w:sz="0" w:space="0" w:color="auto"/>
        <w:right w:val="none" w:sz="0" w:space="0" w:color="auto"/>
      </w:divBdr>
    </w:div>
    <w:div w:id="1979912986">
      <w:bodyDiv w:val="1"/>
      <w:marLeft w:val="0"/>
      <w:marRight w:val="0"/>
      <w:marTop w:val="0"/>
      <w:marBottom w:val="0"/>
      <w:divBdr>
        <w:top w:val="none" w:sz="0" w:space="0" w:color="auto"/>
        <w:left w:val="none" w:sz="0" w:space="0" w:color="auto"/>
        <w:bottom w:val="none" w:sz="0" w:space="0" w:color="auto"/>
        <w:right w:val="none" w:sz="0" w:space="0" w:color="auto"/>
      </w:divBdr>
    </w:div>
    <w:div w:id="1984004081">
      <w:bodyDiv w:val="1"/>
      <w:marLeft w:val="0"/>
      <w:marRight w:val="0"/>
      <w:marTop w:val="0"/>
      <w:marBottom w:val="0"/>
      <w:divBdr>
        <w:top w:val="none" w:sz="0" w:space="0" w:color="auto"/>
        <w:left w:val="none" w:sz="0" w:space="0" w:color="auto"/>
        <w:bottom w:val="none" w:sz="0" w:space="0" w:color="auto"/>
        <w:right w:val="none" w:sz="0" w:space="0" w:color="auto"/>
      </w:divBdr>
    </w:div>
    <w:div w:id="1986885092">
      <w:bodyDiv w:val="1"/>
      <w:marLeft w:val="0"/>
      <w:marRight w:val="0"/>
      <w:marTop w:val="0"/>
      <w:marBottom w:val="0"/>
      <w:divBdr>
        <w:top w:val="none" w:sz="0" w:space="0" w:color="auto"/>
        <w:left w:val="none" w:sz="0" w:space="0" w:color="auto"/>
        <w:bottom w:val="none" w:sz="0" w:space="0" w:color="auto"/>
        <w:right w:val="none" w:sz="0" w:space="0" w:color="auto"/>
      </w:divBdr>
    </w:div>
    <w:div w:id="2002348096">
      <w:bodyDiv w:val="1"/>
      <w:marLeft w:val="0"/>
      <w:marRight w:val="0"/>
      <w:marTop w:val="0"/>
      <w:marBottom w:val="0"/>
      <w:divBdr>
        <w:top w:val="none" w:sz="0" w:space="0" w:color="auto"/>
        <w:left w:val="none" w:sz="0" w:space="0" w:color="auto"/>
        <w:bottom w:val="none" w:sz="0" w:space="0" w:color="auto"/>
        <w:right w:val="none" w:sz="0" w:space="0" w:color="auto"/>
      </w:divBdr>
    </w:div>
    <w:div w:id="2010059475">
      <w:bodyDiv w:val="1"/>
      <w:marLeft w:val="0"/>
      <w:marRight w:val="0"/>
      <w:marTop w:val="0"/>
      <w:marBottom w:val="0"/>
      <w:divBdr>
        <w:top w:val="none" w:sz="0" w:space="0" w:color="auto"/>
        <w:left w:val="none" w:sz="0" w:space="0" w:color="auto"/>
        <w:bottom w:val="none" w:sz="0" w:space="0" w:color="auto"/>
        <w:right w:val="none" w:sz="0" w:space="0" w:color="auto"/>
      </w:divBdr>
    </w:div>
    <w:div w:id="2012558104">
      <w:bodyDiv w:val="1"/>
      <w:marLeft w:val="0"/>
      <w:marRight w:val="0"/>
      <w:marTop w:val="0"/>
      <w:marBottom w:val="0"/>
      <w:divBdr>
        <w:top w:val="none" w:sz="0" w:space="0" w:color="auto"/>
        <w:left w:val="none" w:sz="0" w:space="0" w:color="auto"/>
        <w:bottom w:val="none" w:sz="0" w:space="0" w:color="auto"/>
        <w:right w:val="none" w:sz="0" w:space="0" w:color="auto"/>
      </w:divBdr>
    </w:div>
    <w:div w:id="2025090269">
      <w:bodyDiv w:val="1"/>
      <w:marLeft w:val="0"/>
      <w:marRight w:val="0"/>
      <w:marTop w:val="0"/>
      <w:marBottom w:val="0"/>
      <w:divBdr>
        <w:top w:val="none" w:sz="0" w:space="0" w:color="auto"/>
        <w:left w:val="none" w:sz="0" w:space="0" w:color="auto"/>
        <w:bottom w:val="none" w:sz="0" w:space="0" w:color="auto"/>
        <w:right w:val="none" w:sz="0" w:space="0" w:color="auto"/>
      </w:divBdr>
    </w:div>
    <w:div w:id="2029863922">
      <w:bodyDiv w:val="1"/>
      <w:marLeft w:val="0"/>
      <w:marRight w:val="0"/>
      <w:marTop w:val="0"/>
      <w:marBottom w:val="0"/>
      <w:divBdr>
        <w:top w:val="none" w:sz="0" w:space="0" w:color="auto"/>
        <w:left w:val="none" w:sz="0" w:space="0" w:color="auto"/>
        <w:bottom w:val="none" w:sz="0" w:space="0" w:color="auto"/>
        <w:right w:val="none" w:sz="0" w:space="0" w:color="auto"/>
      </w:divBdr>
    </w:div>
    <w:div w:id="2035841433">
      <w:bodyDiv w:val="1"/>
      <w:marLeft w:val="0"/>
      <w:marRight w:val="0"/>
      <w:marTop w:val="0"/>
      <w:marBottom w:val="0"/>
      <w:divBdr>
        <w:top w:val="none" w:sz="0" w:space="0" w:color="auto"/>
        <w:left w:val="none" w:sz="0" w:space="0" w:color="auto"/>
        <w:bottom w:val="none" w:sz="0" w:space="0" w:color="auto"/>
        <w:right w:val="none" w:sz="0" w:space="0" w:color="auto"/>
      </w:divBdr>
    </w:div>
    <w:div w:id="2044207377">
      <w:bodyDiv w:val="1"/>
      <w:marLeft w:val="0"/>
      <w:marRight w:val="0"/>
      <w:marTop w:val="0"/>
      <w:marBottom w:val="0"/>
      <w:divBdr>
        <w:top w:val="none" w:sz="0" w:space="0" w:color="auto"/>
        <w:left w:val="none" w:sz="0" w:space="0" w:color="auto"/>
        <w:bottom w:val="none" w:sz="0" w:space="0" w:color="auto"/>
        <w:right w:val="none" w:sz="0" w:space="0" w:color="auto"/>
      </w:divBdr>
    </w:div>
    <w:div w:id="2045790435">
      <w:bodyDiv w:val="1"/>
      <w:marLeft w:val="0"/>
      <w:marRight w:val="0"/>
      <w:marTop w:val="0"/>
      <w:marBottom w:val="0"/>
      <w:divBdr>
        <w:top w:val="none" w:sz="0" w:space="0" w:color="auto"/>
        <w:left w:val="none" w:sz="0" w:space="0" w:color="auto"/>
        <w:bottom w:val="none" w:sz="0" w:space="0" w:color="auto"/>
        <w:right w:val="none" w:sz="0" w:space="0" w:color="auto"/>
      </w:divBdr>
    </w:div>
    <w:div w:id="2060129173">
      <w:bodyDiv w:val="1"/>
      <w:marLeft w:val="0"/>
      <w:marRight w:val="0"/>
      <w:marTop w:val="0"/>
      <w:marBottom w:val="0"/>
      <w:divBdr>
        <w:top w:val="none" w:sz="0" w:space="0" w:color="auto"/>
        <w:left w:val="none" w:sz="0" w:space="0" w:color="auto"/>
        <w:bottom w:val="none" w:sz="0" w:space="0" w:color="auto"/>
        <w:right w:val="none" w:sz="0" w:space="0" w:color="auto"/>
      </w:divBdr>
    </w:div>
    <w:div w:id="2087922381">
      <w:bodyDiv w:val="1"/>
      <w:marLeft w:val="0"/>
      <w:marRight w:val="0"/>
      <w:marTop w:val="0"/>
      <w:marBottom w:val="0"/>
      <w:divBdr>
        <w:top w:val="none" w:sz="0" w:space="0" w:color="auto"/>
        <w:left w:val="none" w:sz="0" w:space="0" w:color="auto"/>
        <w:bottom w:val="none" w:sz="0" w:space="0" w:color="auto"/>
        <w:right w:val="none" w:sz="0" w:space="0" w:color="auto"/>
      </w:divBdr>
    </w:div>
    <w:div w:id="2092044559">
      <w:bodyDiv w:val="1"/>
      <w:marLeft w:val="0"/>
      <w:marRight w:val="0"/>
      <w:marTop w:val="0"/>
      <w:marBottom w:val="0"/>
      <w:divBdr>
        <w:top w:val="none" w:sz="0" w:space="0" w:color="auto"/>
        <w:left w:val="none" w:sz="0" w:space="0" w:color="auto"/>
        <w:bottom w:val="none" w:sz="0" w:space="0" w:color="auto"/>
        <w:right w:val="none" w:sz="0" w:space="0" w:color="auto"/>
      </w:divBdr>
    </w:div>
    <w:div w:id="2101296231">
      <w:bodyDiv w:val="1"/>
      <w:marLeft w:val="0"/>
      <w:marRight w:val="0"/>
      <w:marTop w:val="0"/>
      <w:marBottom w:val="0"/>
      <w:divBdr>
        <w:top w:val="none" w:sz="0" w:space="0" w:color="auto"/>
        <w:left w:val="none" w:sz="0" w:space="0" w:color="auto"/>
        <w:bottom w:val="none" w:sz="0" w:space="0" w:color="auto"/>
        <w:right w:val="none" w:sz="0" w:space="0" w:color="auto"/>
      </w:divBdr>
    </w:div>
    <w:div w:id="2101875059">
      <w:bodyDiv w:val="1"/>
      <w:marLeft w:val="0"/>
      <w:marRight w:val="0"/>
      <w:marTop w:val="0"/>
      <w:marBottom w:val="0"/>
      <w:divBdr>
        <w:top w:val="none" w:sz="0" w:space="0" w:color="auto"/>
        <w:left w:val="none" w:sz="0" w:space="0" w:color="auto"/>
        <w:bottom w:val="none" w:sz="0" w:space="0" w:color="auto"/>
        <w:right w:val="none" w:sz="0" w:space="0" w:color="auto"/>
      </w:divBdr>
    </w:div>
    <w:div w:id="2108379907">
      <w:bodyDiv w:val="1"/>
      <w:marLeft w:val="0"/>
      <w:marRight w:val="0"/>
      <w:marTop w:val="0"/>
      <w:marBottom w:val="0"/>
      <w:divBdr>
        <w:top w:val="none" w:sz="0" w:space="0" w:color="auto"/>
        <w:left w:val="none" w:sz="0" w:space="0" w:color="auto"/>
        <w:bottom w:val="none" w:sz="0" w:space="0" w:color="auto"/>
        <w:right w:val="none" w:sz="0" w:space="0" w:color="auto"/>
      </w:divBdr>
    </w:div>
    <w:div w:id="2109160349">
      <w:bodyDiv w:val="1"/>
      <w:marLeft w:val="0"/>
      <w:marRight w:val="0"/>
      <w:marTop w:val="0"/>
      <w:marBottom w:val="0"/>
      <w:divBdr>
        <w:top w:val="none" w:sz="0" w:space="0" w:color="auto"/>
        <w:left w:val="none" w:sz="0" w:space="0" w:color="auto"/>
        <w:bottom w:val="none" w:sz="0" w:space="0" w:color="auto"/>
        <w:right w:val="none" w:sz="0" w:space="0" w:color="auto"/>
      </w:divBdr>
    </w:div>
    <w:div w:id="2115052083">
      <w:bodyDiv w:val="1"/>
      <w:marLeft w:val="0"/>
      <w:marRight w:val="0"/>
      <w:marTop w:val="0"/>
      <w:marBottom w:val="0"/>
      <w:divBdr>
        <w:top w:val="none" w:sz="0" w:space="0" w:color="auto"/>
        <w:left w:val="none" w:sz="0" w:space="0" w:color="auto"/>
        <w:bottom w:val="none" w:sz="0" w:space="0" w:color="auto"/>
        <w:right w:val="none" w:sz="0" w:space="0" w:color="auto"/>
      </w:divBdr>
    </w:div>
    <w:div w:id="2135173322">
      <w:bodyDiv w:val="1"/>
      <w:marLeft w:val="0"/>
      <w:marRight w:val="0"/>
      <w:marTop w:val="0"/>
      <w:marBottom w:val="0"/>
      <w:divBdr>
        <w:top w:val="none" w:sz="0" w:space="0" w:color="auto"/>
        <w:left w:val="none" w:sz="0" w:space="0" w:color="auto"/>
        <w:bottom w:val="none" w:sz="0" w:space="0" w:color="auto"/>
        <w:right w:val="none" w:sz="0" w:space="0" w:color="auto"/>
      </w:divBdr>
    </w:div>
    <w:div w:id="2143494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image" Target="media/image7.png"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chart" Target="charts/chart1.xml" Id="rId21"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image" Target="media/image6.png" Id="rId17" /><Relationship Type="http://schemas.openxmlformats.org/officeDocument/2006/relationships/fontTable" Target="fontTable.xml" Id="rId25" /><Relationship Type="http://schemas.openxmlformats.org/officeDocument/2006/relationships/image" Target="media/image5.png" Id="rId16" /><Relationship Type="http://schemas.openxmlformats.org/officeDocument/2006/relationships/image" Target="media/image9.png"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footer" Target="footer2.xml" Id="rId24" /><Relationship Type="http://schemas.openxmlformats.org/officeDocument/2006/relationships/settings" Target="settings.xml" Id="rId5" /><Relationship Type="http://schemas.openxmlformats.org/officeDocument/2006/relationships/image" Target="media/image4.png" Id="rId15" /><Relationship Type="http://schemas.openxmlformats.org/officeDocument/2006/relationships/image" Target="media/image10.png" Id="rId23" /><Relationship Type="http://schemas.openxmlformats.org/officeDocument/2006/relationships/header" Target="header1.xml" Id="rId10" /><Relationship Type="http://schemas.openxmlformats.org/officeDocument/2006/relationships/image" Target="media/image8.png"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3.png" Id="rId14" /><Relationship Type="http://schemas.openxmlformats.org/officeDocument/2006/relationships/hyperlink" Target="https://naturescot.nexus.objective.co.uk/documents/A5587741/details" TargetMode="External" Id="rId22" /><Relationship Type="http://schemas.openxmlformats.org/officeDocument/2006/relationships/customXml" Target="/customXml/item3.xml" Id="R4fbac3a894764ae6" /></Relationships>
</file>

<file path=word/charts/_rels/chart1.xml.rels><?xml version="1.0" encoding="UTF-8" standalone="yes"?>
<Relationships xmlns="http://schemas.openxmlformats.org/package/2006/relationships"><Relationship Id="rId3" Type="http://schemas.openxmlformats.org/officeDocument/2006/relationships/oleObject" Target="file:///C:\Users\MHCS1\Director\Cache\naturescot.nexus.objective.co.uk%20uA693\A4618646\2025-2026%20People%20Report%20Data%20Source%20(A4618646).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[2025-2026 People Report Data Source (A4618646).xlsx]Experience 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Would you apply with NatureScot again in the future?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s>
    <c:plotArea>
      <c:layout/>
      <c:pieChart>
        <c:varyColors val="1"/>
        <c:ser>
          <c:idx val="0"/>
          <c:order val="0"/>
          <c:tx>
            <c:strRef>
              <c:f>'Experience Pivot'!$H$3</c:f>
              <c:strCache>
                <c:ptCount val="1"/>
                <c:pt idx="0">
                  <c:v>Total</c:v>
                </c:pt>
              </c:strCache>
            </c:strRef>
          </c:tx>
          <c:dPt>
            <c:idx val="0"/>
            <c:bubble3D val="0"/>
            <c:explosion val="13"/>
            <c:spPr>
              <a:solidFill>
                <a:schemeClr val="accent1"/>
              </a:solidFill>
              <a:ln w="19050">
                <a:solidFill>
                  <a:schemeClr val="lt1"/>
                </a:solidFill>
              </a:ln>
              <a:effectLst/>
            </c:spPr>
            <c:extLst>
              <c:ext xmlns:c16="http://schemas.microsoft.com/office/drawing/2014/chart" uri="{C3380CC4-5D6E-409C-BE32-E72D297353CC}">
                <c16:uniqueId val="{00000001-7ABA-4DC4-861A-5FC63EE6F1FE}"/>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7ABA-4DC4-861A-5FC63EE6F1F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'Experience Pivot'!$G$4:$G$6</c:f>
              <c:strCache>
                <c:ptCount val="2"/>
                <c:pt idx="0">
                  <c:v>No</c:v>
                </c:pt>
                <c:pt idx="1">
                  <c:v>Yes</c:v>
                </c:pt>
              </c:strCache>
            </c:strRef>
          </c:cat>
          <c:val>
            <c:numRef>
              <c:f>'Experience Pivot'!$H$4:$H$6</c:f>
              <c:numCache>
                <c:formatCode>General</c:formatCode>
                <c:ptCount val="2"/>
                <c:pt idx="0">
                  <c:v>8</c:v>
                </c:pt>
                <c:pt idx="1">
                  <c:v>61</c:v>
                </c:pt>
              </c:numCache>
            </c:numRef>
          </c:val>
          <c:extLst>
            <c:ext xmlns:c16="http://schemas.microsoft.com/office/drawing/2014/chart" uri="{C3380CC4-5D6E-409C-BE32-E72D297353CC}">
              <c16:uniqueId val="{00000004-7ABA-4DC4-861A-5FC63EE6F1FE}"/>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71FFD1B571BE2883E0537D20C80A46C7" version="1.0.0">
  <systemFields>
    <field name="Objective-Id">
      <value order="0">A5680273</value>
    </field>
    <field name="Objective-Title">
      <value order="0">F.09 Board of NatureScot Meeting - 11 February 2026 - Q3 Performance Report 2025-26</value>
    </field>
    <field name="Objective-Description">
      <value order="0"/>
    </field>
    <field name="Objective-CreationStamp">
      <value order="0">2026-01-28T15:03:54Z</value>
    </field>
    <field name="Objective-IsApproved">
      <value order="0">false</value>
    </field>
    <field name="Objective-IsPublished">
      <value order="0">true</value>
    </field>
    <field name="Objective-DatePublished">
      <value order="0">2026-01-28T15:03:58Z</value>
    </field>
    <field name="Objective-ModificationStamp">
      <value order="0">2026-01-28T15:04:55Z</value>
    </field>
    <field name="Objective-Owner">
      <value order="0">Mary-Anne Thomson</value>
    </field>
    <field name="Objective-Path">
      <value order="0">Objective Global Folder:NatureScot Fileplan:MAN - Management:EO - Executive Office:BD - Board:SNH Board - Meetings:Board of NatureScot Meetings - 2026:224 - Board of NatureScot - 11 February 2026</value>
    </field>
    <field name="Objective-Parent">
      <value order="0">224 - Board of NatureScot - 11 February 2026</value>
    </field>
    <field name="Objective-State">
      <value order="0">Published</value>
    </field>
    <field name="Objective-VersionId">
      <value order="0">vA9945504</value>
    </field>
    <field name="Objective-Version">
      <value order="0">1.0</value>
    </field>
    <field name="Objective-VersionNumber">
      <value order="0">1</value>
    </field>
    <field name="Objective-VersionComment">
      <value order="0"/>
    </field>
    <field name="Objective-FileNumber">
      <value order="0">qA190062</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28F6BD34-FFEE-472D-8F95-809335ABE5F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5757</Words>
  <Characters>32818</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Rennie</dc:creator>
  <cp:keywords/>
  <dc:description/>
  <cp:lastModifiedBy>MaryAnne Thomson</cp:lastModifiedBy>
  <cp:revision>2</cp:revision>
  <cp:lastPrinted>2024-06-25T07:38:00Z</cp:lastPrinted>
  <dcterms:created xsi:type="dcterms:W3CDTF">2026-01-28T15:01:00Z</dcterms:created>
  <dcterms:modified xsi:type="dcterms:W3CDTF">2026-01-28T15:01:00Z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Objective-Date of Original [system]">
    <vt:lpwstr/>
  </op:property>
  <op:property fmtid="{D5CDD505-2E9C-101B-9397-08002B2CF9AE}" pid="5" name="Objective-Sensitivity Review Date [system]">
    <vt:lpwstr/>
  </op:property>
  <op:property fmtid="{D5CDD505-2E9C-101B-9397-08002B2CF9AE}" pid="6" name="Objective-FOI Exemption [system]">
    <vt:lpwstr>Release</vt:lpwstr>
  </op:property>
  <op:property fmtid="{D5CDD505-2E9C-101B-9397-08002B2CF9AE}" pid="7" name="Objective-DPA Exemption [system]">
    <vt:lpwstr>Release</vt:lpwstr>
  </op:property>
  <op:property fmtid="{D5CDD505-2E9C-101B-9397-08002B2CF9AE}" pid="8" name="Objective-EIR Exception [system]">
    <vt:lpwstr>Release</vt:lpwstr>
  </op:property>
  <op:property fmtid="{D5CDD505-2E9C-101B-9397-08002B2CF9AE}" pid="9" name="Objective-Justification [system]">
    <vt:lpwstr/>
  </op:property>
  <op:property fmtid="{D5CDD505-2E9C-101B-9397-08002B2CF9AE}" pid="10" name="Objective-Date of Request [system]">
    <vt:lpwstr/>
  </op:property>
  <op:property fmtid="{D5CDD505-2E9C-101B-9397-08002B2CF9AE}" pid="11" name="Objective-Date of Release [system]">
    <vt:lpwstr/>
  </op:property>
  <op:property fmtid="{D5CDD505-2E9C-101B-9397-08002B2CF9AE}" pid="12" name="Objective-FOI/EIR Disclosure Date [system]">
    <vt:lpwstr/>
  </op:property>
  <op:property fmtid="{D5CDD505-2E9C-101B-9397-08002B2CF9AE}" pid="13" name="Objective-FOI/EIR Dissemination Date [system]">
    <vt:lpwstr/>
  </op:property>
  <op:property fmtid="{D5CDD505-2E9C-101B-9397-08002B2CF9AE}" pid="14" name="Objective-FOI Release Details [system]">
    <vt:lpwstr/>
  </op:property>
  <op:property fmtid="{D5CDD505-2E9C-101B-9397-08002B2CF9AE}" pid="15" name="Objective-Connect Creator [system]">
    <vt:lpwstr/>
  </op:property>
  <op:property fmtid="{D5CDD505-2E9C-101B-9397-08002B2CF9AE}" pid="16" name="MSIP_Label_ad6aba11-eede-4e5b-a79a-2f2784cd251f_Enabled">
    <vt:lpwstr>true</vt:lpwstr>
  </op:property>
  <op:property fmtid="{D5CDD505-2E9C-101B-9397-08002B2CF9AE}" pid="17" name="MSIP_Label_ad6aba11-eede-4e5b-a79a-2f2784cd251f_SetDate">
    <vt:lpwstr>2024-09-02T13:20:20Z</vt:lpwstr>
  </op:property>
  <op:property fmtid="{D5CDD505-2E9C-101B-9397-08002B2CF9AE}" pid="18" name="MSIP_Label_ad6aba11-eede-4e5b-a79a-2f2784cd251f_Method">
    <vt:lpwstr>Standard</vt:lpwstr>
  </op:property>
  <op:property fmtid="{D5CDD505-2E9C-101B-9397-08002B2CF9AE}" pid="19" name="MSIP_Label_ad6aba11-eede-4e5b-a79a-2f2784cd251f_Name">
    <vt:lpwstr>defa4170-0d19-0005-0004-bc88714345d2</vt:lpwstr>
  </op:property>
  <op:property fmtid="{D5CDD505-2E9C-101B-9397-08002B2CF9AE}" pid="20" name="MSIP_Label_ad6aba11-eede-4e5b-a79a-2f2784cd251f_SiteId">
    <vt:lpwstr>074028c0-e165-4999-99ad-31603ad73bac</vt:lpwstr>
  </op:property>
  <op:property fmtid="{D5CDD505-2E9C-101B-9397-08002B2CF9AE}" pid="21" name="MSIP_Label_ad6aba11-eede-4e5b-a79a-2f2784cd251f_ActionId">
    <vt:lpwstr>00989989-b2af-480d-8b3f-174b96a22620</vt:lpwstr>
  </op:property>
  <op:property fmtid="{D5CDD505-2E9C-101B-9397-08002B2CF9AE}" pid="22" name="MSIP_Label_ad6aba11-eede-4e5b-a79a-2f2784cd251f_ContentBits">
    <vt:lpwstr>0</vt:lpwstr>
  </op:property>
  <op:property fmtid="{D5CDD505-2E9C-101B-9397-08002B2CF9AE}" pid="23" name="Customer-Id">
    <vt:lpwstr>71FFD1B571BE2883E0537D20C80A46C7</vt:lpwstr>
  </op:property>
  <op:property fmtid="{D5CDD505-2E9C-101B-9397-08002B2CF9AE}" pid="24" name="Objective-Id">
    <vt:lpwstr>A5680273</vt:lpwstr>
  </op:property>
  <op:property fmtid="{D5CDD505-2E9C-101B-9397-08002B2CF9AE}" pid="25" name="Objective-Title">
    <vt:lpwstr>F.09 Board of NatureScot Meeting - 11 February 2026 - Q3 Performance Report 2025-26</vt:lpwstr>
  </op:property>
  <op:property fmtid="{D5CDD505-2E9C-101B-9397-08002B2CF9AE}" pid="26" name="Objective-Description">
    <vt:lpwstr/>
  </op:property>
  <op:property fmtid="{D5CDD505-2E9C-101B-9397-08002B2CF9AE}" pid="27" name="Objective-CreationStamp">
    <vt:filetime>2026-01-28T15:03:54Z</vt:filetime>
  </op:property>
  <op:property fmtid="{D5CDD505-2E9C-101B-9397-08002B2CF9AE}" pid="28" name="Objective-IsApproved">
    <vt:bool>false</vt:bool>
  </op:property>
  <op:property fmtid="{D5CDD505-2E9C-101B-9397-08002B2CF9AE}" pid="29" name="Objective-IsPublished">
    <vt:bool>true</vt:bool>
  </op:property>
  <op:property fmtid="{D5CDD505-2E9C-101B-9397-08002B2CF9AE}" pid="30" name="Objective-DatePublished">
    <vt:filetime>2026-01-28T15:03:58Z</vt:filetime>
  </op:property>
  <op:property fmtid="{D5CDD505-2E9C-101B-9397-08002B2CF9AE}" pid="31" name="Objective-ModificationStamp">
    <vt:filetime>2026-01-28T15:04:55Z</vt:filetime>
  </op:property>
  <op:property fmtid="{D5CDD505-2E9C-101B-9397-08002B2CF9AE}" pid="32" name="Objective-Owner">
    <vt:lpwstr>Mary-Anne Thomson</vt:lpwstr>
  </op:property>
  <op:property fmtid="{D5CDD505-2E9C-101B-9397-08002B2CF9AE}" pid="33" name="Objective-Path">
    <vt:lpwstr>Objective Global Folder:NatureScot Fileplan:MAN - Management:EO - Executive Office:BD - Board:SNH Board - Meetings:Board of NatureScot Meetings - 2026:224 - Board of NatureScot - 11 February 2026</vt:lpwstr>
  </op:property>
  <op:property fmtid="{D5CDD505-2E9C-101B-9397-08002B2CF9AE}" pid="34" name="Objective-Parent">
    <vt:lpwstr>224 - Board of NatureScot - 11 February 2026</vt:lpwstr>
  </op:property>
  <op:property fmtid="{D5CDD505-2E9C-101B-9397-08002B2CF9AE}" pid="35" name="Objective-State">
    <vt:lpwstr>Published</vt:lpwstr>
  </op:property>
  <op:property fmtid="{D5CDD505-2E9C-101B-9397-08002B2CF9AE}" pid="36" name="Objective-VersionId">
    <vt:lpwstr>vA9945504</vt:lpwstr>
  </op:property>
  <op:property fmtid="{D5CDD505-2E9C-101B-9397-08002B2CF9AE}" pid="37" name="Objective-Version">
    <vt:lpwstr>1.0</vt:lpwstr>
  </op:property>
  <op:property fmtid="{D5CDD505-2E9C-101B-9397-08002B2CF9AE}" pid="38" name="Objective-VersionNumber">
    <vt:r8>1</vt:r8>
  </op:property>
  <op:property fmtid="{D5CDD505-2E9C-101B-9397-08002B2CF9AE}" pid="39" name="Objective-VersionComment">
    <vt:lpwstr/>
  </op:property>
  <op:property fmtid="{D5CDD505-2E9C-101B-9397-08002B2CF9AE}" pid="40" name="Objective-FileNumber">
    <vt:lpwstr>qA190062</vt:lpwstr>
  </op:property>
  <op:property fmtid="{D5CDD505-2E9C-101B-9397-08002B2CF9AE}" pid="41" name="Objective-Classification">
    <vt:lpwstr/>
  </op:property>
  <op:property fmtid="{D5CDD505-2E9C-101B-9397-08002B2CF9AE}" pid="42" name="Objective-Caveats">
    <vt:lpwstr/>
  </op:property>
  <op:property fmtid="{D5CDD505-2E9C-101B-9397-08002B2CF9AE}" pid="43" name="Objective-Date of Original">
    <vt:lpwstr/>
  </op:property>
  <op:property fmtid="{D5CDD505-2E9C-101B-9397-08002B2CF9AE}" pid="44" name="Objective-Sensitivity Review Date">
    <vt:lpwstr/>
  </op:property>
  <op:property fmtid="{D5CDD505-2E9C-101B-9397-08002B2CF9AE}" pid="45" name="Objective-FOI Exemption">
    <vt:lpwstr>Release</vt:lpwstr>
  </op:property>
  <op:property fmtid="{D5CDD505-2E9C-101B-9397-08002B2CF9AE}" pid="46" name="Objective-DPA Exemption">
    <vt:lpwstr>Release</vt:lpwstr>
  </op:property>
  <op:property fmtid="{D5CDD505-2E9C-101B-9397-08002B2CF9AE}" pid="47" name="Objective-EIR Exception">
    <vt:lpwstr>Release</vt:lpwstr>
  </op:property>
  <op:property fmtid="{D5CDD505-2E9C-101B-9397-08002B2CF9AE}" pid="48" name="Objective-Justification">
    <vt:lpwstr/>
  </op:property>
  <op:property fmtid="{D5CDD505-2E9C-101B-9397-08002B2CF9AE}" pid="49" name="Objective-Date of Request">
    <vt:lpwstr/>
  </op:property>
  <op:property fmtid="{D5CDD505-2E9C-101B-9397-08002B2CF9AE}" pid="50" name="Objective-Date of Release">
    <vt:lpwstr/>
  </op:property>
  <op:property fmtid="{D5CDD505-2E9C-101B-9397-08002B2CF9AE}" pid="51" name="Objective-FOI/EIR Disclosure Date">
    <vt:lpwstr/>
  </op:property>
  <op:property fmtid="{D5CDD505-2E9C-101B-9397-08002B2CF9AE}" pid="52" name="Objective-FOI/EIR Dissemination Date">
    <vt:lpwstr/>
  </op:property>
  <op:property fmtid="{D5CDD505-2E9C-101B-9397-08002B2CF9AE}" pid="53" name="Objective-FOI Release Details">
    <vt:lpwstr/>
  </op:property>
  <op:property fmtid="{D5CDD505-2E9C-101B-9397-08002B2CF9AE}" pid="54" name="Objective-Connect Creator">
    <vt:lpwstr/>
  </op:property>
</op:Properties>
</file>