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3B9C" w14:textId="7FB11D90" w:rsidR="00A932B9" w:rsidRDefault="003A0BAA" w:rsidP="005D0E4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27B30197"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58276D">
        <w:rPr>
          <w:rFonts w:ascii="Calibri" w:hAnsi="Calibri" w:cs="Calibri"/>
          <w:sz w:val="24"/>
          <w:szCs w:val="24"/>
        </w:rPr>
        <w:t>Major Risk Themes to 2030</w:t>
      </w:r>
    </w:p>
    <w:p w14:paraId="7B2BE782" w14:textId="58803FDF" w:rsidR="00FB7E3F" w:rsidRDefault="003E22BB" w:rsidP="003A0BAA">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58276D">
        <w:rPr>
          <w:rFonts w:cstheme="minorHAnsi"/>
          <w:b/>
          <w:color w:val="000000" w:themeColor="text1"/>
        </w:rPr>
        <w:t>27 August 2025</w:t>
      </w:r>
    </w:p>
    <w:p w14:paraId="4974125B" w14:textId="77777777" w:rsidR="003A0BAA" w:rsidRPr="000E0398" w:rsidRDefault="003A0BAA" w:rsidP="003A0BAA">
      <w:pPr>
        <w:spacing w:after="0" w:line="240" w:lineRule="auto"/>
        <w:rPr>
          <w:rFonts w:cstheme="minorHAnsi"/>
          <w:b/>
          <w:color w:val="000000" w:themeColor="text1"/>
          <w:sz w:val="12"/>
          <w:szCs w:val="12"/>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379"/>
      </w:tblGrid>
      <w:tr w:rsidR="005D0E4E" w:rsidRPr="005D0E4E" w14:paraId="20BAAF19" w14:textId="77777777" w:rsidTr="005E5D05">
        <w:trPr>
          <w:tblHeader/>
        </w:trPr>
        <w:tc>
          <w:tcPr>
            <w:tcW w:w="2547" w:type="dxa"/>
          </w:tcPr>
          <w:p w14:paraId="36567900" w14:textId="4E40470D" w:rsidR="005D0E4E" w:rsidRPr="005D0E4E" w:rsidRDefault="005D0E4E" w:rsidP="0052657A">
            <w:pPr>
              <w:spacing w:line="276" w:lineRule="auto"/>
              <w:rPr>
                <w:szCs w:val="24"/>
              </w:rPr>
            </w:pPr>
            <w:r w:rsidRPr="005D0E4E">
              <w:rPr>
                <w:rStyle w:val="Heading3Char"/>
                <w:rFonts w:ascii="Calibri" w:hAnsi="Calibri" w:cs="Calibri"/>
                <w:color w:val="auto"/>
              </w:rPr>
              <w:t>Purpose:</w:t>
            </w:r>
          </w:p>
        </w:tc>
        <w:tc>
          <w:tcPr>
            <w:tcW w:w="6379" w:type="dxa"/>
          </w:tcPr>
          <w:p w14:paraId="2E6CD882" w14:textId="7E690E06" w:rsidR="005D0E4E" w:rsidRPr="00C04412" w:rsidRDefault="0058276D" w:rsidP="0052657A">
            <w:pPr>
              <w:spacing w:line="276" w:lineRule="auto"/>
              <w:contextualSpacing/>
              <w:rPr>
                <w:rFonts w:ascii="Calibri" w:eastAsia="Arial" w:hAnsi="Calibri" w:cs="Times New Roman"/>
                <w:szCs w:val="24"/>
              </w:rPr>
            </w:pPr>
            <w:r>
              <w:rPr>
                <w:rFonts w:ascii="Calibri" w:eastAsia="Arial" w:hAnsi="Calibri" w:cs="Times New Roman"/>
                <w:szCs w:val="24"/>
              </w:rPr>
              <w:t>Decision</w:t>
            </w:r>
          </w:p>
        </w:tc>
      </w:tr>
      <w:tr w:rsidR="005D0E4E" w:rsidRPr="005D0E4E" w14:paraId="13CE33D4" w14:textId="77777777" w:rsidTr="005E5D05">
        <w:tc>
          <w:tcPr>
            <w:tcW w:w="2547" w:type="dxa"/>
          </w:tcPr>
          <w:p w14:paraId="34DC0A94" w14:textId="2AC83047" w:rsidR="005D0E4E" w:rsidRPr="005D0E4E" w:rsidRDefault="005C2858" w:rsidP="0052657A">
            <w:pPr>
              <w:spacing w:line="276" w:lineRule="auto"/>
              <w:rPr>
                <w:rFonts w:ascii="Calibri" w:eastAsia="Arial" w:hAnsi="Calibri" w:cs="Times New Roman"/>
                <w:szCs w:val="24"/>
              </w:rPr>
            </w:pPr>
            <w:r w:rsidRPr="005C2858">
              <w:rPr>
                <w:rFonts w:ascii="Calibri" w:eastAsia="Arial" w:hAnsi="Calibri" w:cs="Times New Roman"/>
                <w:b/>
                <w:szCs w:val="24"/>
              </w:rPr>
              <w:t>Which of the current Business or Corporate Plan priorities does this topic drive forward and in what way?</w:t>
            </w:r>
          </w:p>
        </w:tc>
        <w:tc>
          <w:tcPr>
            <w:tcW w:w="6379" w:type="dxa"/>
          </w:tcPr>
          <w:p w14:paraId="788EA7F4" w14:textId="055E4EA6" w:rsidR="005D0E4E" w:rsidRPr="00C04412" w:rsidRDefault="007B182A" w:rsidP="0052657A">
            <w:pPr>
              <w:spacing w:line="276" w:lineRule="auto"/>
              <w:contextualSpacing/>
              <w:rPr>
                <w:rFonts w:ascii="Calibri" w:eastAsia="Arial" w:hAnsi="Calibri" w:cs="Times New Roman"/>
                <w:szCs w:val="24"/>
              </w:rPr>
            </w:pPr>
            <w:bookmarkStart w:id="0" w:name="_Hlk191978411"/>
            <w:r w:rsidRPr="004735E9">
              <w:rPr>
                <w:rFonts w:ascii="Calibri" w:eastAsia="Arial" w:hAnsi="Calibri" w:cs="Times New Roman"/>
                <w:szCs w:val="24"/>
              </w:rPr>
              <w:t>Effective risk management is an integral part of our governance framework and is a cross-cutting activity that affects all of NatureScot’s business and corporate plan priorities.</w:t>
            </w:r>
            <w:bookmarkEnd w:id="0"/>
          </w:p>
        </w:tc>
      </w:tr>
      <w:tr w:rsidR="005D0E4E" w:rsidRPr="005D0E4E" w14:paraId="5F6879B4" w14:textId="77777777" w:rsidTr="005E5D05">
        <w:tc>
          <w:tcPr>
            <w:tcW w:w="2547" w:type="dxa"/>
          </w:tcPr>
          <w:p w14:paraId="278D0DA3" w14:textId="3D465FF9" w:rsidR="005D0E4E" w:rsidRPr="005D0E4E" w:rsidRDefault="005D0E4E" w:rsidP="0052657A">
            <w:pPr>
              <w:spacing w:line="276" w:lineRule="auto"/>
              <w:rPr>
                <w:rFonts w:ascii="Calibri" w:eastAsia="Arial" w:hAnsi="Calibri" w:cs="Times New Roman"/>
                <w:szCs w:val="24"/>
              </w:rPr>
            </w:pPr>
            <w:r w:rsidRPr="005D0E4E">
              <w:rPr>
                <w:rFonts w:ascii="Calibri" w:eastAsia="Arial" w:hAnsi="Calibri" w:cs="Times New Roman"/>
                <w:b/>
                <w:szCs w:val="24"/>
              </w:rPr>
              <w:t>Summary:</w:t>
            </w:r>
          </w:p>
        </w:tc>
        <w:tc>
          <w:tcPr>
            <w:tcW w:w="6379" w:type="dxa"/>
          </w:tcPr>
          <w:p w14:paraId="6950E4DA" w14:textId="65E0D0E4" w:rsidR="00D45712" w:rsidRPr="00AD4E59" w:rsidRDefault="006358A4" w:rsidP="0052657A">
            <w:pPr>
              <w:spacing w:line="276" w:lineRule="auto"/>
              <w:contextualSpacing/>
              <w:rPr>
                <w:rFonts w:ascii="Calibri" w:eastAsia="Arial" w:hAnsi="Calibri" w:cs="Times New Roman"/>
                <w:szCs w:val="24"/>
              </w:rPr>
            </w:pPr>
            <w:r w:rsidRPr="00AD4E59">
              <w:rPr>
                <w:rFonts w:ascii="Calibri" w:eastAsia="Arial" w:hAnsi="Calibri" w:cs="Times New Roman"/>
                <w:szCs w:val="24"/>
              </w:rPr>
              <w:t xml:space="preserve">This paper presents key </w:t>
            </w:r>
            <w:r w:rsidR="00D11A0E" w:rsidRPr="00AD4E59">
              <w:rPr>
                <w:rFonts w:ascii="Calibri" w:eastAsia="Arial" w:hAnsi="Calibri" w:cs="Times New Roman"/>
                <w:szCs w:val="24"/>
              </w:rPr>
              <w:t>risk</w:t>
            </w:r>
            <w:r w:rsidR="0058373A" w:rsidRPr="00AD4E59">
              <w:rPr>
                <w:rFonts w:ascii="Calibri" w:eastAsia="Arial" w:hAnsi="Calibri" w:cs="Times New Roman"/>
                <w:szCs w:val="24"/>
              </w:rPr>
              <w:t xml:space="preserve"> themes</w:t>
            </w:r>
            <w:r w:rsidR="00D11A0E" w:rsidRPr="00AD4E59">
              <w:rPr>
                <w:rFonts w:ascii="Calibri" w:eastAsia="Arial" w:hAnsi="Calibri" w:cs="Times New Roman"/>
                <w:szCs w:val="24"/>
              </w:rPr>
              <w:t xml:space="preserve"> identified at an ARC workshop on the </w:t>
            </w:r>
            <w:r w:rsidR="000C7D0F" w:rsidRPr="00AD4E59">
              <w:rPr>
                <w:rFonts w:ascii="Calibri" w:eastAsia="Arial" w:hAnsi="Calibri" w:cs="Times New Roman"/>
                <w:szCs w:val="24"/>
              </w:rPr>
              <w:t>10</w:t>
            </w:r>
            <w:r w:rsidR="000C7D0F" w:rsidRPr="00AD4E59">
              <w:rPr>
                <w:rFonts w:ascii="Calibri" w:eastAsia="Arial" w:hAnsi="Calibri" w:cs="Times New Roman"/>
                <w:szCs w:val="24"/>
                <w:vertAlign w:val="superscript"/>
              </w:rPr>
              <w:t>th</w:t>
            </w:r>
            <w:r w:rsidR="000C7D0F" w:rsidRPr="00AD4E59">
              <w:rPr>
                <w:rFonts w:ascii="Calibri" w:eastAsia="Arial" w:hAnsi="Calibri" w:cs="Times New Roman"/>
                <w:szCs w:val="24"/>
              </w:rPr>
              <w:t xml:space="preserve"> June 2025</w:t>
            </w:r>
            <w:r w:rsidR="00AD4E59" w:rsidRPr="00265DEE">
              <w:rPr>
                <w:rFonts w:ascii="Calibri" w:eastAsia="Arial" w:hAnsi="Calibri" w:cs="Times New Roman"/>
                <w:szCs w:val="24"/>
              </w:rPr>
              <w:t xml:space="preserve">, as well as </w:t>
            </w:r>
            <w:r w:rsidR="00465C6D" w:rsidRPr="00AD4E59">
              <w:rPr>
                <w:rFonts w:ascii="Calibri" w:eastAsia="Arial" w:hAnsi="Calibri" w:cs="Times New Roman"/>
                <w:szCs w:val="24"/>
              </w:rPr>
              <w:t>areas of overlap with existing corporate risks</w:t>
            </w:r>
            <w:r w:rsidR="0058373A" w:rsidRPr="00AD4E59">
              <w:rPr>
                <w:rFonts w:ascii="Calibri" w:eastAsia="Arial" w:hAnsi="Calibri" w:cs="Times New Roman"/>
                <w:szCs w:val="24"/>
              </w:rPr>
              <w:t xml:space="preserve">. This </w:t>
            </w:r>
            <w:r w:rsidR="000C7D0F" w:rsidRPr="00AD4E59">
              <w:rPr>
                <w:rFonts w:ascii="Calibri" w:eastAsia="Arial" w:hAnsi="Calibri" w:cs="Times New Roman"/>
                <w:szCs w:val="24"/>
              </w:rPr>
              <w:t xml:space="preserve">horizon scanning exercise </w:t>
            </w:r>
            <w:r w:rsidR="006B08FA" w:rsidRPr="00AD4E59">
              <w:rPr>
                <w:rFonts w:ascii="Calibri" w:eastAsia="Arial" w:hAnsi="Calibri" w:cs="Times New Roman"/>
                <w:szCs w:val="24"/>
              </w:rPr>
              <w:t xml:space="preserve">will inform a wider refresh </w:t>
            </w:r>
            <w:r w:rsidR="00E04012" w:rsidRPr="00AD4E59">
              <w:rPr>
                <w:rFonts w:ascii="Calibri" w:eastAsia="Arial" w:hAnsi="Calibri" w:cs="Times New Roman"/>
                <w:szCs w:val="24"/>
              </w:rPr>
              <w:t xml:space="preserve">of the corporate risk register </w:t>
            </w:r>
            <w:r w:rsidR="00465C6D" w:rsidRPr="00AD4E59">
              <w:rPr>
                <w:rFonts w:ascii="Calibri" w:eastAsia="Arial" w:hAnsi="Calibri" w:cs="Times New Roman"/>
                <w:szCs w:val="24"/>
              </w:rPr>
              <w:t xml:space="preserve">as </w:t>
            </w:r>
            <w:r w:rsidR="00465C6D" w:rsidRPr="000E0398">
              <w:rPr>
                <w:rFonts w:cstheme="minorHAnsi"/>
                <w:szCs w:val="24"/>
              </w:rPr>
              <w:t xml:space="preserve">new risk areas are reviewed and consolidated against existing </w:t>
            </w:r>
            <w:r w:rsidR="00AD4E59" w:rsidRPr="000E0398">
              <w:rPr>
                <w:rFonts w:cstheme="minorHAnsi"/>
                <w:szCs w:val="24"/>
              </w:rPr>
              <w:t xml:space="preserve">corporate </w:t>
            </w:r>
            <w:r w:rsidR="00465C6D" w:rsidRPr="000E0398">
              <w:rPr>
                <w:rFonts w:cstheme="minorHAnsi"/>
                <w:szCs w:val="24"/>
              </w:rPr>
              <w:t xml:space="preserve">risks </w:t>
            </w:r>
            <w:r w:rsidR="00AD4E59" w:rsidRPr="000E0398">
              <w:rPr>
                <w:rFonts w:cstheme="minorHAnsi"/>
                <w:szCs w:val="24"/>
              </w:rPr>
              <w:t>to produce</w:t>
            </w:r>
            <w:r w:rsidR="00465C6D" w:rsidRPr="000E0398">
              <w:rPr>
                <w:rFonts w:cstheme="minorHAnsi"/>
                <w:szCs w:val="24"/>
              </w:rPr>
              <w:t xml:space="preserve"> a single</w:t>
            </w:r>
            <w:r w:rsidR="00132F97">
              <w:rPr>
                <w:rFonts w:cstheme="minorHAnsi"/>
                <w:szCs w:val="24"/>
              </w:rPr>
              <w:t>,</w:t>
            </w:r>
            <w:r w:rsidR="00465C6D" w:rsidRPr="000E0398">
              <w:rPr>
                <w:rFonts w:cstheme="minorHAnsi"/>
                <w:szCs w:val="24"/>
              </w:rPr>
              <w:t xml:space="preserve"> refreshed strategic risk register</w:t>
            </w:r>
            <w:r w:rsidR="00164F3B">
              <w:rPr>
                <w:rFonts w:cstheme="minorHAnsi"/>
                <w:szCs w:val="24"/>
              </w:rPr>
              <w:t xml:space="preserve"> alongside the publication of a new Corporate Plan</w:t>
            </w:r>
            <w:r w:rsidR="00AD4E59">
              <w:rPr>
                <w:rFonts w:ascii="Calibri" w:eastAsia="Arial" w:hAnsi="Calibri" w:cs="Times New Roman"/>
                <w:szCs w:val="24"/>
              </w:rPr>
              <w:t xml:space="preserve">. </w:t>
            </w:r>
          </w:p>
        </w:tc>
      </w:tr>
      <w:tr w:rsidR="005D0E4E" w:rsidRPr="005D0E4E" w14:paraId="54B0CF3D" w14:textId="77777777" w:rsidTr="005E5D05">
        <w:tc>
          <w:tcPr>
            <w:tcW w:w="2547" w:type="dxa"/>
          </w:tcPr>
          <w:p w14:paraId="2D2BC4B2" w14:textId="6D6BB7EC" w:rsidR="005D0E4E" w:rsidRPr="005D0E4E" w:rsidRDefault="005D0E4E" w:rsidP="0052657A">
            <w:pPr>
              <w:spacing w:line="276" w:lineRule="auto"/>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379" w:type="dxa"/>
          </w:tcPr>
          <w:p w14:paraId="03259AD0" w14:textId="75149348" w:rsidR="00C943D3" w:rsidRPr="007C5D47" w:rsidRDefault="004B3017" w:rsidP="004B3017">
            <w:pPr>
              <w:spacing w:line="276" w:lineRule="auto"/>
              <w:rPr>
                <w:rFonts w:ascii="Calibri" w:eastAsiaTheme="majorEastAsia" w:hAnsi="Calibri" w:cs="Calibri"/>
                <w:bCs/>
                <w:szCs w:val="24"/>
              </w:rPr>
            </w:pPr>
            <w:bookmarkStart w:id="1" w:name="_Hlk204953231"/>
            <w:r w:rsidRPr="007C5D47">
              <w:rPr>
                <w:rFonts w:ascii="Calibri" w:eastAsiaTheme="majorEastAsia" w:hAnsi="Calibri" w:cs="Calibri"/>
                <w:bCs/>
                <w:szCs w:val="24"/>
              </w:rPr>
              <w:t xml:space="preserve">Consider </w:t>
            </w:r>
            <w:r w:rsidRPr="007C5D47">
              <w:rPr>
                <w:rFonts w:ascii="Calibri" w:eastAsia="Arial" w:hAnsi="Calibri" w:cs="Times New Roman"/>
                <w:szCs w:val="24"/>
              </w:rPr>
              <w:t>which existing corporate risks and future risk areas may be especially significant over next corporate plan cycle</w:t>
            </w:r>
            <w:r>
              <w:rPr>
                <w:rFonts w:ascii="Calibri" w:eastAsia="Arial" w:hAnsi="Calibri" w:cs="Times New Roman"/>
                <w:szCs w:val="24"/>
              </w:rPr>
              <w:t xml:space="preserve">.  </w:t>
            </w:r>
            <w:r>
              <w:rPr>
                <w:rFonts w:ascii="Calibri" w:eastAsiaTheme="majorEastAsia" w:hAnsi="Calibri" w:cs="Calibri"/>
                <w:bCs/>
                <w:szCs w:val="24"/>
              </w:rPr>
              <w:t>It is proposed that any future risk areas are reviewed and consolidated against the existing risks to produce a single, refreshed corporate risk register.</w:t>
            </w:r>
            <w:bookmarkEnd w:id="1"/>
          </w:p>
        </w:tc>
      </w:tr>
      <w:tr w:rsidR="005D0E4E" w:rsidRPr="005D0E4E" w14:paraId="187A143B" w14:textId="77777777" w:rsidTr="005E5D05">
        <w:tc>
          <w:tcPr>
            <w:tcW w:w="2547" w:type="dxa"/>
          </w:tcPr>
          <w:p w14:paraId="1E0B416A" w14:textId="5808D500" w:rsidR="005D0E4E" w:rsidRPr="005D0E4E" w:rsidRDefault="005D0E4E" w:rsidP="0052657A">
            <w:pPr>
              <w:spacing w:line="276" w:lineRule="auto"/>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379" w:type="dxa"/>
          </w:tcPr>
          <w:p w14:paraId="2D3AFE28" w14:textId="48AA0CBB" w:rsidR="00132F97" w:rsidRPr="004C42E7" w:rsidRDefault="00164F3B" w:rsidP="0052657A">
            <w:pPr>
              <w:spacing w:line="276" w:lineRule="auto"/>
              <w:rPr>
                <w:rFonts w:ascii="Calibri" w:eastAsia="Arial" w:hAnsi="Calibri" w:cs="Times New Roman"/>
                <w:szCs w:val="24"/>
              </w:rPr>
            </w:pPr>
            <w:r>
              <w:rPr>
                <w:rFonts w:ascii="Calibri" w:eastAsia="Arial" w:hAnsi="Calibri" w:cs="Times New Roman"/>
                <w:szCs w:val="24"/>
              </w:rPr>
              <w:t>The Board is asked to:</w:t>
            </w:r>
          </w:p>
          <w:p w14:paraId="16D78E97" w14:textId="77777777" w:rsidR="0059216B" w:rsidRDefault="0059216B" w:rsidP="0059216B">
            <w:pPr>
              <w:pStyle w:val="ListParagraph"/>
              <w:numPr>
                <w:ilvl w:val="0"/>
                <w:numId w:val="50"/>
              </w:numPr>
              <w:rPr>
                <w:rFonts w:eastAsiaTheme="majorEastAsia" w:cstheme="minorHAnsi"/>
                <w:bCs/>
                <w:szCs w:val="24"/>
              </w:rPr>
            </w:pPr>
            <w:r w:rsidRPr="00B07ACE">
              <w:rPr>
                <w:rFonts w:eastAsiaTheme="majorEastAsia" w:cstheme="minorHAnsi"/>
                <w:bCs/>
                <w:szCs w:val="24"/>
              </w:rPr>
              <w:t xml:space="preserve">note existing corporate </w:t>
            </w:r>
            <w:proofErr w:type="gramStart"/>
            <w:r w:rsidRPr="00B07ACE">
              <w:rPr>
                <w:rFonts w:eastAsiaTheme="majorEastAsia" w:cstheme="minorHAnsi"/>
                <w:bCs/>
                <w:szCs w:val="24"/>
              </w:rPr>
              <w:t>risks</w:t>
            </w:r>
            <w:r>
              <w:rPr>
                <w:rFonts w:eastAsiaTheme="majorEastAsia" w:cstheme="minorHAnsi"/>
                <w:bCs/>
                <w:szCs w:val="24"/>
              </w:rPr>
              <w:t>;</w:t>
            </w:r>
            <w:proofErr w:type="gramEnd"/>
          </w:p>
          <w:p w14:paraId="6685F45F" w14:textId="77777777" w:rsidR="0059216B" w:rsidRDefault="0059216B" w:rsidP="0059216B">
            <w:pPr>
              <w:pStyle w:val="ListParagraph"/>
              <w:numPr>
                <w:ilvl w:val="0"/>
                <w:numId w:val="50"/>
              </w:numPr>
              <w:rPr>
                <w:rFonts w:eastAsiaTheme="majorEastAsia" w:cstheme="minorHAnsi"/>
                <w:bCs/>
                <w:szCs w:val="24"/>
              </w:rPr>
            </w:pPr>
            <w:r w:rsidRPr="00832D42">
              <w:rPr>
                <w:rFonts w:eastAsiaTheme="majorEastAsia" w:cstheme="minorHAnsi"/>
                <w:bCs/>
                <w:szCs w:val="24"/>
              </w:rPr>
              <w:t xml:space="preserve">agree future risk areas identified by the ARC </w:t>
            </w:r>
            <w:r>
              <w:rPr>
                <w:rFonts w:eastAsiaTheme="majorEastAsia" w:cstheme="minorHAnsi"/>
                <w:bCs/>
                <w:szCs w:val="24"/>
              </w:rPr>
              <w:t xml:space="preserve">(paragraph 6 listed </w:t>
            </w:r>
            <w:proofErr w:type="spellStart"/>
            <w:r>
              <w:rPr>
                <w:rFonts w:eastAsiaTheme="majorEastAsia" w:cstheme="minorHAnsi"/>
                <w:bCs/>
                <w:szCs w:val="24"/>
              </w:rPr>
              <w:t>a</w:t>
            </w:r>
            <w:proofErr w:type="spellEnd"/>
            <w:r>
              <w:rPr>
                <w:rFonts w:eastAsiaTheme="majorEastAsia" w:cstheme="minorHAnsi"/>
                <w:bCs/>
                <w:szCs w:val="24"/>
              </w:rPr>
              <w:t xml:space="preserve"> to </w:t>
            </w:r>
            <w:proofErr w:type="spellStart"/>
            <w:r>
              <w:rPr>
                <w:rFonts w:eastAsiaTheme="majorEastAsia" w:cstheme="minorHAnsi"/>
                <w:bCs/>
                <w:szCs w:val="24"/>
              </w:rPr>
              <w:t>i</w:t>
            </w:r>
            <w:proofErr w:type="spellEnd"/>
            <w:proofErr w:type="gramStart"/>
            <w:r>
              <w:rPr>
                <w:rFonts w:eastAsiaTheme="majorEastAsia" w:cstheme="minorHAnsi"/>
                <w:bCs/>
                <w:szCs w:val="24"/>
              </w:rPr>
              <w:t>);</w:t>
            </w:r>
            <w:proofErr w:type="gramEnd"/>
          </w:p>
          <w:p w14:paraId="3BFCBF39" w14:textId="77777777" w:rsidR="0059216B" w:rsidRPr="0059216B" w:rsidRDefault="0059216B" w:rsidP="0059216B">
            <w:pPr>
              <w:pStyle w:val="ListParagraph"/>
              <w:numPr>
                <w:ilvl w:val="0"/>
                <w:numId w:val="50"/>
              </w:numPr>
              <w:rPr>
                <w:rFonts w:eastAsiaTheme="majorEastAsia" w:cstheme="minorHAnsi"/>
                <w:bCs/>
                <w:szCs w:val="24"/>
              </w:rPr>
            </w:pPr>
            <w:r w:rsidRPr="00832D42">
              <w:rPr>
                <w:rFonts w:eastAsiaTheme="majorEastAsia" w:cstheme="minorHAnsi"/>
                <w:bCs/>
                <w:szCs w:val="24"/>
              </w:rPr>
              <w:t xml:space="preserve">highlight any significant gaps and consider which of these </w:t>
            </w:r>
            <w:r w:rsidRPr="00832D42">
              <w:rPr>
                <w:rFonts w:eastAsia="Arial" w:cstheme="minorHAnsi"/>
                <w:szCs w:val="24"/>
              </w:rPr>
              <w:t>may be especially significant over next corporate plan cycle</w:t>
            </w:r>
            <w:r>
              <w:rPr>
                <w:rFonts w:eastAsia="Arial" w:cstheme="minorHAnsi"/>
                <w:szCs w:val="24"/>
              </w:rPr>
              <w:t>; and,</w:t>
            </w:r>
          </w:p>
          <w:p w14:paraId="30D9395B" w14:textId="2820B2BF" w:rsidR="00164F3B" w:rsidRPr="0059216B" w:rsidRDefault="0059216B" w:rsidP="0059216B">
            <w:pPr>
              <w:pStyle w:val="ListParagraph"/>
              <w:numPr>
                <w:ilvl w:val="0"/>
                <w:numId w:val="50"/>
              </w:numPr>
              <w:rPr>
                <w:rFonts w:ascii="Calibri" w:eastAsia="Arial" w:hAnsi="Calibri" w:cs="Times New Roman"/>
                <w:szCs w:val="24"/>
              </w:rPr>
            </w:pPr>
            <w:r w:rsidRPr="0059216B">
              <w:rPr>
                <w:rFonts w:eastAsia="Arial" w:cstheme="minorHAnsi"/>
                <w:szCs w:val="24"/>
              </w:rPr>
              <w:t xml:space="preserve">support a process </w:t>
            </w:r>
            <w:r>
              <w:rPr>
                <w:rFonts w:eastAsia="Arial" w:cstheme="minorHAnsi"/>
                <w:szCs w:val="24"/>
              </w:rPr>
              <w:t>to review and consolidate</w:t>
            </w:r>
            <w:r w:rsidRPr="0059216B">
              <w:rPr>
                <w:rFonts w:eastAsia="Arial" w:cstheme="minorHAnsi"/>
                <w:szCs w:val="24"/>
              </w:rPr>
              <w:t xml:space="preserve"> future risk areas against existing risks to produce </w:t>
            </w:r>
            <w:r w:rsidRPr="0059216B">
              <w:rPr>
                <w:rFonts w:cstheme="minorHAnsi"/>
                <w:szCs w:val="24"/>
              </w:rPr>
              <w:t xml:space="preserve">a single, refreshed corporate risk register. </w:t>
            </w:r>
          </w:p>
        </w:tc>
      </w:tr>
      <w:tr w:rsidR="007B182A" w:rsidRPr="005D0E4E" w14:paraId="1611D4CD" w14:textId="77777777" w:rsidTr="005E5D05">
        <w:tc>
          <w:tcPr>
            <w:tcW w:w="2547" w:type="dxa"/>
          </w:tcPr>
          <w:p w14:paraId="1E66C971" w14:textId="77777777" w:rsidR="007B182A" w:rsidRPr="005D0E4E" w:rsidRDefault="007B182A" w:rsidP="0052657A">
            <w:pPr>
              <w:spacing w:line="276" w:lineRule="auto"/>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379" w:type="dxa"/>
          </w:tcPr>
          <w:p w14:paraId="684ABBC1" w14:textId="541CB391" w:rsidR="007B182A" w:rsidRPr="005D0E4E" w:rsidRDefault="007B182A" w:rsidP="0052657A">
            <w:pPr>
              <w:spacing w:line="276" w:lineRule="auto"/>
              <w:rPr>
                <w:rFonts w:ascii="Calibri" w:eastAsia="Arial" w:hAnsi="Calibri" w:cs="Times New Roman"/>
                <w:szCs w:val="24"/>
              </w:rPr>
            </w:pPr>
            <w:r w:rsidRPr="004735E9">
              <w:rPr>
                <w:rFonts w:ascii="Calibri" w:eastAsia="Arial" w:hAnsi="Calibri" w:cs="Times New Roman"/>
                <w:szCs w:val="24"/>
              </w:rPr>
              <w:t>Philip Wilson (Risk Officer, Planning and Performance)</w:t>
            </w:r>
          </w:p>
        </w:tc>
      </w:tr>
      <w:tr w:rsidR="007B182A" w:rsidRPr="005D0E4E" w14:paraId="28B18A8B" w14:textId="77777777" w:rsidTr="005E5D05">
        <w:tc>
          <w:tcPr>
            <w:tcW w:w="2547" w:type="dxa"/>
          </w:tcPr>
          <w:p w14:paraId="451D6F59" w14:textId="77777777" w:rsidR="007B182A" w:rsidRPr="005D0E4E" w:rsidRDefault="007B182A" w:rsidP="0052657A">
            <w:pPr>
              <w:spacing w:line="276" w:lineRule="auto"/>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379" w:type="dxa"/>
          </w:tcPr>
          <w:p w14:paraId="15458FFD" w14:textId="6C21A2B5" w:rsidR="007B182A" w:rsidRPr="005D0E4E" w:rsidRDefault="007B182A" w:rsidP="0052657A">
            <w:pPr>
              <w:spacing w:line="276" w:lineRule="auto"/>
              <w:rPr>
                <w:rFonts w:ascii="Calibri" w:eastAsia="Arial" w:hAnsi="Calibri" w:cs="Times New Roman"/>
                <w:szCs w:val="24"/>
              </w:rPr>
            </w:pPr>
            <w:r w:rsidRPr="004735E9">
              <w:rPr>
                <w:rFonts w:ascii="Calibri" w:eastAsia="Arial" w:hAnsi="Calibri" w:cs="Times New Roman"/>
                <w:szCs w:val="24"/>
              </w:rPr>
              <w:t>Jane Macdonald (Director of Business Services and Transformation)</w:t>
            </w:r>
          </w:p>
        </w:tc>
      </w:tr>
      <w:tr w:rsidR="007B182A" w:rsidRPr="005D0E4E" w14:paraId="7ECAF5B7" w14:textId="77777777" w:rsidTr="005E5D05">
        <w:tc>
          <w:tcPr>
            <w:tcW w:w="2547" w:type="dxa"/>
          </w:tcPr>
          <w:p w14:paraId="3E1CC1B9" w14:textId="66C78079" w:rsidR="007B182A" w:rsidRPr="00C04412" w:rsidRDefault="007B182A" w:rsidP="0052657A">
            <w:pPr>
              <w:spacing w:line="276" w:lineRule="auto"/>
              <w:contextualSpacing/>
              <w:rPr>
                <w:rFonts w:ascii="Calibri" w:eastAsia="Arial" w:hAnsi="Calibri" w:cs="Times New Roman"/>
                <w:szCs w:val="24"/>
              </w:rPr>
            </w:pPr>
            <w:r w:rsidRPr="00C04412">
              <w:rPr>
                <w:rFonts w:ascii="Calibri" w:eastAsia="Arial" w:hAnsi="Calibri" w:cs="Times New Roman"/>
                <w:b/>
                <w:szCs w:val="24"/>
              </w:rPr>
              <w:t>Appendices</w:t>
            </w:r>
            <w:r w:rsidRPr="00C04412">
              <w:rPr>
                <w:rFonts w:ascii="Calibri" w:eastAsia="Arial" w:hAnsi="Calibri" w:cs="Times New Roman"/>
                <w:szCs w:val="24"/>
              </w:rPr>
              <w:t>: Please note all appendices.</w:t>
            </w:r>
          </w:p>
        </w:tc>
        <w:tc>
          <w:tcPr>
            <w:tcW w:w="6379" w:type="dxa"/>
          </w:tcPr>
          <w:p w14:paraId="1AB10EC6" w14:textId="26CE9CDA" w:rsidR="0003467C" w:rsidRDefault="005E5D05" w:rsidP="006644A8">
            <w:pPr>
              <w:spacing w:line="276" w:lineRule="auto"/>
              <w:contextualSpacing/>
              <w:rPr>
                <w:rFonts w:ascii="Calibri" w:eastAsia="Arial" w:hAnsi="Calibri" w:cs="Times New Roman"/>
                <w:szCs w:val="24"/>
              </w:rPr>
            </w:pPr>
            <w:r>
              <w:rPr>
                <w:rFonts w:ascii="Calibri" w:eastAsia="Arial" w:hAnsi="Calibri" w:cs="Times New Roman"/>
                <w:szCs w:val="24"/>
              </w:rPr>
              <w:t xml:space="preserve">Annexe A: </w:t>
            </w:r>
            <w:r w:rsidR="0003467C">
              <w:rPr>
                <w:rFonts w:ascii="Calibri" w:eastAsia="Arial" w:hAnsi="Calibri" w:cs="Times New Roman"/>
                <w:szCs w:val="24"/>
              </w:rPr>
              <w:t xml:space="preserve">Corporate Risk Heatmap </w:t>
            </w:r>
            <w:r w:rsidR="006644A8">
              <w:rPr>
                <w:rFonts w:ascii="Calibri" w:eastAsia="Arial" w:hAnsi="Calibri" w:cs="Times New Roman"/>
                <w:szCs w:val="24"/>
              </w:rPr>
              <w:t>(end of Q1 25/26)</w:t>
            </w:r>
          </w:p>
          <w:p w14:paraId="7040BE21" w14:textId="5F641F6D" w:rsidR="0052657A" w:rsidRPr="00C04412" w:rsidRDefault="0052657A" w:rsidP="0003467C">
            <w:pPr>
              <w:spacing w:line="276" w:lineRule="auto"/>
              <w:contextualSpacing/>
              <w:rPr>
                <w:rFonts w:ascii="Calibri" w:eastAsia="Arial" w:hAnsi="Calibri" w:cs="Times New Roman"/>
                <w:szCs w:val="24"/>
              </w:rPr>
            </w:pPr>
            <w:r>
              <w:rPr>
                <w:rFonts w:ascii="Calibri" w:eastAsia="Arial" w:hAnsi="Calibri" w:cs="Times New Roman"/>
                <w:szCs w:val="24"/>
              </w:rPr>
              <w:t xml:space="preserve">Annexe B: Corporate Risk </w:t>
            </w:r>
            <w:r w:rsidR="006644A8">
              <w:rPr>
                <w:rFonts w:ascii="Calibri" w:eastAsia="Arial" w:hAnsi="Calibri" w:cs="Times New Roman"/>
                <w:szCs w:val="24"/>
              </w:rPr>
              <w:t>Descriptions (end of Q1 25/26)</w:t>
            </w:r>
          </w:p>
        </w:tc>
      </w:tr>
    </w:tbl>
    <w:p w14:paraId="7C66D4DB" w14:textId="1120E314" w:rsidR="003B170D" w:rsidRDefault="003B170D" w:rsidP="003B170D"/>
    <w:p w14:paraId="78396179" w14:textId="02CD139F" w:rsidR="00FA0E12" w:rsidRDefault="00366E4B" w:rsidP="00B07ACE">
      <w:pPr>
        <w:pStyle w:val="Heading3"/>
      </w:pPr>
      <w:r w:rsidRPr="003B170D">
        <w:lastRenderedPageBreak/>
        <w:t>Background</w:t>
      </w:r>
    </w:p>
    <w:p w14:paraId="597CD486" w14:textId="610CCD19" w:rsidR="00E76DB1" w:rsidRDefault="00E4044E" w:rsidP="00B07ACE">
      <w:pPr>
        <w:pStyle w:val="ListParagraph"/>
        <w:numPr>
          <w:ilvl w:val="0"/>
          <w:numId w:val="39"/>
        </w:numPr>
      </w:pPr>
      <w:r>
        <w:t>HM Treasury</w:t>
      </w:r>
      <w:r w:rsidR="002271D3">
        <w:t xml:space="preserve">’s Orange Book (2023) </w:t>
      </w:r>
      <w:r w:rsidR="006A7F5B">
        <w:t>frames</w:t>
      </w:r>
      <w:r w:rsidR="002271D3">
        <w:t xml:space="preserve"> risk a</w:t>
      </w:r>
      <w:r w:rsidR="006A7F5B">
        <w:t xml:space="preserve">gainst </w:t>
      </w:r>
      <w:r w:rsidR="002271D3">
        <w:t xml:space="preserve">uncertainty and the possibility of an event </w:t>
      </w:r>
      <w:r w:rsidR="00701CC1">
        <w:t>which</w:t>
      </w:r>
      <w:r w:rsidR="002271D3">
        <w:t xml:space="preserve"> </w:t>
      </w:r>
      <w:r w:rsidR="00701CC1">
        <w:t>could</w:t>
      </w:r>
      <w:r w:rsidR="002271D3">
        <w:t xml:space="preserve"> </w:t>
      </w:r>
      <w:r w:rsidR="00701CC1">
        <w:t>impact</w:t>
      </w:r>
      <w:r w:rsidR="002271D3">
        <w:t xml:space="preserve"> the achievement of strategy and business objectives. </w:t>
      </w:r>
      <w:r w:rsidR="00C6602B">
        <w:t xml:space="preserve">Risk management </w:t>
      </w:r>
      <w:r w:rsidR="00701CC1">
        <w:t xml:space="preserve">is the </w:t>
      </w:r>
      <w:r w:rsidR="00701CC1" w:rsidRPr="00701CC1">
        <w:t>systematic process of anticipating potential problems, evaluating their impact, and developing strategies to minimi</w:t>
      </w:r>
      <w:r w:rsidR="00701CC1">
        <w:t>s</w:t>
      </w:r>
      <w:r w:rsidR="00701CC1" w:rsidRPr="00701CC1">
        <w:t xml:space="preserve">e or mitigate </w:t>
      </w:r>
      <w:r w:rsidR="006A7F5B">
        <w:t>these</w:t>
      </w:r>
      <w:r w:rsidR="00701CC1" w:rsidRPr="00701CC1">
        <w:t xml:space="preserve"> risks</w:t>
      </w:r>
      <w:r w:rsidR="006A7F5B">
        <w:t xml:space="preserve">. </w:t>
      </w:r>
    </w:p>
    <w:p w14:paraId="5D796F41" w14:textId="77777777" w:rsidR="00B07ACE" w:rsidRPr="000E0398" w:rsidRDefault="00B07ACE" w:rsidP="00B07ACE">
      <w:pPr>
        <w:pStyle w:val="ListParagraph"/>
        <w:ind w:left="360"/>
      </w:pPr>
    </w:p>
    <w:p w14:paraId="5F72619E" w14:textId="1EDF34CC" w:rsidR="00B07ACE" w:rsidRPr="00B07ACE" w:rsidRDefault="0052657A" w:rsidP="00B07ACE">
      <w:pPr>
        <w:pStyle w:val="ListParagraph"/>
        <w:numPr>
          <w:ilvl w:val="0"/>
          <w:numId w:val="39"/>
        </w:numPr>
        <w:rPr>
          <w:szCs w:val="24"/>
        </w:rPr>
      </w:pPr>
      <w:r w:rsidRPr="00B07ACE">
        <w:rPr>
          <w:szCs w:val="24"/>
        </w:rPr>
        <w:t xml:space="preserve">An ARC </w:t>
      </w:r>
      <w:r w:rsidR="0034707C" w:rsidRPr="00B07ACE">
        <w:rPr>
          <w:szCs w:val="24"/>
        </w:rPr>
        <w:t>workshop was held on the 10</w:t>
      </w:r>
      <w:r w:rsidR="0034707C" w:rsidRPr="00B07ACE">
        <w:rPr>
          <w:szCs w:val="24"/>
          <w:vertAlign w:val="superscript"/>
        </w:rPr>
        <w:t>th</w:t>
      </w:r>
      <w:r w:rsidR="0034707C" w:rsidRPr="00B07ACE">
        <w:rPr>
          <w:szCs w:val="24"/>
        </w:rPr>
        <w:t xml:space="preserve"> </w:t>
      </w:r>
      <w:r w:rsidR="00B07ACE">
        <w:rPr>
          <w:szCs w:val="24"/>
        </w:rPr>
        <w:t xml:space="preserve">of </w:t>
      </w:r>
      <w:r w:rsidR="0034707C" w:rsidRPr="00B07ACE">
        <w:rPr>
          <w:szCs w:val="24"/>
        </w:rPr>
        <w:t>June 2025</w:t>
      </w:r>
      <w:r w:rsidR="003149C9" w:rsidRPr="00B07ACE">
        <w:rPr>
          <w:szCs w:val="24"/>
        </w:rPr>
        <w:t xml:space="preserve">. This </w:t>
      </w:r>
      <w:r w:rsidR="0034707C" w:rsidRPr="00B07ACE">
        <w:rPr>
          <w:szCs w:val="24"/>
        </w:rPr>
        <w:t xml:space="preserve">included </w:t>
      </w:r>
      <w:r w:rsidR="0034707C" w:rsidRPr="00B07ACE">
        <w:rPr>
          <w:rFonts w:cstheme="minorHAnsi"/>
          <w:szCs w:val="24"/>
        </w:rPr>
        <w:t>a</w:t>
      </w:r>
      <w:r w:rsidR="00AF03D5" w:rsidRPr="00B07ACE">
        <w:rPr>
          <w:rFonts w:cstheme="minorHAnsi"/>
          <w:szCs w:val="24"/>
        </w:rPr>
        <w:t>n open-ended discussion on</w:t>
      </w:r>
      <w:r w:rsidR="0034707C" w:rsidRPr="00B07ACE">
        <w:rPr>
          <w:rFonts w:cstheme="minorHAnsi"/>
          <w:szCs w:val="24"/>
        </w:rPr>
        <w:t xml:space="preserve"> key </w:t>
      </w:r>
      <w:r w:rsidR="005B5A58" w:rsidRPr="00B07ACE">
        <w:rPr>
          <w:rFonts w:cstheme="minorHAnsi"/>
          <w:szCs w:val="24"/>
        </w:rPr>
        <w:t xml:space="preserve">strategic </w:t>
      </w:r>
      <w:r w:rsidR="0034707C" w:rsidRPr="00B07ACE">
        <w:rPr>
          <w:rFonts w:cstheme="minorHAnsi"/>
          <w:szCs w:val="24"/>
        </w:rPr>
        <w:t>risk areas which could significantly impact the next corporate plan</w:t>
      </w:r>
      <w:r w:rsidR="002A0408" w:rsidRPr="00B07ACE">
        <w:rPr>
          <w:rFonts w:cstheme="minorHAnsi"/>
          <w:szCs w:val="24"/>
        </w:rPr>
        <w:t xml:space="preserve"> cycle. </w:t>
      </w:r>
    </w:p>
    <w:p w14:paraId="4217C37D" w14:textId="77777777" w:rsidR="00B07ACE" w:rsidRPr="00B07ACE" w:rsidRDefault="00B07ACE" w:rsidP="00B07ACE">
      <w:pPr>
        <w:pStyle w:val="ListParagraph"/>
        <w:rPr>
          <w:rFonts w:cstheme="minorHAnsi"/>
          <w:bCs/>
          <w:szCs w:val="24"/>
        </w:rPr>
      </w:pPr>
    </w:p>
    <w:p w14:paraId="387E1A2B" w14:textId="0F80E8DF" w:rsidR="005D0E4E" w:rsidRPr="00B07ACE" w:rsidRDefault="002A0408" w:rsidP="00B07ACE">
      <w:pPr>
        <w:pStyle w:val="ListParagraph"/>
        <w:numPr>
          <w:ilvl w:val="0"/>
          <w:numId w:val="39"/>
        </w:numPr>
        <w:rPr>
          <w:szCs w:val="24"/>
        </w:rPr>
      </w:pPr>
      <w:r w:rsidRPr="00B07ACE">
        <w:rPr>
          <w:rFonts w:cstheme="minorHAnsi"/>
          <w:bCs/>
          <w:szCs w:val="24"/>
        </w:rPr>
        <w:t xml:space="preserve">This paper </w:t>
      </w:r>
      <w:r w:rsidR="00C6428C" w:rsidRPr="00B07ACE">
        <w:rPr>
          <w:rFonts w:ascii="Calibri" w:eastAsia="Arial" w:hAnsi="Calibri" w:cs="Times New Roman"/>
          <w:szCs w:val="24"/>
        </w:rPr>
        <w:t xml:space="preserve">asks the board to </w:t>
      </w:r>
      <w:r w:rsidR="00991EBC" w:rsidRPr="00B07ACE">
        <w:rPr>
          <w:rFonts w:ascii="Calibri" w:eastAsia="Arial" w:hAnsi="Calibri" w:cs="Times New Roman"/>
          <w:szCs w:val="24"/>
        </w:rPr>
        <w:t xml:space="preserve">review </w:t>
      </w:r>
      <w:r w:rsidR="00C6428C" w:rsidRPr="00B07ACE">
        <w:rPr>
          <w:rFonts w:ascii="Calibri" w:eastAsia="Arial" w:hAnsi="Calibri" w:cs="Times New Roman"/>
          <w:szCs w:val="24"/>
        </w:rPr>
        <w:t>the</w:t>
      </w:r>
      <w:r w:rsidR="00AD4E59" w:rsidRPr="00B07ACE">
        <w:rPr>
          <w:rFonts w:ascii="Calibri" w:eastAsia="Arial" w:hAnsi="Calibri" w:cs="Times New Roman"/>
          <w:szCs w:val="24"/>
        </w:rPr>
        <w:t>se</w:t>
      </w:r>
      <w:r w:rsidR="00C6428C" w:rsidRPr="00B07ACE">
        <w:rPr>
          <w:rFonts w:ascii="Calibri" w:eastAsia="Arial" w:hAnsi="Calibri" w:cs="Times New Roman"/>
          <w:szCs w:val="24"/>
        </w:rPr>
        <w:t xml:space="preserve"> additional risk themes</w:t>
      </w:r>
      <w:r w:rsidR="00164F3B" w:rsidRPr="00B07ACE">
        <w:rPr>
          <w:rFonts w:ascii="Calibri" w:eastAsia="Arial" w:hAnsi="Calibri" w:cs="Times New Roman"/>
          <w:szCs w:val="24"/>
        </w:rPr>
        <w:t xml:space="preserve">, as well as existing corporate risks </w:t>
      </w:r>
      <w:r w:rsidR="00991EBC" w:rsidRPr="00B07ACE">
        <w:rPr>
          <w:rFonts w:ascii="Calibri" w:eastAsia="Arial" w:hAnsi="Calibri" w:cs="Times New Roman"/>
          <w:szCs w:val="24"/>
        </w:rPr>
        <w:t xml:space="preserve">and consider which may be most </w:t>
      </w:r>
      <w:r w:rsidR="000139D3" w:rsidRPr="00B07ACE">
        <w:rPr>
          <w:rFonts w:ascii="Calibri" w:eastAsia="Arial" w:hAnsi="Calibri" w:cs="Times New Roman"/>
          <w:szCs w:val="24"/>
        </w:rPr>
        <w:t>significant</w:t>
      </w:r>
      <w:r w:rsidR="00D25B2F" w:rsidRPr="00B07ACE">
        <w:rPr>
          <w:rFonts w:ascii="Calibri" w:eastAsia="Arial" w:hAnsi="Calibri" w:cs="Times New Roman"/>
          <w:szCs w:val="24"/>
        </w:rPr>
        <w:t>,</w:t>
      </w:r>
      <w:r w:rsidR="00991EBC" w:rsidRPr="00B07ACE">
        <w:rPr>
          <w:rFonts w:ascii="Calibri" w:eastAsia="Arial" w:hAnsi="Calibri" w:cs="Times New Roman"/>
          <w:szCs w:val="24"/>
        </w:rPr>
        <w:t xml:space="preserve"> or if there </w:t>
      </w:r>
      <w:r w:rsidR="00D25B2F" w:rsidRPr="00B07ACE">
        <w:rPr>
          <w:rFonts w:ascii="Calibri" w:eastAsia="Arial" w:hAnsi="Calibri" w:cs="Times New Roman"/>
          <w:szCs w:val="24"/>
        </w:rPr>
        <w:t xml:space="preserve">are </w:t>
      </w:r>
      <w:r w:rsidR="00991EBC" w:rsidRPr="00B07ACE">
        <w:rPr>
          <w:rFonts w:ascii="Calibri" w:eastAsia="Arial" w:hAnsi="Calibri" w:cs="Times New Roman"/>
          <w:szCs w:val="24"/>
        </w:rPr>
        <w:t xml:space="preserve">any </w:t>
      </w:r>
      <w:r w:rsidR="000139D3" w:rsidRPr="00B07ACE">
        <w:rPr>
          <w:rFonts w:ascii="Calibri" w:eastAsia="Arial" w:hAnsi="Calibri" w:cs="Times New Roman"/>
          <w:szCs w:val="24"/>
        </w:rPr>
        <w:t>critical</w:t>
      </w:r>
      <w:r w:rsidR="00991EBC" w:rsidRPr="00B07ACE">
        <w:rPr>
          <w:rFonts w:ascii="Calibri" w:eastAsia="Arial" w:hAnsi="Calibri" w:cs="Times New Roman"/>
          <w:szCs w:val="24"/>
        </w:rPr>
        <w:t xml:space="preserve"> gaps which could </w:t>
      </w:r>
      <w:r w:rsidR="00D25B2F" w:rsidRPr="00B07ACE">
        <w:rPr>
          <w:rFonts w:ascii="Calibri" w:eastAsia="Arial" w:hAnsi="Calibri" w:cs="Times New Roman"/>
          <w:szCs w:val="24"/>
        </w:rPr>
        <w:t>impact</w:t>
      </w:r>
      <w:r w:rsidR="00991EBC" w:rsidRPr="00B07ACE">
        <w:rPr>
          <w:rFonts w:ascii="Calibri" w:eastAsia="Arial" w:hAnsi="Calibri" w:cs="Times New Roman"/>
          <w:szCs w:val="24"/>
        </w:rPr>
        <w:t xml:space="preserve"> the next corporate plan cycle</w:t>
      </w:r>
      <w:r w:rsidR="00C6428C" w:rsidRPr="00B07ACE">
        <w:rPr>
          <w:rFonts w:ascii="Calibri" w:eastAsia="Arial" w:hAnsi="Calibri" w:cs="Times New Roman"/>
          <w:szCs w:val="24"/>
        </w:rPr>
        <w:t xml:space="preserve">. </w:t>
      </w:r>
      <w:r w:rsidR="00991EBC" w:rsidRPr="00B07ACE">
        <w:rPr>
          <w:rFonts w:ascii="Calibri" w:eastAsia="Arial" w:hAnsi="Calibri" w:cs="Times New Roman"/>
          <w:szCs w:val="24"/>
        </w:rPr>
        <w:t xml:space="preserve">This horizon scanning exercise will inform a wider refresh of the corporate risk register as </w:t>
      </w:r>
      <w:r w:rsidR="00991EBC" w:rsidRPr="00B07ACE">
        <w:rPr>
          <w:rFonts w:cstheme="minorHAnsi"/>
          <w:szCs w:val="24"/>
        </w:rPr>
        <w:t>new risk areas are reviewed and consolidated against existing corporate risk</w:t>
      </w:r>
      <w:r w:rsidR="00012600" w:rsidRPr="00B07ACE">
        <w:rPr>
          <w:rFonts w:cstheme="minorHAnsi"/>
          <w:szCs w:val="24"/>
        </w:rPr>
        <w:t xml:space="preserve">s. </w:t>
      </w:r>
    </w:p>
    <w:p w14:paraId="72CFBD72" w14:textId="1A538BA0" w:rsidR="008E3A5E" w:rsidRDefault="008E3A5E" w:rsidP="00361A92">
      <w:pPr>
        <w:spacing w:after="0" w:line="240" w:lineRule="auto"/>
        <w:rPr>
          <w:rFonts w:cstheme="minorHAnsi"/>
          <w:b/>
          <w:bCs/>
          <w:szCs w:val="24"/>
        </w:rPr>
      </w:pPr>
    </w:p>
    <w:p w14:paraId="21BCC385" w14:textId="4CCF8350" w:rsidR="00827481" w:rsidRPr="00D30BE7" w:rsidRDefault="00827481" w:rsidP="00B07ACE">
      <w:pPr>
        <w:pStyle w:val="Heading3"/>
      </w:pPr>
      <w:r>
        <w:t>Current Corporate Risks</w:t>
      </w:r>
    </w:p>
    <w:p w14:paraId="2EB4020F" w14:textId="77777777" w:rsidR="00B07ACE" w:rsidRDefault="002C7DB0" w:rsidP="00AF54C4">
      <w:pPr>
        <w:pStyle w:val="ListParagraph"/>
        <w:numPr>
          <w:ilvl w:val="0"/>
          <w:numId w:val="39"/>
        </w:numPr>
        <w:spacing w:after="0"/>
        <w:rPr>
          <w:rFonts w:ascii="Calibri" w:hAnsi="Calibri" w:cs="Calibri"/>
          <w:szCs w:val="24"/>
        </w:rPr>
      </w:pPr>
      <w:r w:rsidRPr="00B07ACE">
        <w:rPr>
          <w:rFonts w:cstheme="minorHAnsi"/>
          <w:szCs w:val="24"/>
        </w:rPr>
        <w:t>A</w:t>
      </w:r>
      <w:r w:rsidR="006644A8" w:rsidRPr="00B07ACE">
        <w:rPr>
          <w:rFonts w:cstheme="minorHAnsi"/>
          <w:szCs w:val="24"/>
        </w:rPr>
        <w:t xml:space="preserve">t </w:t>
      </w:r>
      <w:r w:rsidR="00C76B66" w:rsidRPr="00B07ACE">
        <w:rPr>
          <w:rFonts w:cstheme="minorHAnsi"/>
          <w:szCs w:val="24"/>
        </w:rPr>
        <w:t>the end of Q1</w:t>
      </w:r>
      <w:r w:rsidR="006644A8" w:rsidRPr="00B07ACE">
        <w:rPr>
          <w:rFonts w:cstheme="minorHAnsi"/>
          <w:szCs w:val="24"/>
        </w:rPr>
        <w:t xml:space="preserve"> 25/26</w:t>
      </w:r>
      <w:r w:rsidRPr="00B07ACE">
        <w:rPr>
          <w:rFonts w:cstheme="minorHAnsi"/>
          <w:szCs w:val="24"/>
        </w:rPr>
        <w:t xml:space="preserve">, there are 13 </w:t>
      </w:r>
      <w:r w:rsidR="00FE59C5" w:rsidRPr="00B07ACE">
        <w:rPr>
          <w:rFonts w:cstheme="minorHAnsi"/>
          <w:szCs w:val="24"/>
        </w:rPr>
        <w:t xml:space="preserve">live </w:t>
      </w:r>
      <w:r w:rsidRPr="00B07ACE">
        <w:rPr>
          <w:rFonts w:cstheme="minorHAnsi"/>
          <w:szCs w:val="24"/>
        </w:rPr>
        <w:t>corporate risks</w:t>
      </w:r>
      <w:r w:rsidR="00FE59C5" w:rsidRPr="00B07ACE">
        <w:rPr>
          <w:rFonts w:cstheme="minorHAnsi"/>
          <w:szCs w:val="24"/>
        </w:rPr>
        <w:t xml:space="preserve"> (</w:t>
      </w:r>
      <w:r w:rsidR="0003467C">
        <w:t xml:space="preserve">See </w:t>
      </w:r>
      <w:hyperlink w:anchor="A" w:history="1">
        <w:r w:rsidR="0003467C" w:rsidRPr="00FA030F">
          <w:rPr>
            <w:rStyle w:val="Hyperlink"/>
          </w:rPr>
          <w:t>Annexe A Heatmap</w:t>
        </w:r>
      </w:hyperlink>
      <w:r w:rsidR="0003467C">
        <w:t xml:space="preserve"> &amp; </w:t>
      </w:r>
      <w:hyperlink w:anchor="B" w:history="1">
        <w:r w:rsidR="0003467C" w:rsidRPr="00FA030F">
          <w:rPr>
            <w:rStyle w:val="Hyperlink"/>
          </w:rPr>
          <w:t>Annexe B Risk Description</w:t>
        </w:r>
      </w:hyperlink>
      <w:r w:rsidR="00FE59C5" w:rsidRPr="00B07ACE">
        <w:rPr>
          <w:rFonts w:cstheme="minorHAnsi"/>
          <w:szCs w:val="24"/>
        </w:rPr>
        <w:t>).</w:t>
      </w:r>
      <w:r w:rsidR="00AF54C4" w:rsidRPr="00B07ACE">
        <w:rPr>
          <w:rFonts w:cstheme="minorHAnsi"/>
          <w:szCs w:val="24"/>
        </w:rPr>
        <w:t xml:space="preserve"> </w:t>
      </w:r>
      <w:r w:rsidR="00AF54C4" w:rsidRPr="00B07ACE">
        <w:rPr>
          <w:rFonts w:ascii="Calibri" w:hAnsi="Calibri" w:cs="Calibri"/>
          <w:szCs w:val="24"/>
        </w:rPr>
        <w:t xml:space="preserve">The public consultation exercise for inshore fishing activity management measures will </w:t>
      </w:r>
      <w:r w:rsidR="00DE2B11" w:rsidRPr="00B07ACE">
        <w:rPr>
          <w:rFonts w:ascii="Calibri" w:hAnsi="Calibri" w:cs="Calibri"/>
          <w:szCs w:val="24"/>
        </w:rPr>
        <w:t xml:space="preserve">also </w:t>
      </w:r>
      <w:r w:rsidR="00AF54C4" w:rsidRPr="00B07ACE">
        <w:rPr>
          <w:rFonts w:ascii="Calibri" w:hAnsi="Calibri" w:cs="Calibri"/>
          <w:szCs w:val="24"/>
        </w:rPr>
        <w:t xml:space="preserve">be added to the corporate risk register in Q2. </w:t>
      </w:r>
    </w:p>
    <w:p w14:paraId="3BEB91A0" w14:textId="77777777" w:rsidR="00B07ACE" w:rsidRDefault="00B07ACE" w:rsidP="00B07ACE">
      <w:pPr>
        <w:pStyle w:val="ListParagraph"/>
        <w:spacing w:after="0"/>
        <w:ind w:left="360"/>
        <w:rPr>
          <w:rFonts w:ascii="Calibri" w:hAnsi="Calibri" w:cs="Calibri"/>
          <w:szCs w:val="24"/>
        </w:rPr>
      </w:pPr>
    </w:p>
    <w:p w14:paraId="37C597EF" w14:textId="4ABFD217" w:rsidR="00FA3E28" w:rsidRPr="00B07ACE" w:rsidRDefault="00105631" w:rsidP="00AF54C4">
      <w:pPr>
        <w:pStyle w:val="ListParagraph"/>
        <w:numPr>
          <w:ilvl w:val="0"/>
          <w:numId w:val="39"/>
        </w:numPr>
        <w:spacing w:after="0"/>
        <w:rPr>
          <w:rFonts w:ascii="Calibri" w:hAnsi="Calibri" w:cs="Calibri"/>
          <w:szCs w:val="24"/>
        </w:rPr>
      </w:pPr>
      <w:r w:rsidRPr="00B07ACE">
        <w:rPr>
          <w:rFonts w:ascii="Calibri" w:hAnsi="Calibri" w:cs="Calibri"/>
          <w:szCs w:val="24"/>
        </w:rPr>
        <w:t>S</w:t>
      </w:r>
      <w:r w:rsidR="00D22C68" w:rsidRPr="00B07ACE">
        <w:rPr>
          <w:rFonts w:ascii="Calibri" w:hAnsi="Calibri" w:cs="Calibri"/>
          <w:szCs w:val="24"/>
        </w:rPr>
        <w:t>everal</w:t>
      </w:r>
      <w:r w:rsidR="004908D5" w:rsidRPr="00B07ACE">
        <w:rPr>
          <w:rFonts w:ascii="Calibri" w:hAnsi="Calibri" w:cs="Calibri"/>
          <w:szCs w:val="24"/>
        </w:rPr>
        <w:t xml:space="preserve"> existing risks will </w:t>
      </w:r>
      <w:r w:rsidR="00DA6DC6" w:rsidRPr="00B07ACE">
        <w:rPr>
          <w:rFonts w:ascii="Calibri" w:hAnsi="Calibri" w:cs="Calibri"/>
          <w:szCs w:val="24"/>
        </w:rPr>
        <w:t xml:space="preserve">also </w:t>
      </w:r>
      <w:r w:rsidR="004908D5" w:rsidRPr="00B07ACE">
        <w:rPr>
          <w:rFonts w:ascii="Calibri" w:hAnsi="Calibri" w:cs="Calibri"/>
          <w:szCs w:val="24"/>
        </w:rPr>
        <w:t xml:space="preserve">be reviewed </w:t>
      </w:r>
      <w:r w:rsidR="00AE4747" w:rsidRPr="00B07ACE">
        <w:rPr>
          <w:rFonts w:ascii="Calibri" w:hAnsi="Calibri" w:cs="Calibri"/>
          <w:szCs w:val="24"/>
        </w:rPr>
        <w:t xml:space="preserve">in the coming months </w:t>
      </w:r>
      <w:r w:rsidR="004908D5" w:rsidRPr="00B07ACE">
        <w:rPr>
          <w:rFonts w:ascii="Calibri" w:hAnsi="Calibri" w:cs="Calibri"/>
          <w:szCs w:val="24"/>
        </w:rPr>
        <w:t xml:space="preserve">as updated risk assessments could </w:t>
      </w:r>
      <w:r w:rsidR="00D22C68" w:rsidRPr="00B07ACE">
        <w:rPr>
          <w:rFonts w:ascii="Calibri" w:hAnsi="Calibri" w:cs="Calibri"/>
          <w:szCs w:val="24"/>
        </w:rPr>
        <w:t xml:space="preserve">provide </w:t>
      </w:r>
      <w:r w:rsidR="004908D5" w:rsidRPr="00B07ACE">
        <w:rPr>
          <w:rFonts w:ascii="Calibri" w:hAnsi="Calibri" w:cs="Calibri"/>
          <w:szCs w:val="24"/>
        </w:rPr>
        <w:t>scope for consolidation</w:t>
      </w:r>
      <w:r w:rsidR="00FA3E28" w:rsidRPr="00B07ACE">
        <w:rPr>
          <w:rFonts w:ascii="Calibri" w:hAnsi="Calibri" w:cs="Calibri"/>
          <w:szCs w:val="24"/>
        </w:rPr>
        <w:t>:</w:t>
      </w:r>
    </w:p>
    <w:p w14:paraId="659E7CD2" w14:textId="77777777" w:rsidR="00FA3E28" w:rsidRPr="00A4239D" w:rsidRDefault="00FA3E28" w:rsidP="00AF54C4">
      <w:pPr>
        <w:spacing w:after="0"/>
        <w:rPr>
          <w:rFonts w:ascii="Calibri" w:hAnsi="Calibri" w:cs="Calibri"/>
          <w:sz w:val="16"/>
          <w:szCs w:val="16"/>
        </w:rPr>
      </w:pPr>
    </w:p>
    <w:p w14:paraId="13746677" w14:textId="26B9FC14" w:rsidR="00FA3E28" w:rsidRPr="00A4239D" w:rsidRDefault="00FA3E28" w:rsidP="00FA3E28">
      <w:pPr>
        <w:pStyle w:val="ListParagraph"/>
        <w:numPr>
          <w:ilvl w:val="0"/>
          <w:numId w:val="37"/>
        </w:numPr>
        <w:spacing w:after="0"/>
        <w:rPr>
          <w:rFonts w:cstheme="minorHAnsi"/>
          <w:szCs w:val="24"/>
        </w:rPr>
      </w:pPr>
      <w:r>
        <w:rPr>
          <w:rFonts w:ascii="Calibri" w:hAnsi="Calibri" w:cs="Calibri"/>
          <w:szCs w:val="24"/>
        </w:rPr>
        <w:t xml:space="preserve">3 </w:t>
      </w:r>
      <w:r w:rsidR="004908D5" w:rsidRPr="00A4239D">
        <w:rPr>
          <w:rFonts w:ascii="Calibri" w:hAnsi="Calibri" w:cs="Calibri"/>
          <w:szCs w:val="24"/>
        </w:rPr>
        <w:t xml:space="preserve">financial </w:t>
      </w:r>
      <w:r w:rsidR="00AD4E59">
        <w:rPr>
          <w:rFonts w:ascii="Calibri" w:hAnsi="Calibri" w:cs="Calibri"/>
          <w:szCs w:val="24"/>
        </w:rPr>
        <w:t xml:space="preserve">themed </w:t>
      </w:r>
      <w:r w:rsidR="004908D5" w:rsidRPr="00A4239D">
        <w:rPr>
          <w:rFonts w:ascii="Calibri" w:hAnsi="Calibri" w:cs="Calibri"/>
          <w:szCs w:val="24"/>
        </w:rPr>
        <w:t xml:space="preserve">risks - </w:t>
      </w:r>
      <w:r w:rsidR="00AF54C4" w:rsidRPr="00A4239D">
        <w:rPr>
          <w:rFonts w:ascii="Calibri" w:hAnsi="Calibri" w:cs="Calibri"/>
          <w:szCs w:val="24"/>
        </w:rPr>
        <w:t xml:space="preserve">21: Budget Management, 393: Future Funding </w:t>
      </w:r>
      <w:r w:rsidR="00D22C68" w:rsidRPr="00A4239D">
        <w:rPr>
          <w:rFonts w:ascii="Calibri" w:hAnsi="Calibri" w:cs="Calibri"/>
          <w:szCs w:val="24"/>
        </w:rPr>
        <w:t>&amp; 761: Grant Funding Future Liabilities</w:t>
      </w:r>
      <w:r w:rsidR="00DA6DC6">
        <w:rPr>
          <w:rFonts w:ascii="Calibri" w:hAnsi="Calibri" w:cs="Calibri"/>
          <w:szCs w:val="24"/>
        </w:rPr>
        <w:t>.</w:t>
      </w:r>
    </w:p>
    <w:p w14:paraId="61C6705D" w14:textId="6874AC9F" w:rsidR="00D30BE7" w:rsidRPr="00FA3E28" w:rsidRDefault="00D22C68" w:rsidP="00A4239D">
      <w:pPr>
        <w:pStyle w:val="ListParagraph"/>
        <w:numPr>
          <w:ilvl w:val="0"/>
          <w:numId w:val="37"/>
        </w:numPr>
        <w:spacing w:after="0"/>
        <w:rPr>
          <w:rFonts w:cstheme="minorHAnsi"/>
          <w:szCs w:val="24"/>
        </w:rPr>
      </w:pPr>
      <w:r w:rsidRPr="00A4239D">
        <w:rPr>
          <w:rFonts w:ascii="Calibri" w:hAnsi="Calibri" w:cs="Calibri"/>
          <w:szCs w:val="24"/>
        </w:rPr>
        <w:t>3 resourcing themed risks – 85: Adapting to Strategic Change, 137: Staff Resource Management &amp; 755: Strategic Resource Management</w:t>
      </w:r>
      <w:r w:rsidR="00FA3E28">
        <w:rPr>
          <w:rFonts w:ascii="Calibri" w:hAnsi="Calibri" w:cs="Calibri"/>
          <w:szCs w:val="24"/>
        </w:rPr>
        <w:t xml:space="preserve">. </w:t>
      </w:r>
    </w:p>
    <w:p w14:paraId="25E9069C" w14:textId="77777777" w:rsidR="008B1872" w:rsidRPr="00A4239D" w:rsidRDefault="008B1872" w:rsidP="00361A92">
      <w:pPr>
        <w:spacing w:after="0" w:line="240" w:lineRule="auto"/>
        <w:rPr>
          <w:rFonts w:cstheme="minorHAnsi"/>
          <w:b/>
          <w:bCs/>
          <w:sz w:val="16"/>
          <w:szCs w:val="16"/>
          <w:highlight w:val="yellow"/>
        </w:rPr>
      </w:pPr>
    </w:p>
    <w:p w14:paraId="24905B71" w14:textId="1A4B9679" w:rsidR="002A0408" w:rsidRPr="00B07ACE" w:rsidRDefault="002A0408" w:rsidP="00B07ACE">
      <w:pPr>
        <w:pStyle w:val="Heading3"/>
      </w:pPr>
      <w:r w:rsidRPr="00B07ACE">
        <w:t xml:space="preserve">Key </w:t>
      </w:r>
      <w:r w:rsidR="00C6428C" w:rsidRPr="00B07ACE">
        <w:t>r</w:t>
      </w:r>
      <w:r w:rsidR="008B1872" w:rsidRPr="00B07ACE">
        <w:t xml:space="preserve">isk </w:t>
      </w:r>
      <w:r w:rsidR="00B259B4" w:rsidRPr="00B07ACE">
        <w:t>themes</w:t>
      </w:r>
      <w:r w:rsidR="008B1872" w:rsidRPr="00B07ACE">
        <w:t xml:space="preserve"> </w:t>
      </w:r>
      <w:r w:rsidR="00C6428C" w:rsidRPr="00B07ACE">
        <w:t>identified during ARC workshop</w:t>
      </w:r>
    </w:p>
    <w:p w14:paraId="1185116D" w14:textId="69251E35" w:rsidR="00C6602B" w:rsidRPr="00B07ACE" w:rsidRDefault="00701CC1" w:rsidP="00B07ACE">
      <w:pPr>
        <w:pStyle w:val="ListParagraph"/>
        <w:numPr>
          <w:ilvl w:val="0"/>
          <w:numId w:val="39"/>
        </w:numPr>
        <w:spacing w:after="0"/>
        <w:rPr>
          <w:rFonts w:cstheme="minorHAnsi"/>
          <w:szCs w:val="24"/>
        </w:rPr>
      </w:pPr>
      <w:r w:rsidRPr="00B07ACE">
        <w:rPr>
          <w:rFonts w:cstheme="minorHAnsi"/>
          <w:szCs w:val="24"/>
        </w:rPr>
        <w:t>Below is a</w:t>
      </w:r>
      <w:r w:rsidR="00A0220B" w:rsidRPr="00B07ACE">
        <w:rPr>
          <w:rFonts w:cstheme="minorHAnsi"/>
          <w:szCs w:val="24"/>
        </w:rPr>
        <w:t xml:space="preserve"> minute </w:t>
      </w:r>
      <w:r w:rsidRPr="00B07ACE">
        <w:rPr>
          <w:rFonts w:cstheme="minorHAnsi"/>
          <w:szCs w:val="24"/>
        </w:rPr>
        <w:t xml:space="preserve">of </w:t>
      </w:r>
      <w:r w:rsidR="00A0220B" w:rsidRPr="00B07ACE">
        <w:rPr>
          <w:rFonts w:cstheme="minorHAnsi"/>
          <w:szCs w:val="24"/>
        </w:rPr>
        <w:t xml:space="preserve">the key risk themes discussed at </w:t>
      </w:r>
      <w:r w:rsidR="00A0220B" w:rsidRPr="00B07ACE">
        <w:rPr>
          <w:szCs w:val="24"/>
        </w:rPr>
        <w:t>the</w:t>
      </w:r>
      <w:r w:rsidRPr="00B07ACE">
        <w:rPr>
          <w:szCs w:val="24"/>
        </w:rPr>
        <w:t xml:space="preserve"> ARC workshop on the </w:t>
      </w:r>
      <w:proofErr w:type="gramStart"/>
      <w:r w:rsidRPr="00B07ACE">
        <w:rPr>
          <w:szCs w:val="24"/>
        </w:rPr>
        <w:t>10</w:t>
      </w:r>
      <w:r w:rsidRPr="00B07ACE">
        <w:rPr>
          <w:szCs w:val="24"/>
          <w:vertAlign w:val="superscript"/>
        </w:rPr>
        <w:t>th</w:t>
      </w:r>
      <w:proofErr w:type="gramEnd"/>
      <w:r w:rsidRPr="00B07ACE">
        <w:rPr>
          <w:szCs w:val="24"/>
        </w:rPr>
        <w:t xml:space="preserve"> June 2025</w:t>
      </w:r>
      <w:r w:rsidR="00A0220B" w:rsidRPr="00B07ACE">
        <w:rPr>
          <w:szCs w:val="24"/>
        </w:rPr>
        <w:t>.</w:t>
      </w:r>
    </w:p>
    <w:p w14:paraId="5F50A473" w14:textId="77777777" w:rsidR="00C6602B" w:rsidRPr="000E0398" w:rsidRDefault="00C6602B" w:rsidP="000E0398">
      <w:pPr>
        <w:spacing w:after="0"/>
        <w:rPr>
          <w:rFonts w:cstheme="minorHAnsi"/>
          <w:b/>
          <w:bCs/>
          <w:sz w:val="12"/>
          <w:szCs w:val="12"/>
        </w:rPr>
      </w:pPr>
    </w:p>
    <w:p w14:paraId="3A4F6F5E" w14:textId="4005B2CF" w:rsidR="00C6602B" w:rsidRPr="00C943D3" w:rsidRDefault="00C6602B" w:rsidP="00B07ACE">
      <w:pPr>
        <w:numPr>
          <w:ilvl w:val="0"/>
          <w:numId w:val="42"/>
        </w:numPr>
        <w:tabs>
          <w:tab w:val="left" w:pos="1369"/>
        </w:tabs>
        <w:spacing w:after="0"/>
        <w:rPr>
          <w:rFonts w:ascii="Calibri" w:hAnsi="Calibri" w:cs="Calibri"/>
          <w:szCs w:val="24"/>
        </w:rPr>
      </w:pPr>
      <w:r w:rsidRPr="00E16383">
        <w:rPr>
          <w:rFonts w:ascii="Calibri" w:hAnsi="Calibri" w:cs="Calibri"/>
          <w:b/>
          <w:bCs/>
          <w:szCs w:val="24"/>
        </w:rPr>
        <w:t>Growth/economic agenda</w:t>
      </w:r>
      <w:r w:rsidRPr="00E16383">
        <w:rPr>
          <w:rFonts w:ascii="Calibri" w:hAnsi="Calibri" w:cs="Calibri"/>
          <w:szCs w:val="24"/>
        </w:rPr>
        <w:t xml:space="preserve"> </w:t>
      </w:r>
      <w:r w:rsidRPr="008E0BA0">
        <w:rPr>
          <w:rFonts w:ascii="Calibri" w:hAnsi="Calibri" w:cs="Calibri"/>
          <w:szCs w:val="24"/>
        </w:rPr>
        <w:t xml:space="preserve">- </w:t>
      </w:r>
      <w:r w:rsidRPr="00E16383">
        <w:rPr>
          <w:rFonts w:ascii="Calibri" w:hAnsi="Calibri" w:cs="Calibri"/>
          <w:szCs w:val="24"/>
        </w:rPr>
        <w:t xml:space="preserve">nature </w:t>
      </w:r>
      <w:r w:rsidRPr="008E0BA0">
        <w:rPr>
          <w:rFonts w:ascii="Calibri" w:hAnsi="Calibri" w:cs="Calibri"/>
          <w:szCs w:val="24"/>
        </w:rPr>
        <w:t>based policies increasingly portrayed as a barrier to</w:t>
      </w:r>
      <w:r w:rsidR="00B07ACE">
        <w:rPr>
          <w:rFonts w:ascii="Calibri" w:hAnsi="Calibri" w:cs="Calibri"/>
          <w:szCs w:val="24"/>
        </w:rPr>
        <w:t>,</w:t>
      </w:r>
      <w:r w:rsidRPr="008E0BA0">
        <w:rPr>
          <w:rFonts w:ascii="Calibri" w:hAnsi="Calibri" w:cs="Calibri"/>
          <w:szCs w:val="24"/>
        </w:rPr>
        <w:t xml:space="preserve"> and in competition with</w:t>
      </w:r>
      <w:r w:rsidR="00B07ACE">
        <w:rPr>
          <w:rFonts w:ascii="Calibri" w:hAnsi="Calibri" w:cs="Calibri"/>
          <w:szCs w:val="24"/>
        </w:rPr>
        <w:t>,</w:t>
      </w:r>
      <w:r w:rsidRPr="008E0BA0">
        <w:rPr>
          <w:rFonts w:ascii="Calibri" w:hAnsi="Calibri" w:cs="Calibri"/>
          <w:szCs w:val="24"/>
        </w:rPr>
        <w:t xml:space="preserve"> economic growth so scope for our corporate objectives to become to </w:t>
      </w:r>
      <w:r w:rsidRPr="00E16383">
        <w:rPr>
          <w:rFonts w:ascii="Calibri" w:hAnsi="Calibri" w:cs="Calibri"/>
          <w:szCs w:val="24"/>
        </w:rPr>
        <w:t>less important</w:t>
      </w:r>
      <w:r w:rsidRPr="008E0BA0">
        <w:rPr>
          <w:rFonts w:ascii="Calibri" w:hAnsi="Calibri" w:cs="Calibri"/>
          <w:szCs w:val="24"/>
        </w:rPr>
        <w:t xml:space="preserve">, </w:t>
      </w:r>
      <w:r w:rsidRPr="00E16383">
        <w:rPr>
          <w:rFonts w:ascii="Calibri" w:hAnsi="Calibri" w:cs="Calibri"/>
          <w:szCs w:val="24"/>
        </w:rPr>
        <w:t xml:space="preserve">less </w:t>
      </w:r>
      <w:r w:rsidR="006A7F5B" w:rsidRPr="00E16383">
        <w:rPr>
          <w:rFonts w:ascii="Calibri" w:hAnsi="Calibri" w:cs="Calibri"/>
          <w:szCs w:val="24"/>
        </w:rPr>
        <w:t>relevant,</w:t>
      </w:r>
      <w:r w:rsidRPr="008E0BA0">
        <w:rPr>
          <w:rFonts w:ascii="Calibri" w:hAnsi="Calibri" w:cs="Calibri"/>
          <w:szCs w:val="24"/>
        </w:rPr>
        <w:t xml:space="preserve"> and ultimately </w:t>
      </w:r>
      <w:r w:rsidRPr="00E16383">
        <w:rPr>
          <w:rFonts w:ascii="Calibri" w:hAnsi="Calibri" w:cs="Calibri"/>
          <w:szCs w:val="24"/>
        </w:rPr>
        <w:t>excluded</w:t>
      </w:r>
      <w:r w:rsidR="00B07ACE">
        <w:rPr>
          <w:rFonts w:ascii="Calibri" w:hAnsi="Calibri" w:cs="Calibri"/>
          <w:szCs w:val="24"/>
        </w:rPr>
        <w:t>,</w:t>
      </w:r>
      <w:r w:rsidRPr="008E0BA0">
        <w:rPr>
          <w:rFonts w:ascii="Calibri" w:hAnsi="Calibri" w:cs="Calibri"/>
          <w:szCs w:val="24"/>
        </w:rPr>
        <w:t xml:space="preserve"> increasing the</w:t>
      </w:r>
      <w:r w:rsidRPr="00E16383">
        <w:rPr>
          <w:rFonts w:ascii="Calibri" w:hAnsi="Calibri" w:cs="Calibri"/>
          <w:szCs w:val="24"/>
        </w:rPr>
        <w:t xml:space="preserve"> risk of reduced</w:t>
      </w:r>
      <w:r w:rsidR="00B07ACE">
        <w:rPr>
          <w:rFonts w:ascii="Calibri" w:hAnsi="Calibri" w:cs="Calibri"/>
          <w:szCs w:val="24"/>
        </w:rPr>
        <w:t xml:space="preserve"> Grant in Aid (</w:t>
      </w:r>
      <w:proofErr w:type="spellStart"/>
      <w:r w:rsidRPr="00E16383">
        <w:rPr>
          <w:rFonts w:ascii="Calibri" w:hAnsi="Calibri" w:cs="Calibri"/>
          <w:szCs w:val="24"/>
        </w:rPr>
        <w:t>GiA</w:t>
      </w:r>
      <w:proofErr w:type="spellEnd"/>
      <w:r w:rsidR="00B07ACE">
        <w:rPr>
          <w:rFonts w:ascii="Calibri" w:hAnsi="Calibri" w:cs="Calibri"/>
          <w:szCs w:val="24"/>
        </w:rPr>
        <w:t>)</w:t>
      </w:r>
      <w:r w:rsidRPr="008E0BA0">
        <w:rPr>
          <w:rFonts w:ascii="Calibri" w:hAnsi="Calibri" w:cs="Calibri"/>
          <w:szCs w:val="24"/>
        </w:rPr>
        <w:t xml:space="preserve"> and </w:t>
      </w:r>
      <w:r w:rsidRPr="00E16383">
        <w:rPr>
          <w:rFonts w:ascii="Calibri" w:hAnsi="Calibri" w:cs="Calibri"/>
          <w:szCs w:val="24"/>
        </w:rPr>
        <w:t xml:space="preserve">private finance investment. What influence can we have? What levers do we have? How </w:t>
      </w:r>
      <w:r w:rsidRPr="008E0BA0">
        <w:rPr>
          <w:rFonts w:ascii="Calibri" w:hAnsi="Calibri" w:cs="Calibri"/>
          <w:szCs w:val="24"/>
        </w:rPr>
        <w:t>do</w:t>
      </w:r>
      <w:r w:rsidRPr="00E16383">
        <w:rPr>
          <w:rFonts w:ascii="Calibri" w:hAnsi="Calibri" w:cs="Calibri"/>
          <w:szCs w:val="24"/>
        </w:rPr>
        <w:t xml:space="preserve"> we continue to have impact</w:t>
      </w:r>
      <w:r w:rsidRPr="008E0BA0">
        <w:rPr>
          <w:rFonts w:ascii="Calibri" w:hAnsi="Calibri" w:cs="Calibri"/>
          <w:szCs w:val="24"/>
        </w:rPr>
        <w:t xml:space="preserve"> if this materialises</w:t>
      </w:r>
      <w:r w:rsidRPr="00E16383">
        <w:rPr>
          <w:rFonts w:ascii="Calibri" w:hAnsi="Calibri" w:cs="Calibri"/>
          <w:szCs w:val="24"/>
        </w:rPr>
        <w:t>?</w:t>
      </w:r>
    </w:p>
    <w:p w14:paraId="14702A44" w14:textId="00DE247A" w:rsidR="00C6602B" w:rsidRPr="00C943D3" w:rsidRDefault="00C6602B" w:rsidP="00B07ACE">
      <w:pPr>
        <w:numPr>
          <w:ilvl w:val="0"/>
          <w:numId w:val="42"/>
        </w:numPr>
        <w:tabs>
          <w:tab w:val="left" w:pos="1369"/>
        </w:tabs>
        <w:spacing w:after="0"/>
        <w:rPr>
          <w:rFonts w:ascii="Calibri" w:hAnsi="Calibri" w:cs="Calibri"/>
          <w:szCs w:val="24"/>
        </w:rPr>
      </w:pPr>
      <w:r w:rsidRPr="00E16383">
        <w:rPr>
          <w:rFonts w:ascii="Calibri" w:hAnsi="Calibri" w:cs="Calibri"/>
          <w:b/>
          <w:bCs/>
          <w:szCs w:val="24"/>
        </w:rPr>
        <w:t>Polarisation of stakeholders</w:t>
      </w:r>
      <w:r w:rsidRPr="00E16383">
        <w:rPr>
          <w:rFonts w:ascii="Calibri" w:hAnsi="Calibri" w:cs="Calibri"/>
          <w:szCs w:val="24"/>
        </w:rPr>
        <w:t xml:space="preserve"> – increasing polarisation will make it more challenging to make progress on delivering for nature.</w:t>
      </w:r>
      <w:r w:rsidRPr="008E0BA0">
        <w:rPr>
          <w:rFonts w:ascii="Calibri" w:hAnsi="Calibri" w:cs="Calibri"/>
          <w:szCs w:val="24"/>
        </w:rPr>
        <w:t xml:space="preserve"> </w:t>
      </w:r>
      <w:r w:rsidRPr="00E16383">
        <w:rPr>
          <w:rFonts w:ascii="Calibri" w:hAnsi="Calibri" w:cs="Calibri"/>
          <w:szCs w:val="24"/>
        </w:rPr>
        <w:t xml:space="preserve">We try to walk the middle line – </w:t>
      </w:r>
      <w:r w:rsidRPr="008E0BA0">
        <w:rPr>
          <w:rFonts w:ascii="Calibri" w:hAnsi="Calibri" w:cs="Calibri"/>
          <w:szCs w:val="24"/>
        </w:rPr>
        <w:t>is this</w:t>
      </w:r>
      <w:r w:rsidRPr="00E16383">
        <w:rPr>
          <w:rFonts w:ascii="Calibri" w:hAnsi="Calibri" w:cs="Calibri"/>
          <w:szCs w:val="24"/>
        </w:rPr>
        <w:t xml:space="preserve"> still the right positioning?</w:t>
      </w:r>
      <w:r w:rsidRPr="008E0BA0">
        <w:rPr>
          <w:rFonts w:ascii="Calibri" w:hAnsi="Calibri" w:cs="Calibri"/>
          <w:szCs w:val="24"/>
        </w:rPr>
        <w:t xml:space="preserve"> </w:t>
      </w:r>
      <w:r w:rsidRPr="00E16383">
        <w:rPr>
          <w:rFonts w:ascii="Calibri" w:hAnsi="Calibri" w:cs="Calibri"/>
          <w:szCs w:val="24"/>
        </w:rPr>
        <w:t>Who are our allies</w:t>
      </w:r>
      <w:r w:rsidR="006A7F5B" w:rsidRPr="00E16383">
        <w:rPr>
          <w:rFonts w:ascii="Calibri" w:hAnsi="Calibri" w:cs="Calibri"/>
          <w:szCs w:val="24"/>
        </w:rPr>
        <w:t xml:space="preserve">? </w:t>
      </w:r>
      <w:r w:rsidRPr="008E0BA0">
        <w:rPr>
          <w:rFonts w:ascii="Calibri" w:hAnsi="Calibri" w:cs="Calibri"/>
          <w:szCs w:val="24"/>
        </w:rPr>
        <w:t>Likely to</w:t>
      </w:r>
      <w:r w:rsidRPr="00E16383">
        <w:rPr>
          <w:rFonts w:ascii="Calibri" w:hAnsi="Calibri" w:cs="Calibri"/>
          <w:szCs w:val="24"/>
        </w:rPr>
        <w:t xml:space="preserve"> become increasingly difficult to engage with competing interests</w:t>
      </w:r>
      <w:r w:rsidRPr="008E0BA0">
        <w:rPr>
          <w:rFonts w:ascii="Calibri" w:hAnsi="Calibri" w:cs="Calibri"/>
          <w:szCs w:val="24"/>
        </w:rPr>
        <w:t xml:space="preserve"> and</w:t>
      </w:r>
      <w:r w:rsidRPr="00E16383">
        <w:rPr>
          <w:rFonts w:ascii="Calibri" w:hAnsi="Calibri" w:cs="Calibri"/>
          <w:szCs w:val="24"/>
        </w:rPr>
        <w:t xml:space="preserve"> build consensus to progress</w:t>
      </w:r>
      <w:r w:rsidRPr="008E0BA0">
        <w:rPr>
          <w:rFonts w:ascii="Calibri" w:hAnsi="Calibri" w:cs="Calibri"/>
          <w:szCs w:val="24"/>
        </w:rPr>
        <w:t xml:space="preserve"> key objectives. </w:t>
      </w:r>
    </w:p>
    <w:p w14:paraId="2E122043" w14:textId="77777777" w:rsidR="00C6602B" w:rsidRPr="00C943D3" w:rsidRDefault="00C6602B" w:rsidP="00B07ACE">
      <w:pPr>
        <w:numPr>
          <w:ilvl w:val="0"/>
          <w:numId w:val="42"/>
        </w:numPr>
        <w:tabs>
          <w:tab w:val="left" w:pos="1369"/>
        </w:tabs>
        <w:spacing w:after="0"/>
        <w:rPr>
          <w:rFonts w:ascii="Calibri" w:hAnsi="Calibri" w:cs="Calibri"/>
          <w:szCs w:val="24"/>
        </w:rPr>
      </w:pPr>
      <w:r w:rsidRPr="00E16383">
        <w:rPr>
          <w:rFonts w:ascii="Calibri" w:hAnsi="Calibri" w:cs="Calibri"/>
          <w:b/>
          <w:bCs/>
          <w:szCs w:val="24"/>
        </w:rPr>
        <w:lastRenderedPageBreak/>
        <w:t>Misinformation/disinformation/societal discord</w:t>
      </w:r>
      <w:r w:rsidRPr="00E16383">
        <w:rPr>
          <w:rFonts w:ascii="Calibri" w:hAnsi="Calibri" w:cs="Calibri"/>
          <w:szCs w:val="24"/>
        </w:rPr>
        <w:t xml:space="preserve"> – how do we combat this? Difficult to counteract </w:t>
      </w:r>
      <w:r w:rsidRPr="008E0BA0">
        <w:rPr>
          <w:rFonts w:ascii="Calibri" w:hAnsi="Calibri" w:cs="Calibri"/>
          <w:szCs w:val="24"/>
        </w:rPr>
        <w:t xml:space="preserve">and increasingly </w:t>
      </w:r>
      <w:r w:rsidRPr="00E16383">
        <w:rPr>
          <w:rFonts w:ascii="Calibri" w:hAnsi="Calibri" w:cs="Calibri"/>
          <w:szCs w:val="24"/>
        </w:rPr>
        <w:t xml:space="preserve">hard to operate in this space. </w:t>
      </w:r>
      <w:r w:rsidRPr="008E0BA0">
        <w:rPr>
          <w:rFonts w:ascii="Calibri" w:hAnsi="Calibri" w:cs="Calibri"/>
          <w:szCs w:val="24"/>
        </w:rPr>
        <w:t>H</w:t>
      </w:r>
      <w:r w:rsidRPr="00E16383">
        <w:rPr>
          <w:rFonts w:ascii="Calibri" w:hAnsi="Calibri" w:cs="Calibri"/>
          <w:szCs w:val="24"/>
        </w:rPr>
        <w:t>ow do we persuade the public</w:t>
      </w:r>
      <w:r w:rsidRPr="008E0BA0">
        <w:rPr>
          <w:rFonts w:ascii="Calibri" w:hAnsi="Calibri" w:cs="Calibri"/>
          <w:szCs w:val="24"/>
        </w:rPr>
        <w:t xml:space="preserve"> and</w:t>
      </w:r>
      <w:r w:rsidRPr="00E16383">
        <w:rPr>
          <w:rFonts w:ascii="Calibri" w:hAnsi="Calibri" w:cs="Calibri"/>
          <w:szCs w:val="24"/>
        </w:rPr>
        <w:t xml:space="preserve"> be </w:t>
      </w:r>
      <w:r w:rsidRPr="008E0BA0">
        <w:rPr>
          <w:rFonts w:ascii="Calibri" w:hAnsi="Calibri" w:cs="Calibri"/>
          <w:szCs w:val="24"/>
        </w:rPr>
        <w:t xml:space="preserve">seen as </w:t>
      </w:r>
      <w:r w:rsidRPr="00E16383">
        <w:rPr>
          <w:rFonts w:ascii="Calibri" w:hAnsi="Calibri" w:cs="Calibri"/>
          <w:szCs w:val="24"/>
        </w:rPr>
        <w:t>the voice of truth on nature.</w:t>
      </w:r>
    </w:p>
    <w:p w14:paraId="086C6E9A" w14:textId="77777777" w:rsidR="00C6602B" w:rsidRPr="00C943D3" w:rsidRDefault="00C6602B" w:rsidP="00B07ACE">
      <w:pPr>
        <w:numPr>
          <w:ilvl w:val="0"/>
          <w:numId w:val="42"/>
        </w:numPr>
        <w:tabs>
          <w:tab w:val="left" w:pos="1369"/>
        </w:tabs>
        <w:spacing w:after="0"/>
        <w:rPr>
          <w:rFonts w:ascii="Calibri" w:hAnsi="Calibri" w:cs="Calibri"/>
          <w:szCs w:val="24"/>
        </w:rPr>
      </w:pPr>
      <w:r w:rsidRPr="00E16383">
        <w:rPr>
          <w:rFonts w:ascii="Calibri" w:hAnsi="Calibri" w:cs="Calibri"/>
          <w:b/>
          <w:bCs/>
          <w:szCs w:val="24"/>
        </w:rPr>
        <w:t>Mission Creep</w:t>
      </w:r>
      <w:r w:rsidRPr="008E0BA0">
        <w:rPr>
          <w:rFonts w:ascii="Calibri" w:hAnsi="Calibri" w:cs="Calibri"/>
          <w:szCs w:val="24"/>
        </w:rPr>
        <w:t xml:space="preserve"> - S</w:t>
      </w:r>
      <w:r w:rsidRPr="00E16383">
        <w:rPr>
          <w:rFonts w:ascii="Calibri" w:hAnsi="Calibri" w:cs="Calibri"/>
          <w:szCs w:val="24"/>
        </w:rPr>
        <w:t xml:space="preserve">G </w:t>
      </w:r>
      <w:r w:rsidRPr="008E0BA0">
        <w:rPr>
          <w:rFonts w:ascii="Calibri" w:hAnsi="Calibri" w:cs="Calibri"/>
          <w:szCs w:val="24"/>
        </w:rPr>
        <w:t>allocating work</w:t>
      </w:r>
      <w:r w:rsidRPr="00E16383">
        <w:rPr>
          <w:rFonts w:ascii="Calibri" w:hAnsi="Calibri" w:cs="Calibri"/>
          <w:szCs w:val="24"/>
        </w:rPr>
        <w:t xml:space="preserve"> that is not </w:t>
      </w:r>
      <w:r w:rsidRPr="008E0BA0">
        <w:rPr>
          <w:rFonts w:ascii="Calibri" w:hAnsi="Calibri" w:cs="Calibri"/>
          <w:szCs w:val="24"/>
        </w:rPr>
        <w:t>with</w:t>
      </w:r>
      <w:r w:rsidRPr="00E16383">
        <w:rPr>
          <w:rFonts w:ascii="Calibri" w:hAnsi="Calibri" w:cs="Calibri"/>
          <w:szCs w:val="24"/>
        </w:rPr>
        <w:t>in our core remit</w:t>
      </w:r>
      <w:r w:rsidRPr="008E0BA0">
        <w:rPr>
          <w:rFonts w:ascii="Calibri" w:hAnsi="Calibri" w:cs="Calibri"/>
          <w:szCs w:val="24"/>
        </w:rPr>
        <w:t xml:space="preserve"> often carrying </w:t>
      </w:r>
      <w:r w:rsidRPr="00E16383">
        <w:rPr>
          <w:rFonts w:ascii="Calibri" w:hAnsi="Calibri" w:cs="Calibri"/>
          <w:szCs w:val="24"/>
        </w:rPr>
        <w:t>reputational risks</w:t>
      </w:r>
      <w:r w:rsidRPr="008E0BA0">
        <w:rPr>
          <w:rFonts w:ascii="Calibri" w:hAnsi="Calibri" w:cs="Calibri"/>
          <w:szCs w:val="24"/>
        </w:rPr>
        <w:t>. P</w:t>
      </w:r>
      <w:r w:rsidRPr="00E16383">
        <w:rPr>
          <w:rFonts w:ascii="Calibri" w:hAnsi="Calibri" w:cs="Calibri"/>
          <w:szCs w:val="24"/>
        </w:rPr>
        <w:t xml:space="preserve">otential </w:t>
      </w:r>
      <w:r w:rsidRPr="008E0BA0">
        <w:rPr>
          <w:rFonts w:ascii="Calibri" w:hAnsi="Calibri" w:cs="Calibri"/>
          <w:szCs w:val="24"/>
        </w:rPr>
        <w:t xml:space="preserve">to </w:t>
      </w:r>
      <w:r w:rsidRPr="00E16383">
        <w:rPr>
          <w:rFonts w:ascii="Calibri" w:hAnsi="Calibri" w:cs="Calibri"/>
          <w:szCs w:val="24"/>
        </w:rPr>
        <w:t>impact</w:t>
      </w:r>
      <w:r w:rsidRPr="008E0BA0">
        <w:rPr>
          <w:rFonts w:ascii="Calibri" w:hAnsi="Calibri" w:cs="Calibri"/>
          <w:szCs w:val="24"/>
        </w:rPr>
        <w:t xml:space="preserve"> </w:t>
      </w:r>
      <w:r w:rsidRPr="00E16383">
        <w:rPr>
          <w:rFonts w:ascii="Calibri" w:hAnsi="Calibri" w:cs="Calibri"/>
          <w:szCs w:val="24"/>
        </w:rPr>
        <w:t xml:space="preserve">organisational coherence </w:t>
      </w:r>
      <w:r w:rsidRPr="008E0BA0">
        <w:rPr>
          <w:rFonts w:ascii="Calibri" w:hAnsi="Calibri" w:cs="Calibri"/>
          <w:szCs w:val="24"/>
        </w:rPr>
        <w:t xml:space="preserve">and </w:t>
      </w:r>
      <w:r w:rsidRPr="00E16383">
        <w:rPr>
          <w:rFonts w:ascii="Calibri" w:hAnsi="Calibri" w:cs="Calibri"/>
          <w:szCs w:val="24"/>
        </w:rPr>
        <w:t>drain resources from core work.</w:t>
      </w:r>
    </w:p>
    <w:p w14:paraId="42DBCFA1" w14:textId="77777777" w:rsidR="00C6602B" w:rsidRPr="00C943D3" w:rsidRDefault="00C6602B" w:rsidP="00B07ACE">
      <w:pPr>
        <w:numPr>
          <w:ilvl w:val="0"/>
          <w:numId w:val="42"/>
        </w:numPr>
        <w:tabs>
          <w:tab w:val="left" w:pos="1369"/>
        </w:tabs>
        <w:spacing w:after="0"/>
        <w:rPr>
          <w:rFonts w:ascii="Calibri" w:hAnsi="Calibri" w:cs="Calibri"/>
          <w:szCs w:val="24"/>
        </w:rPr>
      </w:pPr>
      <w:r w:rsidRPr="008E0BA0">
        <w:rPr>
          <w:rFonts w:ascii="Calibri" w:hAnsi="Calibri" w:cs="Calibri"/>
          <w:b/>
          <w:bCs/>
          <w:szCs w:val="24"/>
        </w:rPr>
        <w:t>Limitations of r</w:t>
      </w:r>
      <w:r w:rsidRPr="00E16383">
        <w:rPr>
          <w:rFonts w:ascii="Calibri" w:hAnsi="Calibri" w:cs="Calibri"/>
          <w:b/>
          <w:bCs/>
          <w:szCs w:val="24"/>
        </w:rPr>
        <w:t>egulation</w:t>
      </w:r>
      <w:r w:rsidRPr="00E16383">
        <w:rPr>
          <w:rFonts w:ascii="Calibri" w:hAnsi="Calibri" w:cs="Calibri"/>
          <w:szCs w:val="24"/>
        </w:rPr>
        <w:t xml:space="preserve"> – </w:t>
      </w:r>
      <w:r w:rsidRPr="008E0BA0">
        <w:rPr>
          <w:rFonts w:ascii="Calibri" w:hAnsi="Calibri" w:cs="Calibri"/>
          <w:szCs w:val="24"/>
        </w:rPr>
        <w:t xml:space="preserve">Land managers/owners already feel overregulated undermining </w:t>
      </w:r>
      <w:r w:rsidRPr="00E16383">
        <w:rPr>
          <w:rFonts w:ascii="Calibri" w:hAnsi="Calibri" w:cs="Calibri"/>
          <w:szCs w:val="24"/>
        </w:rPr>
        <w:t xml:space="preserve">capability and sustainability of state regulation as a tool </w:t>
      </w:r>
      <w:r>
        <w:rPr>
          <w:rFonts w:ascii="Calibri" w:hAnsi="Calibri" w:cs="Calibri"/>
          <w:szCs w:val="24"/>
        </w:rPr>
        <w:t>to protect</w:t>
      </w:r>
      <w:r w:rsidRPr="00E16383">
        <w:rPr>
          <w:rFonts w:ascii="Calibri" w:hAnsi="Calibri" w:cs="Calibri"/>
          <w:szCs w:val="24"/>
        </w:rPr>
        <w:t xml:space="preserve"> natural assets and strengthen</w:t>
      </w:r>
      <w:r>
        <w:rPr>
          <w:rFonts w:ascii="Calibri" w:hAnsi="Calibri" w:cs="Calibri"/>
          <w:szCs w:val="24"/>
        </w:rPr>
        <w:t xml:space="preserve"> </w:t>
      </w:r>
      <w:r w:rsidRPr="00E16383">
        <w:rPr>
          <w:rFonts w:ascii="Calibri" w:hAnsi="Calibri" w:cs="Calibri"/>
          <w:szCs w:val="24"/>
        </w:rPr>
        <w:t>climate resilience.</w:t>
      </w:r>
    </w:p>
    <w:p w14:paraId="05B92A7C" w14:textId="77777777" w:rsidR="00C6602B" w:rsidRPr="00C943D3" w:rsidRDefault="00C6602B" w:rsidP="00B07ACE">
      <w:pPr>
        <w:numPr>
          <w:ilvl w:val="0"/>
          <w:numId w:val="42"/>
        </w:numPr>
        <w:tabs>
          <w:tab w:val="left" w:pos="1369"/>
        </w:tabs>
        <w:spacing w:after="0"/>
        <w:rPr>
          <w:rFonts w:ascii="Calibri" w:hAnsi="Calibri" w:cs="Calibri"/>
          <w:szCs w:val="24"/>
        </w:rPr>
      </w:pPr>
      <w:r w:rsidRPr="00E16383">
        <w:rPr>
          <w:rFonts w:ascii="Calibri" w:hAnsi="Calibri" w:cs="Calibri"/>
          <w:b/>
          <w:bCs/>
          <w:szCs w:val="24"/>
        </w:rPr>
        <w:t>Economic context shifts/supply chain changes</w:t>
      </w:r>
      <w:r w:rsidRPr="00E16383">
        <w:rPr>
          <w:rFonts w:ascii="Calibri" w:hAnsi="Calibri" w:cs="Calibri"/>
          <w:szCs w:val="24"/>
        </w:rPr>
        <w:t xml:space="preserve"> </w:t>
      </w:r>
      <w:r>
        <w:rPr>
          <w:rFonts w:ascii="Calibri" w:hAnsi="Calibri" w:cs="Calibri"/>
          <w:szCs w:val="24"/>
        </w:rPr>
        <w:t>–</w:t>
      </w:r>
      <w:r w:rsidRPr="008E0BA0">
        <w:rPr>
          <w:rFonts w:ascii="Calibri" w:hAnsi="Calibri" w:cs="Calibri"/>
          <w:szCs w:val="24"/>
        </w:rPr>
        <w:t xml:space="preserve"> </w:t>
      </w:r>
      <w:r>
        <w:rPr>
          <w:rFonts w:ascii="Calibri" w:hAnsi="Calibri" w:cs="Calibri"/>
          <w:szCs w:val="24"/>
        </w:rPr>
        <w:t xml:space="preserve">Linked to above in terms of the </w:t>
      </w:r>
      <w:r w:rsidRPr="00E16383">
        <w:rPr>
          <w:rFonts w:ascii="Calibri" w:hAnsi="Calibri" w:cs="Calibri"/>
          <w:szCs w:val="24"/>
        </w:rPr>
        <w:t xml:space="preserve">risk of losing levers to </w:t>
      </w:r>
      <w:r>
        <w:rPr>
          <w:rFonts w:ascii="Calibri" w:hAnsi="Calibri" w:cs="Calibri"/>
          <w:szCs w:val="24"/>
        </w:rPr>
        <w:t>encourage</w:t>
      </w:r>
      <w:r w:rsidRPr="00E16383">
        <w:rPr>
          <w:rFonts w:ascii="Calibri" w:hAnsi="Calibri" w:cs="Calibri"/>
          <w:szCs w:val="24"/>
        </w:rPr>
        <w:t xml:space="preserve"> land managers to act for nature.</w:t>
      </w:r>
    </w:p>
    <w:p w14:paraId="2B9F861A" w14:textId="77777777" w:rsidR="00C6602B" w:rsidRPr="00C943D3" w:rsidRDefault="00C6602B" w:rsidP="00B07ACE">
      <w:pPr>
        <w:numPr>
          <w:ilvl w:val="0"/>
          <w:numId w:val="42"/>
        </w:numPr>
        <w:tabs>
          <w:tab w:val="left" w:pos="1369"/>
        </w:tabs>
        <w:spacing w:after="0"/>
        <w:rPr>
          <w:rFonts w:ascii="Calibri" w:hAnsi="Calibri" w:cs="Calibri"/>
          <w:szCs w:val="24"/>
        </w:rPr>
      </w:pPr>
      <w:r w:rsidRPr="00E16383">
        <w:rPr>
          <w:rFonts w:ascii="Calibri" w:hAnsi="Calibri" w:cs="Calibri"/>
          <w:b/>
          <w:bCs/>
          <w:szCs w:val="24"/>
        </w:rPr>
        <w:t>Cyber risk</w:t>
      </w:r>
      <w:r w:rsidRPr="00E16383">
        <w:rPr>
          <w:rFonts w:ascii="Calibri" w:hAnsi="Calibri" w:cs="Calibri"/>
          <w:szCs w:val="24"/>
        </w:rPr>
        <w:t xml:space="preserve"> – will be ongoing and of increased risk</w:t>
      </w:r>
      <w:r w:rsidRPr="008E0BA0">
        <w:rPr>
          <w:rFonts w:ascii="Calibri" w:hAnsi="Calibri" w:cs="Calibri"/>
          <w:szCs w:val="24"/>
        </w:rPr>
        <w:t>.</w:t>
      </w:r>
    </w:p>
    <w:p w14:paraId="21E86FFC" w14:textId="77777777" w:rsidR="00C6602B" w:rsidRPr="009D44C7" w:rsidRDefault="00C6602B" w:rsidP="00B07ACE">
      <w:pPr>
        <w:numPr>
          <w:ilvl w:val="0"/>
          <w:numId w:val="42"/>
        </w:numPr>
        <w:tabs>
          <w:tab w:val="left" w:pos="1369"/>
        </w:tabs>
        <w:spacing w:after="0"/>
        <w:rPr>
          <w:rFonts w:ascii="Calibri" w:hAnsi="Calibri" w:cs="Calibri"/>
          <w:szCs w:val="24"/>
        </w:rPr>
      </w:pPr>
      <w:r w:rsidRPr="00E16383">
        <w:rPr>
          <w:rFonts w:ascii="Calibri" w:hAnsi="Calibri" w:cs="Calibri"/>
          <w:b/>
          <w:bCs/>
          <w:szCs w:val="24"/>
        </w:rPr>
        <w:t>Underperformance over time</w:t>
      </w:r>
      <w:r w:rsidRPr="00E16383">
        <w:rPr>
          <w:rFonts w:ascii="Calibri" w:hAnsi="Calibri" w:cs="Calibri"/>
          <w:szCs w:val="24"/>
        </w:rPr>
        <w:t xml:space="preserve"> – </w:t>
      </w:r>
      <w:r>
        <w:rPr>
          <w:rFonts w:ascii="Calibri" w:hAnsi="Calibri" w:cs="Calibri"/>
          <w:szCs w:val="24"/>
        </w:rPr>
        <w:t xml:space="preserve">No clear consensus in terms of formulation </w:t>
      </w:r>
      <w:r w:rsidRPr="00E16383">
        <w:rPr>
          <w:rFonts w:ascii="Calibri" w:hAnsi="Calibri" w:cs="Calibri"/>
          <w:szCs w:val="24"/>
        </w:rPr>
        <w:t>an</w:t>
      </w:r>
      <w:r>
        <w:rPr>
          <w:rFonts w:ascii="Calibri" w:hAnsi="Calibri" w:cs="Calibri"/>
          <w:szCs w:val="24"/>
        </w:rPr>
        <w:t>d whether this was more of an</w:t>
      </w:r>
      <w:r w:rsidRPr="00E16383">
        <w:rPr>
          <w:rFonts w:ascii="Calibri" w:hAnsi="Calibri" w:cs="Calibri"/>
          <w:szCs w:val="24"/>
        </w:rPr>
        <w:t xml:space="preserve"> internal matter, rather than an external risk for the organisation</w:t>
      </w:r>
      <w:r>
        <w:rPr>
          <w:rFonts w:ascii="Calibri" w:hAnsi="Calibri" w:cs="Calibri"/>
          <w:szCs w:val="24"/>
        </w:rPr>
        <w:t xml:space="preserve">. Discussions </w:t>
      </w:r>
      <w:r w:rsidRPr="00E16383">
        <w:rPr>
          <w:rFonts w:ascii="Calibri" w:hAnsi="Calibri" w:cs="Calibri"/>
          <w:szCs w:val="24"/>
        </w:rPr>
        <w:t>focus</w:t>
      </w:r>
      <w:r>
        <w:rPr>
          <w:rFonts w:ascii="Calibri" w:hAnsi="Calibri" w:cs="Calibri"/>
          <w:szCs w:val="24"/>
        </w:rPr>
        <w:t xml:space="preserve">ed </w:t>
      </w:r>
      <w:r w:rsidRPr="00E16383">
        <w:rPr>
          <w:rFonts w:ascii="Calibri" w:hAnsi="Calibri" w:cs="Calibri"/>
          <w:szCs w:val="24"/>
        </w:rPr>
        <w:t xml:space="preserve">on </w:t>
      </w:r>
      <w:r>
        <w:rPr>
          <w:rFonts w:ascii="Calibri" w:hAnsi="Calibri" w:cs="Calibri"/>
          <w:szCs w:val="24"/>
        </w:rPr>
        <w:t>understanding how money is being spent,</w:t>
      </w:r>
      <w:r w:rsidRPr="00E16383">
        <w:rPr>
          <w:rFonts w:ascii="Calibri" w:hAnsi="Calibri" w:cs="Calibri"/>
          <w:szCs w:val="24"/>
        </w:rPr>
        <w:t xml:space="preserve"> </w:t>
      </w:r>
      <w:r>
        <w:rPr>
          <w:rFonts w:ascii="Calibri" w:hAnsi="Calibri" w:cs="Calibri"/>
          <w:szCs w:val="24"/>
        </w:rPr>
        <w:t xml:space="preserve">quantifying its impact and </w:t>
      </w:r>
      <w:r w:rsidRPr="009D44C7">
        <w:rPr>
          <w:rFonts w:ascii="Calibri" w:hAnsi="Calibri" w:cs="Calibri"/>
          <w:szCs w:val="24"/>
        </w:rPr>
        <w:t xml:space="preserve">that </w:t>
      </w:r>
      <w:r>
        <w:rPr>
          <w:rFonts w:ascii="Calibri" w:hAnsi="Calibri" w:cs="Calibri"/>
          <w:szCs w:val="24"/>
        </w:rPr>
        <w:t>investment</w:t>
      </w:r>
      <w:r w:rsidRPr="009D44C7">
        <w:rPr>
          <w:rFonts w:ascii="Calibri" w:hAnsi="Calibri" w:cs="Calibri"/>
          <w:szCs w:val="24"/>
        </w:rPr>
        <w:t xml:space="preserve"> aligns with what the organisation wants to achieve. It was discussed that there is a risk of not fully understanding performance which cumulatively over time could result in underperformance not being noticed until it is too late. </w:t>
      </w:r>
      <w:r>
        <w:rPr>
          <w:rFonts w:ascii="Calibri" w:hAnsi="Calibri" w:cs="Calibri"/>
          <w:szCs w:val="24"/>
        </w:rPr>
        <w:t xml:space="preserve">The group also noted the role of delivery partners, as well as </w:t>
      </w:r>
      <w:r w:rsidRPr="009D44C7">
        <w:rPr>
          <w:rFonts w:ascii="Calibri" w:hAnsi="Calibri" w:cs="Calibri"/>
          <w:szCs w:val="24"/>
        </w:rPr>
        <w:t xml:space="preserve">trusting and empowering them more. </w:t>
      </w:r>
    </w:p>
    <w:p w14:paraId="6D1CD689" w14:textId="77777777" w:rsidR="00C6602B" w:rsidRDefault="00C6602B" w:rsidP="00B07ACE">
      <w:pPr>
        <w:numPr>
          <w:ilvl w:val="0"/>
          <w:numId w:val="42"/>
        </w:numPr>
        <w:tabs>
          <w:tab w:val="left" w:pos="1369"/>
        </w:tabs>
        <w:spacing w:after="0"/>
        <w:rPr>
          <w:rFonts w:ascii="Calibri" w:hAnsi="Calibri" w:cs="Calibri"/>
          <w:szCs w:val="24"/>
        </w:rPr>
      </w:pPr>
      <w:r w:rsidRPr="00073E66">
        <w:rPr>
          <w:rFonts w:ascii="Calibri" w:hAnsi="Calibri" w:cs="Calibri"/>
          <w:b/>
          <w:bCs/>
          <w:szCs w:val="24"/>
        </w:rPr>
        <w:t xml:space="preserve">Public Sector Reform </w:t>
      </w:r>
      <w:r w:rsidRPr="00073E66">
        <w:rPr>
          <w:rFonts w:ascii="Calibri" w:hAnsi="Calibri" w:cs="Calibri"/>
          <w:szCs w:val="24"/>
        </w:rPr>
        <w:t xml:space="preserve">– although the group considered this unlikely in </w:t>
      </w:r>
      <w:r>
        <w:rPr>
          <w:rFonts w:ascii="Calibri" w:hAnsi="Calibri" w:cs="Calibri"/>
          <w:szCs w:val="24"/>
        </w:rPr>
        <w:t xml:space="preserve">the </w:t>
      </w:r>
      <w:r w:rsidRPr="00073E66">
        <w:rPr>
          <w:rFonts w:ascii="Calibri" w:hAnsi="Calibri" w:cs="Calibri"/>
          <w:szCs w:val="24"/>
        </w:rPr>
        <w:t xml:space="preserve">current parliament, </w:t>
      </w:r>
      <w:r>
        <w:rPr>
          <w:rFonts w:ascii="Calibri" w:hAnsi="Calibri" w:cs="Calibri"/>
          <w:szCs w:val="24"/>
        </w:rPr>
        <w:t>there</w:t>
      </w:r>
      <w:r w:rsidRPr="00073E66">
        <w:rPr>
          <w:rFonts w:ascii="Calibri" w:hAnsi="Calibri" w:cs="Calibri"/>
          <w:szCs w:val="24"/>
        </w:rPr>
        <w:t xml:space="preserve"> could </w:t>
      </w:r>
      <w:r>
        <w:rPr>
          <w:rFonts w:ascii="Calibri" w:hAnsi="Calibri" w:cs="Calibri"/>
          <w:szCs w:val="24"/>
        </w:rPr>
        <w:t xml:space="preserve">be a move towards </w:t>
      </w:r>
      <w:r w:rsidRPr="00073E66">
        <w:rPr>
          <w:rFonts w:ascii="Calibri" w:hAnsi="Calibri" w:cs="Calibri"/>
          <w:szCs w:val="24"/>
        </w:rPr>
        <w:t>significant redesign</w:t>
      </w:r>
      <w:r>
        <w:rPr>
          <w:rFonts w:ascii="Calibri" w:hAnsi="Calibri" w:cs="Calibri"/>
          <w:szCs w:val="24"/>
        </w:rPr>
        <w:t>/</w:t>
      </w:r>
      <w:r w:rsidRPr="00073E66">
        <w:rPr>
          <w:rFonts w:ascii="Calibri" w:hAnsi="Calibri" w:cs="Calibri"/>
          <w:szCs w:val="24"/>
        </w:rPr>
        <w:t xml:space="preserve">amalgamation which would be resource intensive </w:t>
      </w:r>
      <w:r>
        <w:rPr>
          <w:rFonts w:ascii="Calibri" w:hAnsi="Calibri" w:cs="Calibri"/>
          <w:szCs w:val="24"/>
        </w:rPr>
        <w:t xml:space="preserve">and impact our ability to deliver core objectives. </w:t>
      </w:r>
    </w:p>
    <w:p w14:paraId="7CFCB7FC" w14:textId="77777777" w:rsidR="00D87D9C" w:rsidRDefault="00D87D9C" w:rsidP="00361A92">
      <w:pPr>
        <w:spacing w:after="0" w:line="240" w:lineRule="auto"/>
        <w:rPr>
          <w:rFonts w:cstheme="minorHAnsi"/>
          <w:b/>
          <w:bCs/>
          <w:szCs w:val="24"/>
        </w:rPr>
      </w:pPr>
    </w:p>
    <w:p w14:paraId="74F47F17" w14:textId="56888F5F" w:rsidR="000D0EBF" w:rsidRPr="00B07ACE" w:rsidRDefault="00D87D9C" w:rsidP="00B07ACE">
      <w:pPr>
        <w:pStyle w:val="Heading3"/>
        <w:rPr>
          <w:rFonts w:ascii="Calibri" w:hAnsi="Calibri" w:cs="Calibri"/>
        </w:rPr>
      </w:pPr>
      <w:r>
        <w:t xml:space="preserve">Analysis </w:t>
      </w:r>
    </w:p>
    <w:p w14:paraId="6E3CF9B7" w14:textId="77777777" w:rsidR="00B07ACE" w:rsidRPr="00B07ACE" w:rsidRDefault="000D0EBF" w:rsidP="000D0EBF">
      <w:pPr>
        <w:pStyle w:val="ListParagraph"/>
        <w:numPr>
          <w:ilvl w:val="0"/>
          <w:numId w:val="39"/>
        </w:numPr>
        <w:spacing w:after="0" w:line="240" w:lineRule="auto"/>
        <w:rPr>
          <w:szCs w:val="24"/>
        </w:rPr>
      </w:pPr>
      <w:r w:rsidRPr="00B07ACE">
        <w:rPr>
          <w:rFonts w:cstheme="minorHAnsi"/>
          <w:szCs w:val="24"/>
        </w:rPr>
        <w:t xml:space="preserve">This section </w:t>
      </w:r>
      <w:r w:rsidR="00AD4E59" w:rsidRPr="00B07ACE">
        <w:rPr>
          <w:rFonts w:cstheme="minorHAnsi"/>
          <w:szCs w:val="24"/>
        </w:rPr>
        <w:t>considers</w:t>
      </w:r>
      <w:r w:rsidR="006A7F5B" w:rsidRPr="00B07ACE">
        <w:rPr>
          <w:rFonts w:cstheme="minorHAnsi"/>
          <w:szCs w:val="24"/>
        </w:rPr>
        <w:t xml:space="preserve"> how the risk themes above link to current corporate risks. </w:t>
      </w:r>
    </w:p>
    <w:p w14:paraId="4D291B38" w14:textId="77777777" w:rsidR="00B07ACE" w:rsidRPr="00B07ACE" w:rsidRDefault="00B07ACE" w:rsidP="00B07ACE">
      <w:pPr>
        <w:pStyle w:val="ListParagraph"/>
        <w:spacing w:after="0" w:line="240" w:lineRule="auto"/>
        <w:ind w:left="360"/>
        <w:rPr>
          <w:szCs w:val="24"/>
        </w:rPr>
      </w:pPr>
    </w:p>
    <w:p w14:paraId="2D3E588D" w14:textId="3444C43D" w:rsidR="000D0EBF" w:rsidRPr="00B07ACE" w:rsidRDefault="00B824D2" w:rsidP="000D0EBF">
      <w:pPr>
        <w:pStyle w:val="ListParagraph"/>
        <w:numPr>
          <w:ilvl w:val="0"/>
          <w:numId w:val="39"/>
        </w:numPr>
        <w:spacing w:after="0" w:line="240" w:lineRule="auto"/>
        <w:rPr>
          <w:szCs w:val="24"/>
        </w:rPr>
      </w:pPr>
      <w:r w:rsidRPr="00B07ACE">
        <w:rPr>
          <w:rFonts w:ascii="Calibri" w:hAnsi="Calibri" w:cs="Calibri"/>
          <w:szCs w:val="24"/>
        </w:rPr>
        <w:t xml:space="preserve">The </w:t>
      </w:r>
      <w:r w:rsidR="00194AE2" w:rsidRPr="00B07ACE">
        <w:rPr>
          <w:rFonts w:ascii="Calibri" w:hAnsi="Calibri" w:cs="Calibri"/>
          <w:szCs w:val="24"/>
        </w:rPr>
        <w:t xml:space="preserve">first </w:t>
      </w:r>
      <w:r w:rsidRPr="00B07ACE">
        <w:rPr>
          <w:rFonts w:ascii="Calibri" w:hAnsi="Calibri" w:cs="Calibri"/>
          <w:szCs w:val="24"/>
        </w:rPr>
        <w:t xml:space="preserve">three </w:t>
      </w:r>
      <w:r w:rsidR="00045ECA" w:rsidRPr="00B07ACE">
        <w:rPr>
          <w:rFonts w:ascii="Calibri" w:hAnsi="Calibri" w:cs="Calibri"/>
          <w:szCs w:val="24"/>
        </w:rPr>
        <w:t xml:space="preserve">themes </w:t>
      </w:r>
      <w:r w:rsidR="00F46530" w:rsidRPr="00B07ACE">
        <w:rPr>
          <w:rFonts w:ascii="Calibri" w:hAnsi="Calibri" w:cs="Calibri"/>
          <w:szCs w:val="24"/>
        </w:rPr>
        <w:t>all</w:t>
      </w:r>
      <w:r w:rsidR="00773A4B" w:rsidRPr="00B07ACE">
        <w:rPr>
          <w:rFonts w:ascii="Calibri" w:hAnsi="Calibri" w:cs="Calibri"/>
          <w:szCs w:val="24"/>
        </w:rPr>
        <w:t xml:space="preserve"> reflect </w:t>
      </w:r>
      <w:r w:rsidR="000D0EBF" w:rsidRPr="00B07ACE">
        <w:rPr>
          <w:rFonts w:ascii="Calibri" w:hAnsi="Calibri" w:cs="Calibri"/>
          <w:szCs w:val="24"/>
        </w:rPr>
        <w:t xml:space="preserve">external influences and </w:t>
      </w:r>
      <w:r w:rsidR="00F46530" w:rsidRPr="00B07ACE">
        <w:rPr>
          <w:rFonts w:ascii="Calibri" w:hAnsi="Calibri" w:cs="Calibri"/>
          <w:szCs w:val="24"/>
        </w:rPr>
        <w:t xml:space="preserve">a context of greater </w:t>
      </w:r>
      <w:r w:rsidR="00773A4B" w:rsidRPr="00B07ACE">
        <w:rPr>
          <w:rFonts w:ascii="Calibri" w:hAnsi="Calibri" w:cs="Calibri"/>
          <w:szCs w:val="24"/>
        </w:rPr>
        <w:t xml:space="preserve">challenge and polarisation. </w:t>
      </w:r>
    </w:p>
    <w:p w14:paraId="3F728E01" w14:textId="77777777" w:rsidR="000D0EBF" w:rsidRPr="000E0398" w:rsidRDefault="000D0EBF" w:rsidP="000D0EBF">
      <w:pPr>
        <w:spacing w:after="0"/>
        <w:rPr>
          <w:rFonts w:ascii="Calibri" w:hAnsi="Calibri" w:cs="Calibri"/>
          <w:sz w:val="12"/>
          <w:szCs w:val="12"/>
        </w:rPr>
      </w:pPr>
    </w:p>
    <w:p w14:paraId="62FEB76A" w14:textId="3FE66FF4" w:rsidR="000D0EBF" w:rsidRPr="00F16570" w:rsidRDefault="000D0EBF" w:rsidP="000E0398">
      <w:pPr>
        <w:pStyle w:val="ListParagraph"/>
        <w:numPr>
          <w:ilvl w:val="0"/>
          <w:numId w:val="26"/>
        </w:numPr>
        <w:spacing w:after="0"/>
        <w:rPr>
          <w:rFonts w:ascii="Calibri" w:hAnsi="Calibri" w:cs="Calibri"/>
          <w:b/>
          <w:bCs/>
          <w:szCs w:val="24"/>
        </w:rPr>
      </w:pPr>
      <w:r w:rsidRPr="00F16570">
        <w:rPr>
          <w:rFonts w:ascii="Calibri" w:hAnsi="Calibri" w:cs="Calibri"/>
          <w:szCs w:val="24"/>
        </w:rPr>
        <w:t>Growth/economic agenda</w:t>
      </w:r>
    </w:p>
    <w:p w14:paraId="60CF46EE" w14:textId="0661BDEF" w:rsidR="000D0EBF" w:rsidRPr="00773A4B" w:rsidRDefault="000D0EBF" w:rsidP="002327D3">
      <w:pPr>
        <w:pStyle w:val="ListParagraph"/>
        <w:numPr>
          <w:ilvl w:val="0"/>
          <w:numId w:val="26"/>
        </w:numPr>
        <w:spacing w:after="0"/>
        <w:rPr>
          <w:rFonts w:ascii="Calibri" w:hAnsi="Calibri" w:cs="Calibri"/>
          <w:b/>
          <w:bCs/>
          <w:szCs w:val="24"/>
        </w:rPr>
      </w:pPr>
      <w:r w:rsidRPr="00773A4B">
        <w:rPr>
          <w:rFonts w:ascii="Calibri" w:hAnsi="Calibri" w:cs="Calibri"/>
          <w:szCs w:val="24"/>
        </w:rPr>
        <w:t>Polarisation of stakeholders</w:t>
      </w:r>
    </w:p>
    <w:p w14:paraId="0AE1081C" w14:textId="6EC02894" w:rsidR="000D0EBF" w:rsidRPr="00773A4B" w:rsidRDefault="000D0EBF" w:rsidP="002327D3">
      <w:pPr>
        <w:pStyle w:val="ListParagraph"/>
        <w:numPr>
          <w:ilvl w:val="0"/>
          <w:numId w:val="26"/>
        </w:numPr>
        <w:spacing w:after="0"/>
        <w:rPr>
          <w:rFonts w:ascii="Calibri" w:hAnsi="Calibri" w:cs="Calibri"/>
          <w:b/>
          <w:bCs/>
          <w:szCs w:val="24"/>
        </w:rPr>
      </w:pPr>
      <w:r w:rsidRPr="00773A4B">
        <w:rPr>
          <w:rFonts w:ascii="Calibri" w:hAnsi="Calibri" w:cs="Calibri"/>
          <w:szCs w:val="24"/>
        </w:rPr>
        <w:t>Misinformation/ disinformation/societal discord</w:t>
      </w:r>
    </w:p>
    <w:p w14:paraId="4CE044E1" w14:textId="77777777" w:rsidR="000D0EBF" w:rsidRPr="00B07ACE" w:rsidRDefault="000D0EBF" w:rsidP="000D0EBF">
      <w:pPr>
        <w:spacing w:after="0"/>
        <w:rPr>
          <w:rFonts w:ascii="Calibri" w:hAnsi="Calibri" w:cs="Calibri"/>
          <w:szCs w:val="24"/>
        </w:rPr>
      </w:pPr>
    </w:p>
    <w:p w14:paraId="0B737A36" w14:textId="77777777" w:rsidR="00B07ACE" w:rsidRPr="00B07ACE" w:rsidRDefault="00F46530" w:rsidP="00B07ACE">
      <w:pPr>
        <w:pStyle w:val="ListParagraph"/>
        <w:numPr>
          <w:ilvl w:val="0"/>
          <w:numId w:val="39"/>
        </w:numPr>
        <w:rPr>
          <w:szCs w:val="24"/>
        </w:rPr>
      </w:pPr>
      <w:r w:rsidRPr="00B07ACE">
        <w:rPr>
          <w:rFonts w:ascii="Calibri" w:hAnsi="Calibri" w:cs="Calibri"/>
          <w:szCs w:val="24"/>
        </w:rPr>
        <w:t>This is not currently included on the corporate risk register but most closely links to Risk 646: Weakened Reputation</w:t>
      </w:r>
      <w:r w:rsidR="006A7F5B" w:rsidRPr="00B07ACE">
        <w:rPr>
          <w:rFonts w:ascii="Calibri" w:hAnsi="Calibri" w:cs="Calibri"/>
          <w:szCs w:val="24"/>
        </w:rPr>
        <w:t xml:space="preserve">. </w:t>
      </w:r>
      <w:r w:rsidR="002C4E7E" w:rsidRPr="00B07ACE">
        <w:rPr>
          <w:rFonts w:ascii="Calibri" w:hAnsi="Calibri" w:cs="Calibri"/>
          <w:szCs w:val="24"/>
        </w:rPr>
        <w:t xml:space="preserve">Other </w:t>
      </w:r>
      <w:r w:rsidR="00A4239D" w:rsidRPr="00B07ACE">
        <w:rPr>
          <w:rFonts w:ascii="Calibri" w:hAnsi="Calibri" w:cs="Calibri"/>
          <w:szCs w:val="24"/>
        </w:rPr>
        <w:t>nature-based</w:t>
      </w:r>
      <w:r w:rsidR="002C4E7E" w:rsidRPr="00B07ACE">
        <w:rPr>
          <w:rFonts w:ascii="Calibri" w:hAnsi="Calibri" w:cs="Calibri"/>
          <w:szCs w:val="24"/>
        </w:rPr>
        <w:t xml:space="preserve"> agencies </w:t>
      </w:r>
      <w:r w:rsidR="00221102" w:rsidRPr="00B07ACE">
        <w:rPr>
          <w:rFonts w:ascii="Calibri" w:hAnsi="Calibri" w:cs="Calibri"/>
          <w:szCs w:val="24"/>
        </w:rPr>
        <w:t xml:space="preserve">have identified </w:t>
      </w:r>
      <w:r w:rsidR="001916CD" w:rsidRPr="00B07ACE">
        <w:rPr>
          <w:rFonts w:ascii="Calibri" w:hAnsi="Calibri" w:cs="Calibri"/>
          <w:szCs w:val="24"/>
        </w:rPr>
        <w:t xml:space="preserve">similar </w:t>
      </w:r>
      <w:r w:rsidR="00221102" w:rsidRPr="00B07ACE">
        <w:rPr>
          <w:rFonts w:ascii="Calibri" w:hAnsi="Calibri" w:cs="Calibri"/>
          <w:szCs w:val="24"/>
        </w:rPr>
        <w:t>strategic risk</w:t>
      </w:r>
      <w:r w:rsidR="001916CD" w:rsidRPr="00B07ACE">
        <w:rPr>
          <w:rFonts w:ascii="Calibri" w:hAnsi="Calibri" w:cs="Calibri"/>
          <w:szCs w:val="24"/>
        </w:rPr>
        <w:t>s</w:t>
      </w:r>
      <w:r w:rsidR="00221102" w:rsidRPr="00B07ACE">
        <w:rPr>
          <w:rFonts w:ascii="Calibri" w:hAnsi="Calibri" w:cs="Calibri"/>
          <w:szCs w:val="24"/>
        </w:rPr>
        <w:t xml:space="preserve">. </w:t>
      </w:r>
      <w:r w:rsidR="002C4E7E" w:rsidRPr="00B07ACE">
        <w:rPr>
          <w:rFonts w:ascii="Calibri" w:hAnsi="Calibri" w:cs="Calibri"/>
          <w:szCs w:val="24"/>
        </w:rPr>
        <w:t xml:space="preserve">Natural Resources Wales position this in terms of strategic aims </w:t>
      </w:r>
      <w:r w:rsidR="006A7F5B" w:rsidRPr="00B07ACE">
        <w:rPr>
          <w:rFonts w:ascii="Calibri" w:hAnsi="Calibri" w:cs="Calibri"/>
          <w:szCs w:val="24"/>
        </w:rPr>
        <w:t xml:space="preserve">being </w:t>
      </w:r>
      <w:r w:rsidR="002C4E7E" w:rsidRPr="00B07ACE">
        <w:rPr>
          <w:rFonts w:ascii="Calibri" w:hAnsi="Calibri" w:cs="Calibri"/>
          <w:szCs w:val="24"/>
        </w:rPr>
        <w:t>relevant to stakeholders and communities</w:t>
      </w:r>
      <w:r w:rsidR="00194AE2" w:rsidRPr="00B07ACE">
        <w:rPr>
          <w:rFonts w:ascii="Calibri" w:hAnsi="Calibri" w:cs="Calibri"/>
          <w:szCs w:val="24"/>
        </w:rPr>
        <w:t xml:space="preserve">. </w:t>
      </w:r>
      <w:r w:rsidR="002C4E7E" w:rsidRPr="00B07ACE">
        <w:rPr>
          <w:rFonts w:ascii="Calibri" w:hAnsi="Calibri" w:cs="Calibri"/>
          <w:szCs w:val="24"/>
        </w:rPr>
        <w:t>Natur</w:t>
      </w:r>
      <w:r w:rsidR="00A4239D" w:rsidRPr="00B07ACE">
        <w:rPr>
          <w:rFonts w:ascii="Calibri" w:hAnsi="Calibri" w:cs="Calibri"/>
          <w:szCs w:val="24"/>
        </w:rPr>
        <w:t>al</w:t>
      </w:r>
      <w:r w:rsidR="002C4E7E" w:rsidRPr="00B07ACE">
        <w:rPr>
          <w:rFonts w:ascii="Calibri" w:hAnsi="Calibri" w:cs="Calibri"/>
          <w:szCs w:val="24"/>
        </w:rPr>
        <w:t xml:space="preserve"> England adopts a different geopolitical perspective. </w:t>
      </w:r>
      <w:r w:rsidR="00BE6AC0" w:rsidRPr="00B07ACE">
        <w:rPr>
          <w:rFonts w:ascii="Calibri" w:hAnsi="Calibri" w:cs="Calibri"/>
          <w:szCs w:val="24"/>
        </w:rPr>
        <w:t>T</w:t>
      </w:r>
      <w:r w:rsidRPr="00B07ACE">
        <w:rPr>
          <w:rFonts w:ascii="Calibri" w:hAnsi="Calibri" w:cs="Calibri"/>
          <w:szCs w:val="24"/>
        </w:rPr>
        <w:t xml:space="preserve">his has been </w:t>
      </w:r>
      <w:r w:rsidR="00031F6F" w:rsidRPr="00B07ACE">
        <w:rPr>
          <w:rFonts w:ascii="Calibri" w:hAnsi="Calibri" w:cs="Calibri"/>
          <w:szCs w:val="24"/>
        </w:rPr>
        <w:t xml:space="preserve">regularly </w:t>
      </w:r>
      <w:r w:rsidR="00BE6AC0" w:rsidRPr="00B07ACE">
        <w:rPr>
          <w:rFonts w:ascii="Calibri" w:hAnsi="Calibri" w:cs="Calibri"/>
          <w:szCs w:val="24"/>
        </w:rPr>
        <w:t xml:space="preserve">discussed </w:t>
      </w:r>
      <w:r w:rsidRPr="00B07ACE">
        <w:rPr>
          <w:rFonts w:ascii="Calibri" w:hAnsi="Calibri" w:cs="Calibri"/>
          <w:szCs w:val="24"/>
        </w:rPr>
        <w:t xml:space="preserve">at monthly </w:t>
      </w:r>
      <w:r w:rsidR="00B07ACE">
        <w:rPr>
          <w:rFonts w:ascii="Calibri" w:hAnsi="Calibri" w:cs="Calibri"/>
          <w:szCs w:val="24"/>
        </w:rPr>
        <w:t xml:space="preserve">Senior Leadership Team (SLT) </w:t>
      </w:r>
      <w:r w:rsidR="00AF54C4" w:rsidRPr="00B07ACE">
        <w:rPr>
          <w:rFonts w:ascii="Calibri" w:hAnsi="Calibri" w:cs="Calibri"/>
          <w:szCs w:val="24"/>
        </w:rPr>
        <w:t xml:space="preserve">risk </w:t>
      </w:r>
      <w:r w:rsidR="00A4239D" w:rsidRPr="00B07ACE">
        <w:rPr>
          <w:rFonts w:ascii="Calibri" w:hAnsi="Calibri" w:cs="Calibri"/>
          <w:szCs w:val="24"/>
        </w:rPr>
        <w:t>reviews,</w:t>
      </w:r>
      <w:r w:rsidR="00BE6AC0" w:rsidRPr="00B07ACE">
        <w:rPr>
          <w:rFonts w:ascii="Calibri" w:hAnsi="Calibri" w:cs="Calibri"/>
          <w:szCs w:val="24"/>
        </w:rPr>
        <w:t xml:space="preserve"> and</w:t>
      </w:r>
      <w:r w:rsidRPr="00B07ACE">
        <w:rPr>
          <w:rFonts w:ascii="Calibri" w:hAnsi="Calibri" w:cs="Calibri"/>
          <w:szCs w:val="24"/>
        </w:rPr>
        <w:t xml:space="preserve"> </w:t>
      </w:r>
      <w:r w:rsidR="00857CD7" w:rsidRPr="00B07ACE">
        <w:rPr>
          <w:rFonts w:ascii="Calibri" w:hAnsi="Calibri" w:cs="Calibri"/>
          <w:szCs w:val="24"/>
        </w:rPr>
        <w:t xml:space="preserve">the </w:t>
      </w:r>
      <w:r w:rsidR="00231F4D" w:rsidRPr="00B07ACE">
        <w:rPr>
          <w:rFonts w:ascii="Calibri" w:hAnsi="Calibri" w:cs="Calibri"/>
          <w:szCs w:val="24"/>
        </w:rPr>
        <w:t xml:space="preserve">current preference </w:t>
      </w:r>
      <w:r w:rsidR="00FE59C5" w:rsidRPr="00B07ACE">
        <w:rPr>
          <w:rFonts w:ascii="Calibri" w:hAnsi="Calibri" w:cs="Calibri"/>
          <w:szCs w:val="24"/>
        </w:rPr>
        <w:t>is to</w:t>
      </w:r>
      <w:r w:rsidR="00AF54C4" w:rsidRPr="00B07ACE">
        <w:rPr>
          <w:rFonts w:ascii="Calibri" w:hAnsi="Calibri" w:cs="Calibri"/>
          <w:szCs w:val="24"/>
        </w:rPr>
        <w:t xml:space="preserve"> </w:t>
      </w:r>
      <w:r w:rsidR="00DE2B11" w:rsidRPr="00B07ACE">
        <w:rPr>
          <w:rFonts w:ascii="Calibri" w:hAnsi="Calibri" w:cs="Calibri"/>
          <w:szCs w:val="24"/>
        </w:rPr>
        <w:t xml:space="preserve">apply </w:t>
      </w:r>
      <w:r w:rsidR="00AF54C4" w:rsidRPr="00B07ACE">
        <w:rPr>
          <w:rFonts w:ascii="Calibri" w:hAnsi="Calibri" w:cs="Calibri"/>
          <w:szCs w:val="24"/>
        </w:rPr>
        <w:t xml:space="preserve">PESTLE analysis </w:t>
      </w:r>
      <w:r w:rsidR="00DE2B11" w:rsidRPr="00B07ACE">
        <w:rPr>
          <w:rFonts w:ascii="Calibri" w:hAnsi="Calibri" w:cs="Calibri"/>
          <w:szCs w:val="24"/>
        </w:rPr>
        <w:t>within existing risks r</w:t>
      </w:r>
      <w:r w:rsidR="00AF54C4" w:rsidRPr="00B07ACE">
        <w:rPr>
          <w:rFonts w:ascii="Calibri" w:hAnsi="Calibri" w:cs="Calibri"/>
          <w:szCs w:val="24"/>
        </w:rPr>
        <w:t xml:space="preserve">ather than </w:t>
      </w:r>
      <w:r w:rsidR="00DE2B11" w:rsidRPr="00B07ACE">
        <w:rPr>
          <w:rFonts w:ascii="Calibri" w:hAnsi="Calibri" w:cs="Calibri"/>
          <w:szCs w:val="24"/>
        </w:rPr>
        <w:t>create</w:t>
      </w:r>
      <w:r w:rsidR="00AF54C4" w:rsidRPr="00B07ACE">
        <w:rPr>
          <w:rFonts w:ascii="Calibri" w:hAnsi="Calibri" w:cs="Calibri"/>
          <w:szCs w:val="24"/>
        </w:rPr>
        <w:t xml:space="preserve"> a </w:t>
      </w:r>
      <w:r w:rsidR="00DE2B11" w:rsidRPr="00B07ACE">
        <w:rPr>
          <w:rFonts w:ascii="Calibri" w:hAnsi="Calibri" w:cs="Calibri"/>
          <w:szCs w:val="24"/>
        </w:rPr>
        <w:t xml:space="preserve">separate </w:t>
      </w:r>
      <w:r w:rsidR="00AF54C4" w:rsidRPr="00B07ACE">
        <w:rPr>
          <w:rFonts w:ascii="Calibri" w:hAnsi="Calibri" w:cs="Calibri"/>
          <w:szCs w:val="24"/>
        </w:rPr>
        <w:t>risk</w:t>
      </w:r>
      <w:r w:rsidR="00857CD7" w:rsidRPr="00B07ACE">
        <w:rPr>
          <w:rFonts w:ascii="Calibri" w:hAnsi="Calibri" w:cs="Calibri"/>
          <w:szCs w:val="24"/>
        </w:rPr>
        <w:t>.</w:t>
      </w:r>
    </w:p>
    <w:p w14:paraId="4D65C8EA" w14:textId="77777777" w:rsidR="00B07ACE" w:rsidRPr="00B07ACE" w:rsidRDefault="00B07ACE" w:rsidP="00B07ACE">
      <w:pPr>
        <w:pStyle w:val="ListParagraph"/>
        <w:ind w:left="360"/>
        <w:rPr>
          <w:szCs w:val="24"/>
        </w:rPr>
      </w:pPr>
    </w:p>
    <w:p w14:paraId="38BD366B" w14:textId="68242329" w:rsidR="002327D3" w:rsidRPr="00B07ACE" w:rsidRDefault="002327D3" w:rsidP="00B07ACE">
      <w:pPr>
        <w:pStyle w:val="ListParagraph"/>
        <w:numPr>
          <w:ilvl w:val="0"/>
          <w:numId w:val="39"/>
        </w:numPr>
        <w:rPr>
          <w:szCs w:val="24"/>
        </w:rPr>
      </w:pPr>
      <w:r w:rsidRPr="00B07ACE">
        <w:rPr>
          <w:rFonts w:ascii="Calibri" w:hAnsi="Calibri" w:cs="Calibri"/>
          <w:szCs w:val="24"/>
        </w:rPr>
        <w:lastRenderedPageBreak/>
        <w:t xml:space="preserve">Two </w:t>
      </w:r>
      <w:r w:rsidR="00CB3859" w:rsidRPr="00B07ACE">
        <w:rPr>
          <w:rFonts w:ascii="Calibri" w:hAnsi="Calibri" w:cs="Calibri"/>
          <w:szCs w:val="24"/>
        </w:rPr>
        <w:t xml:space="preserve">themes highlight competing </w:t>
      </w:r>
      <w:r w:rsidRPr="00B07ACE">
        <w:rPr>
          <w:rFonts w:ascii="Calibri" w:hAnsi="Calibri" w:cs="Calibri"/>
          <w:szCs w:val="24"/>
        </w:rPr>
        <w:t xml:space="preserve">stakeholder </w:t>
      </w:r>
      <w:r w:rsidR="00CB3859" w:rsidRPr="00B07ACE">
        <w:rPr>
          <w:rFonts w:ascii="Calibri" w:hAnsi="Calibri" w:cs="Calibri"/>
          <w:szCs w:val="24"/>
        </w:rPr>
        <w:t>perspectives</w:t>
      </w:r>
      <w:r w:rsidRPr="00B07ACE">
        <w:rPr>
          <w:rFonts w:ascii="Calibri" w:hAnsi="Calibri" w:cs="Calibri"/>
          <w:szCs w:val="24"/>
        </w:rPr>
        <w:t xml:space="preserve">, as well as </w:t>
      </w:r>
      <w:r w:rsidR="004659A4" w:rsidRPr="00B07ACE">
        <w:rPr>
          <w:rFonts w:ascii="Calibri" w:hAnsi="Calibri" w:cs="Calibri"/>
          <w:szCs w:val="24"/>
        </w:rPr>
        <w:t xml:space="preserve">multiple external factors which can prevent a bill becoming law </w:t>
      </w:r>
      <w:r w:rsidR="00CB3859" w:rsidRPr="00B07ACE">
        <w:rPr>
          <w:rFonts w:ascii="Calibri" w:hAnsi="Calibri" w:cs="Calibri"/>
          <w:szCs w:val="24"/>
        </w:rPr>
        <w:t>in its intended form</w:t>
      </w:r>
      <w:r w:rsidR="00B35170" w:rsidRPr="00B07ACE">
        <w:rPr>
          <w:rFonts w:ascii="Calibri" w:hAnsi="Calibri" w:cs="Calibri"/>
          <w:szCs w:val="24"/>
        </w:rPr>
        <w:t xml:space="preserve">. </w:t>
      </w:r>
    </w:p>
    <w:p w14:paraId="517AF911" w14:textId="0F90F083" w:rsidR="002327D3" w:rsidRPr="00F16570" w:rsidRDefault="002327D3" w:rsidP="00B07ACE">
      <w:pPr>
        <w:pStyle w:val="ListParagraph"/>
        <w:numPr>
          <w:ilvl w:val="0"/>
          <w:numId w:val="34"/>
        </w:numPr>
        <w:spacing w:after="0"/>
        <w:rPr>
          <w:rFonts w:ascii="Calibri" w:hAnsi="Calibri" w:cs="Calibri"/>
          <w:b/>
          <w:bCs/>
          <w:szCs w:val="24"/>
        </w:rPr>
      </w:pPr>
      <w:r w:rsidRPr="00F16570">
        <w:rPr>
          <w:rFonts w:ascii="Calibri" w:hAnsi="Calibri" w:cs="Calibri"/>
          <w:szCs w:val="24"/>
        </w:rPr>
        <w:t>Limitations of regulation</w:t>
      </w:r>
    </w:p>
    <w:p w14:paraId="75B1EFD8" w14:textId="46678C8F" w:rsidR="002327D3" w:rsidRDefault="002327D3" w:rsidP="00B07ACE">
      <w:pPr>
        <w:pStyle w:val="ListParagraph"/>
        <w:numPr>
          <w:ilvl w:val="0"/>
          <w:numId w:val="29"/>
        </w:numPr>
        <w:spacing w:after="0"/>
        <w:rPr>
          <w:rFonts w:ascii="Calibri" w:hAnsi="Calibri" w:cs="Calibri"/>
          <w:szCs w:val="24"/>
        </w:rPr>
      </w:pPr>
      <w:r w:rsidRPr="001916CD">
        <w:rPr>
          <w:rFonts w:ascii="Calibri" w:hAnsi="Calibri" w:cs="Calibri"/>
          <w:szCs w:val="24"/>
        </w:rPr>
        <w:t>Economic context shifts/supply chain changes</w:t>
      </w:r>
    </w:p>
    <w:p w14:paraId="5A3C4696" w14:textId="77777777" w:rsidR="002327D3" w:rsidRPr="00B07ACE" w:rsidRDefault="002327D3" w:rsidP="00B07ACE">
      <w:pPr>
        <w:pStyle w:val="ListParagraph"/>
        <w:spacing w:after="0"/>
        <w:rPr>
          <w:rFonts w:ascii="Calibri" w:hAnsi="Calibri" w:cs="Calibri"/>
          <w:szCs w:val="24"/>
        </w:rPr>
      </w:pPr>
    </w:p>
    <w:p w14:paraId="2AA23049" w14:textId="77777777" w:rsidR="00B07ACE" w:rsidRDefault="00857CD7" w:rsidP="00F16570">
      <w:pPr>
        <w:pStyle w:val="ListParagraph"/>
        <w:numPr>
          <w:ilvl w:val="0"/>
          <w:numId w:val="39"/>
        </w:numPr>
        <w:spacing w:after="0"/>
        <w:rPr>
          <w:rFonts w:ascii="Calibri" w:hAnsi="Calibri" w:cs="Calibri"/>
          <w:szCs w:val="24"/>
        </w:rPr>
      </w:pPr>
      <w:r w:rsidRPr="00B07ACE">
        <w:rPr>
          <w:rFonts w:ascii="Calibri" w:hAnsi="Calibri" w:cs="Calibri"/>
          <w:szCs w:val="24"/>
        </w:rPr>
        <w:t xml:space="preserve">This is not currently on the </w:t>
      </w:r>
      <w:r w:rsidR="004659A4" w:rsidRPr="00B07ACE">
        <w:rPr>
          <w:rFonts w:ascii="Calibri" w:hAnsi="Calibri" w:cs="Calibri"/>
          <w:szCs w:val="24"/>
        </w:rPr>
        <w:t xml:space="preserve">corporate </w:t>
      </w:r>
      <w:r w:rsidRPr="00B07ACE">
        <w:rPr>
          <w:rFonts w:ascii="Calibri" w:hAnsi="Calibri" w:cs="Calibri"/>
          <w:szCs w:val="24"/>
        </w:rPr>
        <w:t xml:space="preserve">risk register but is interconnected to </w:t>
      </w:r>
      <w:r w:rsidR="006E242B" w:rsidRPr="00B07ACE">
        <w:rPr>
          <w:rFonts w:ascii="Calibri" w:hAnsi="Calibri" w:cs="Calibri"/>
          <w:szCs w:val="24"/>
        </w:rPr>
        <w:t>several existing risks</w:t>
      </w:r>
      <w:r w:rsidR="004659A4" w:rsidRPr="00B07ACE">
        <w:rPr>
          <w:rFonts w:ascii="Calibri" w:hAnsi="Calibri" w:cs="Calibri"/>
          <w:szCs w:val="24"/>
        </w:rPr>
        <w:t xml:space="preserve">. </w:t>
      </w:r>
      <w:r w:rsidR="003D205C" w:rsidRPr="00B07ACE">
        <w:rPr>
          <w:rFonts w:ascii="Calibri" w:hAnsi="Calibri" w:cs="Calibri"/>
          <w:szCs w:val="24"/>
        </w:rPr>
        <w:t xml:space="preserve">For example, </w:t>
      </w:r>
      <w:r w:rsidR="006E242B" w:rsidRPr="00B07ACE">
        <w:rPr>
          <w:rFonts w:ascii="Calibri" w:hAnsi="Calibri" w:cs="Calibri"/>
          <w:szCs w:val="24"/>
        </w:rPr>
        <w:t>l</w:t>
      </w:r>
      <w:r w:rsidR="00117E0B" w:rsidRPr="00B07ACE">
        <w:rPr>
          <w:rFonts w:ascii="Calibri" w:hAnsi="Calibri" w:cs="Calibri"/>
          <w:szCs w:val="24"/>
        </w:rPr>
        <w:t xml:space="preserve">egislative </w:t>
      </w:r>
      <w:r w:rsidR="006E242B" w:rsidRPr="00B07ACE">
        <w:rPr>
          <w:rFonts w:ascii="Calibri" w:hAnsi="Calibri" w:cs="Calibri"/>
          <w:szCs w:val="24"/>
        </w:rPr>
        <w:t xml:space="preserve">approaches </w:t>
      </w:r>
      <w:r w:rsidR="003D205C" w:rsidRPr="00B07ACE">
        <w:rPr>
          <w:rFonts w:ascii="Calibri" w:hAnsi="Calibri" w:cs="Calibri"/>
          <w:szCs w:val="24"/>
        </w:rPr>
        <w:t>can</w:t>
      </w:r>
      <w:r w:rsidRPr="00B07ACE">
        <w:rPr>
          <w:rFonts w:ascii="Calibri" w:hAnsi="Calibri" w:cs="Calibri"/>
          <w:szCs w:val="24"/>
        </w:rPr>
        <w:t xml:space="preserve"> provoke </w:t>
      </w:r>
      <w:proofErr w:type="gramStart"/>
      <w:r w:rsidR="004659A4" w:rsidRPr="00B07ACE">
        <w:rPr>
          <w:rFonts w:ascii="Calibri" w:hAnsi="Calibri" w:cs="Calibri"/>
          <w:szCs w:val="24"/>
        </w:rPr>
        <w:t>hostility</w:t>
      </w:r>
      <w:proofErr w:type="gramEnd"/>
      <w:r w:rsidR="004659A4" w:rsidRPr="00B07ACE">
        <w:rPr>
          <w:rFonts w:ascii="Calibri" w:hAnsi="Calibri" w:cs="Calibri"/>
          <w:szCs w:val="24"/>
        </w:rPr>
        <w:t xml:space="preserve"> and </w:t>
      </w:r>
      <w:r w:rsidR="006E242B" w:rsidRPr="00B07ACE">
        <w:rPr>
          <w:rFonts w:ascii="Calibri" w:hAnsi="Calibri" w:cs="Calibri"/>
          <w:szCs w:val="24"/>
        </w:rPr>
        <w:t>challenge</w:t>
      </w:r>
      <w:r w:rsidR="003D205C" w:rsidRPr="00B07ACE">
        <w:rPr>
          <w:rFonts w:ascii="Calibri" w:hAnsi="Calibri" w:cs="Calibri"/>
          <w:szCs w:val="24"/>
        </w:rPr>
        <w:t xml:space="preserve"> so </w:t>
      </w:r>
      <w:r w:rsidR="00A4239D" w:rsidRPr="00B07ACE">
        <w:rPr>
          <w:rFonts w:ascii="Calibri" w:hAnsi="Calibri" w:cs="Calibri"/>
          <w:szCs w:val="24"/>
        </w:rPr>
        <w:t>ha</w:t>
      </w:r>
      <w:r w:rsidR="006A7F5B" w:rsidRPr="00B07ACE">
        <w:rPr>
          <w:rFonts w:ascii="Calibri" w:hAnsi="Calibri" w:cs="Calibri"/>
          <w:szCs w:val="24"/>
        </w:rPr>
        <w:t>s</w:t>
      </w:r>
      <w:r w:rsidR="00A4239D" w:rsidRPr="00B07ACE">
        <w:rPr>
          <w:rFonts w:ascii="Calibri" w:hAnsi="Calibri" w:cs="Calibri"/>
          <w:szCs w:val="24"/>
        </w:rPr>
        <w:t xml:space="preserve"> a </w:t>
      </w:r>
      <w:r w:rsidR="00031F6F" w:rsidRPr="00B07ACE">
        <w:rPr>
          <w:rFonts w:ascii="Calibri" w:hAnsi="Calibri" w:cs="Calibri"/>
          <w:szCs w:val="24"/>
        </w:rPr>
        <w:t>strong association with</w:t>
      </w:r>
      <w:r w:rsidR="003D205C" w:rsidRPr="00B07ACE">
        <w:rPr>
          <w:rFonts w:ascii="Calibri" w:hAnsi="Calibri" w:cs="Calibri"/>
          <w:szCs w:val="24"/>
        </w:rPr>
        <w:t xml:space="preserve"> weakened reputation and legal resilience risks</w:t>
      </w:r>
      <w:r w:rsidR="004659A4" w:rsidRPr="00B07ACE">
        <w:rPr>
          <w:rFonts w:ascii="Calibri" w:hAnsi="Calibri" w:cs="Calibri"/>
          <w:szCs w:val="24"/>
        </w:rPr>
        <w:t>. G</w:t>
      </w:r>
      <w:r w:rsidR="006E242B" w:rsidRPr="00B07ACE">
        <w:rPr>
          <w:rFonts w:ascii="Calibri" w:hAnsi="Calibri" w:cs="Calibri"/>
          <w:szCs w:val="24"/>
        </w:rPr>
        <w:t xml:space="preserve">reater statutory responsibilities </w:t>
      </w:r>
      <w:r w:rsidR="005D4E90" w:rsidRPr="00B07ACE">
        <w:rPr>
          <w:rFonts w:ascii="Calibri" w:hAnsi="Calibri" w:cs="Calibri"/>
          <w:szCs w:val="24"/>
        </w:rPr>
        <w:t xml:space="preserve">also </w:t>
      </w:r>
      <w:r w:rsidR="004659A4" w:rsidRPr="00B07ACE">
        <w:rPr>
          <w:rFonts w:ascii="Calibri" w:hAnsi="Calibri" w:cs="Calibri"/>
          <w:szCs w:val="24"/>
        </w:rPr>
        <w:t xml:space="preserve">impact systems and </w:t>
      </w:r>
      <w:r w:rsidR="005D4E90" w:rsidRPr="00B07ACE">
        <w:rPr>
          <w:rFonts w:ascii="Calibri" w:hAnsi="Calibri" w:cs="Calibri"/>
          <w:szCs w:val="24"/>
        </w:rPr>
        <w:t>people</w:t>
      </w:r>
      <w:r w:rsidR="000D0EBF" w:rsidRPr="00B07ACE">
        <w:rPr>
          <w:rFonts w:ascii="Calibri" w:hAnsi="Calibri" w:cs="Calibri"/>
          <w:szCs w:val="24"/>
        </w:rPr>
        <w:t xml:space="preserve"> so </w:t>
      </w:r>
      <w:r w:rsidR="00AE4747" w:rsidRPr="00B07ACE">
        <w:rPr>
          <w:rFonts w:ascii="Calibri" w:hAnsi="Calibri" w:cs="Calibri"/>
          <w:szCs w:val="24"/>
        </w:rPr>
        <w:t>link</w:t>
      </w:r>
      <w:r w:rsidR="006A7F5B" w:rsidRPr="00B07ACE">
        <w:rPr>
          <w:rFonts w:ascii="Calibri" w:hAnsi="Calibri" w:cs="Calibri"/>
          <w:szCs w:val="24"/>
        </w:rPr>
        <w:t xml:space="preserve"> t</w:t>
      </w:r>
      <w:r w:rsidR="000D0EBF" w:rsidRPr="00B07ACE">
        <w:rPr>
          <w:rFonts w:ascii="Calibri" w:hAnsi="Calibri" w:cs="Calibri"/>
          <w:szCs w:val="24"/>
        </w:rPr>
        <w:t xml:space="preserve">o </w:t>
      </w:r>
      <w:r w:rsidR="005D4E90" w:rsidRPr="00B07ACE">
        <w:rPr>
          <w:rFonts w:ascii="Calibri" w:hAnsi="Calibri" w:cs="Calibri"/>
          <w:szCs w:val="24"/>
        </w:rPr>
        <w:t xml:space="preserve">financial and resource themed risks. </w:t>
      </w:r>
      <w:r w:rsidR="00EA0D97" w:rsidRPr="00B07ACE">
        <w:rPr>
          <w:rFonts w:ascii="Calibri" w:hAnsi="Calibri" w:cs="Calibri"/>
          <w:szCs w:val="24"/>
        </w:rPr>
        <w:t>However, e</w:t>
      </w:r>
      <w:r w:rsidR="00415280" w:rsidRPr="00B07ACE">
        <w:rPr>
          <w:rFonts w:ascii="Calibri" w:hAnsi="Calibri" w:cs="Calibri"/>
          <w:szCs w:val="24"/>
        </w:rPr>
        <w:t>ffectively monitoring</w:t>
      </w:r>
      <w:r w:rsidR="003149C9" w:rsidRPr="00B07ACE">
        <w:rPr>
          <w:rFonts w:ascii="Calibri" w:hAnsi="Calibri" w:cs="Calibri"/>
          <w:szCs w:val="24"/>
        </w:rPr>
        <w:t xml:space="preserve"> any unintended consequences or behaviours</w:t>
      </w:r>
      <w:r w:rsidR="00415280" w:rsidRPr="00B07ACE">
        <w:rPr>
          <w:rFonts w:ascii="Calibri" w:hAnsi="Calibri" w:cs="Calibri"/>
          <w:szCs w:val="24"/>
        </w:rPr>
        <w:t xml:space="preserve"> is likely to require a</w:t>
      </w:r>
      <w:r w:rsidR="00A8439E" w:rsidRPr="00B07ACE">
        <w:rPr>
          <w:rFonts w:ascii="Calibri" w:hAnsi="Calibri" w:cs="Calibri"/>
          <w:szCs w:val="24"/>
        </w:rPr>
        <w:t xml:space="preserve"> suite of underpinning </w:t>
      </w:r>
      <w:r w:rsidR="00415280" w:rsidRPr="00B07ACE">
        <w:rPr>
          <w:rFonts w:ascii="Calibri" w:hAnsi="Calibri" w:cs="Calibri"/>
          <w:szCs w:val="24"/>
        </w:rPr>
        <w:t xml:space="preserve">operational </w:t>
      </w:r>
      <w:r w:rsidR="00A8439E" w:rsidRPr="00B07ACE">
        <w:rPr>
          <w:rFonts w:ascii="Calibri" w:hAnsi="Calibri" w:cs="Calibri"/>
          <w:szCs w:val="24"/>
        </w:rPr>
        <w:t>risks/indicators.</w:t>
      </w:r>
    </w:p>
    <w:p w14:paraId="00C215C3" w14:textId="77777777" w:rsidR="00B07ACE" w:rsidRDefault="00B07ACE" w:rsidP="00B07ACE">
      <w:pPr>
        <w:pStyle w:val="ListParagraph"/>
        <w:spacing w:after="0"/>
        <w:ind w:left="360"/>
        <w:rPr>
          <w:rFonts w:ascii="Calibri" w:hAnsi="Calibri" w:cs="Calibri"/>
          <w:szCs w:val="24"/>
        </w:rPr>
      </w:pPr>
    </w:p>
    <w:p w14:paraId="7982438B" w14:textId="2B233557" w:rsidR="006644A8" w:rsidRPr="00B07ACE" w:rsidRDefault="006644A8" w:rsidP="00F16570">
      <w:pPr>
        <w:pStyle w:val="ListParagraph"/>
        <w:numPr>
          <w:ilvl w:val="0"/>
          <w:numId w:val="39"/>
        </w:numPr>
        <w:spacing w:after="0"/>
        <w:rPr>
          <w:rFonts w:ascii="Calibri" w:hAnsi="Calibri" w:cs="Calibri"/>
          <w:szCs w:val="24"/>
        </w:rPr>
      </w:pPr>
      <w:r w:rsidRPr="00B07ACE">
        <w:rPr>
          <w:rFonts w:ascii="Calibri" w:hAnsi="Calibri" w:cs="Calibri"/>
          <w:szCs w:val="24"/>
        </w:rPr>
        <w:t xml:space="preserve">Two risk themes </w:t>
      </w:r>
      <w:r w:rsidR="006A7F5B" w:rsidRPr="00B07ACE">
        <w:rPr>
          <w:rFonts w:ascii="Calibri" w:hAnsi="Calibri" w:cs="Calibri"/>
          <w:szCs w:val="24"/>
        </w:rPr>
        <w:t xml:space="preserve">highlight potential </w:t>
      </w:r>
      <w:r w:rsidR="006A7BFF" w:rsidRPr="00B07ACE">
        <w:rPr>
          <w:rFonts w:ascii="Calibri" w:hAnsi="Calibri" w:cs="Calibri"/>
          <w:szCs w:val="24"/>
        </w:rPr>
        <w:t>change to the</w:t>
      </w:r>
      <w:r w:rsidR="006A7F5B" w:rsidRPr="00B07ACE">
        <w:rPr>
          <w:rFonts w:ascii="Calibri" w:hAnsi="Calibri" w:cs="Calibri"/>
          <w:szCs w:val="24"/>
        </w:rPr>
        <w:t xml:space="preserve"> </w:t>
      </w:r>
      <w:r w:rsidR="002327D3" w:rsidRPr="00B07ACE">
        <w:rPr>
          <w:rFonts w:ascii="Calibri" w:hAnsi="Calibri" w:cs="Calibri"/>
          <w:szCs w:val="24"/>
        </w:rPr>
        <w:t>organisational remit</w:t>
      </w:r>
      <w:r w:rsidR="006A7F5B" w:rsidRPr="00B07ACE">
        <w:rPr>
          <w:rFonts w:ascii="Calibri" w:hAnsi="Calibri" w:cs="Calibri"/>
          <w:szCs w:val="24"/>
        </w:rPr>
        <w:t xml:space="preserve"> </w:t>
      </w:r>
      <w:r w:rsidR="006A7BFF" w:rsidRPr="00B07ACE">
        <w:rPr>
          <w:rFonts w:ascii="Calibri" w:hAnsi="Calibri" w:cs="Calibri"/>
          <w:szCs w:val="24"/>
        </w:rPr>
        <w:t>during</w:t>
      </w:r>
      <w:r w:rsidR="006A7F5B" w:rsidRPr="00B07ACE">
        <w:rPr>
          <w:rFonts w:ascii="Calibri" w:hAnsi="Calibri" w:cs="Calibri"/>
          <w:szCs w:val="24"/>
        </w:rPr>
        <w:t xml:space="preserve"> the next corporate plan </w:t>
      </w:r>
      <w:r w:rsidR="006A7BFF" w:rsidRPr="00B07ACE">
        <w:rPr>
          <w:rFonts w:ascii="Calibri" w:hAnsi="Calibri" w:cs="Calibri"/>
          <w:szCs w:val="24"/>
        </w:rPr>
        <w:t>period</w:t>
      </w:r>
      <w:r w:rsidR="006A7F5B" w:rsidRPr="00B07ACE">
        <w:rPr>
          <w:rFonts w:ascii="Calibri" w:hAnsi="Calibri" w:cs="Calibri"/>
          <w:szCs w:val="24"/>
        </w:rPr>
        <w:t xml:space="preserve">. </w:t>
      </w:r>
    </w:p>
    <w:p w14:paraId="2A30245B" w14:textId="77777777" w:rsidR="006644A8" w:rsidRDefault="006644A8" w:rsidP="006644A8">
      <w:pPr>
        <w:pStyle w:val="ListParagraph"/>
        <w:numPr>
          <w:ilvl w:val="0"/>
          <w:numId w:val="29"/>
        </w:numPr>
        <w:spacing w:after="0"/>
        <w:rPr>
          <w:rFonts w:ascii="Calibri" w:hAnsi="Calibri" w:cs="Calibri"/>
          <w:szCs w:val="24"/>
        </w:rPr>
      </w:pPr>
      <w:r>
        <w:rPr>
          <w:rFonts w:ascii="Calibri" w:hAnsi="Calibri" w:cs="Calibri"/>
          <w:szCs w:val="24"/>
        </w:rPr>
        <w:t>Public Sector Reform</w:t>
      </w:r>
    </w:p>
    <w:p w14:paraId="13EF78A0" w14:textId="77777777" w:rsidR="006644A8" w:rsidRDefault="006644A8" w:rsidP="006644A8">
      <w:pPr>
        <w:pStyle w:val="ListParagraph"/>
        <w:numPr>
          <w:ilvl w:val="0"/>
          <w:numId w:val="29"/>
        </w:numPr>
        <w:spacing w:after="0"/>
        <w:rPr>
          <w:rFonts w:ascii="Calibri" w:hAnsi="Calibri" w:cs="Calibri"/>
          <w:szCs w:val="24"/>
        </w:rPr>
      </w:pPr>
      <w:r>
        <w:rPr>
          <w:rFonts w:ascii="Calibri" w:hAnsi="Calibri" w:cs="Calibri"/>
          <w:szCs w:val="24"/>
        </w:rPr>
        <w:t>Mission Creep</w:t>
      </w:r>
    </w:p>
    <w:p w14:paraId="1C0848B4" w14:textId="77777777" w:rsidR="006644A8" w:rsidRPr="00B07ACE" w:rsidRDefault="006644A8" w:rsidP="00F16570">
      <w:pPr>
        <w:spacing w:after="0"/>
        <w:rPr>
          <w:rFonts w:cstheme="minorHAnsi"/>
          <w:szCs w:val="24"/>
        </w:rPr>
      </w:pPr>
    </w:p>
    <w:p w14:paraId="25C2B31C" w14:textId="404AA917" w:rsidR="00B07ACE" w:rsidRDefault="006A7BFF" w:rsidP="00B07ACE">
      <w:pPr>
        <w:pStyle w:val="ListParagraph"/>
        <w:numPr>
          <w:ilvl w:val="0"/>
          <w:numId w:val="39"/>
        </w:numPr>
        <w:spacing w:after="0"/>
        <w:rPr>
          <w:rFonts w:cstheme="minorHAnsi"/>
          <w:szCs w:val="24"/>
        </w:rPr>
      </w:pPr>
      <w:r w:rsidRPr="00B07ACE">
        <w:rPr>
          <w:rFonts w:cstheme="minorHAnsi"/>
          <w:szCs w:val="24"/>
        </w:rPr>
        <w:t xml:space="preserve">This </w:t>
      </w:r>
      <w:r w:rsidR="00AE4747" w:rsidRPr="00B07ACE">
        <w:rPr>
          <w:rFonts w:cstheme="minorHAnsi"/>
          <w:szCs w:val="24"/>
        </w:rPr>
        <w:t>could provide opportunities</w:t>
      </w:r>
      <w:r w:rsidR="00B07ACE">
        <w:rPr>
          <w:rFonts w:cstheme="minorHAnsi"/>
          <w:szCs w:val="24"/>
        </w:rPr>
        <w:t>,</w:t>
      </w:r>
      <w:r w:rsidR="005A6A00" w:rsidRPr="00B07ACE">
        <w:rPr>
          <w:rFonts w:cstheme="minorHAnsi"/>
          <w:szCs w:val="24"/>
        </w:rPr>
        <w:t xml:space="preserve"> </w:t>
      </w:r>
      <w:r w:rsidRPr="00B07ACE">
        <w:rPr>
          <w:rFonts w:cstheme="minorHAnsi"/>
          <w:szCs w:val="24"/>
        </w:rPr>
        <w:t xml:space="preserve">whilst </w:t>
      </w:r>
      <w:r w:rsidR="005A6A00" w:rsidRPr="00B07ACE">
        <w:rPr>
          <w:rFonts w:cstheme="minorHAnsi"/>
          <w:szCs w:val="24"/>
        </w:rPr>
        <w:t>t</w:t>
      </w:r>
      <w:r w:rsidR="00B63151" w:rsidRPr="00B07ACE">
        <w:rPr>
          <w:rFonts w:cstheme="minorHAnsi"/>
          <w:szCs w:val="24"/>
        </w:rPr>
        <w:t xml:space="preserve">he </w:t>
      </w:r>
      <w:r w:rsidR="00415280" w:rsidRPr="00B07ACE">
        <w:rPr>
          <w:rFonts w:cstheme="minorHAnsi"/>
          <w:szCs w:val="24"/>
        </w:rPr>
        <w:t>production of a corporate plan</w:t>
      </w:r>
      <w:r w:rsidR="00292CFA" w:rsidRPr="00B07ACE">
        <w:rPr>
          <w:rFonts w:cstheme="minorHAnsi"/>
          <w:szCs w:val="24"/>
        </w:rPr>
        <w:t xml:space="preserve"> should </w:t>
      </w:r>
      <w:r w:rsidR="00B63151" w:rsidRPr="00B07ACE">
        <w:rPr>
          <w:rFonts w:cstheme="minorHAnsi"/>
          <w:szCs w:val="24"/>
        </w:rPr>
        <w:t xml:space="preserve">help provide focus </w:t>
      </w:r>
      <w:r w:rsidR="00D75AFC" w:rsidRPr="00B07ACE">
        <w:rPr>
          <w:rFonts w:cstheme="minorHAnsi"/>
          <w:szCs w:val="24"/>
        </w:rPr>
        <w:t xml:space="preserve">over and above </w:t>
      </w:r>
      <w:r w:rsidR="008B7890" w:rsidRPr="00B07ACE">
        <w:rPr>
          <w:rFonts w:cstheme="minorHAnsi"/>
          <w:szCs w:val="24"/>
        </w:rPr>
        <w:t xml:space="preserve">NatureScot’s </w:t>
      </w:r>
      <w:r w:rsidR="005B5A58" w:rsidRPr="00B07ACE">
        <w:rPr>
          <w:rFonts w:cstheme="minorHAnsi"/>
          <w:szCs w:val="24"/>
        </w:rPr>
        <w:t>F</w:t>
      </w:r>
      <w:r w:rsidR="008B7890" w:rsidRPr="00B07ACE">
        <w:rPr>
          <w:rFonts w:cstheme="minorHAnsi"/>
          <w:szCs w:val="24"/>
        </w:rPr>
        <w:t xml:space="preserve">ramework </w:t>
      </w:r>
      <w:r w:rsidR="005B5A58" w:rsidRPr="00B07ACE">
        <w:rPr>
          <w:rFonts w:cstheme="minorHAnsi"/>
          <w:szCs w:val="24"/>
        </w:rPr>
        <w:t>A</w:t>
      </w:r>
      <w:r w:rsidR="008B7890" w:rsidRPr="00B07ACE">
        <w:rPr>
          <w:rFonts w:cstheme="minorHAnsi"/>
          <w:szCs w:val="24"/>
        </w:rPr>
        <w:t>greement.</w:t>
      </w:r>
      <w:r w:rsidR="00A8439E" w:rsidRPr="00B07ACE">
        <w:rPr>
          <w:rFonts w:cstheme="minorHAnsi"/>
          <w:szCs w:val="24"/>
        </w:rPr>
        <w:t xml:space="preserve"> </w:t>
      </w:r>
      <w:r w:rsidR="003B6BED" w:rsidRPr="00B07ACE">
        <w:rPr>
          <w:rFonts w:cstheme="minorHAnsi"/>
          <w:szCs w:val="24"/>
        </w:rPr>
        <w:t xml:space="preserve">This </w:t>
      </w:r>
      <w:r w:rsidR="00703770" w:rsidRPr="00B07ACE">
        <w:rPr>
          <w:rFonts w:cstheme="minorHAnsi"/>
          <w:szCs w:val="24"/>
        </w:rPr>
        <w:t>is likely to be a</w:t>
      </w:r>
      <w:r w:rsidR="003B6BED" w:rsidRPr="00B07ACE">
        <w:rPr>
          <w:rFonts w:cstheme="minorHAnsi"/>
          <w:szCs w:val="24"/>
        </w:rPr>
        <w:t xml:space="preserve"> </w:t>
      </w:r>
      <w:r w:rsidR="00415280" w:rsidRPr="00B07ACE">
        <w:rPr>
          <w:rFonts w:cstheme="minorHAnsi"/>
          <w:szCs w:val="24"/>
        </w:rPr>
        <w:t xml:space="preserve">dynamic </w:t>
      </w:r>
      <w:r w:rsidR="00703770" w:rsidRPr="00B07ACE">
        <w:rPr>
          <w:rFonts w:cstheme="minorHAnsi"/>
          <w:szCs w:val="24"/>
        </w:rPr>
        <w:t xml:space="preserve">area of risk in the next corporate plan cycle </w:t>
      </w:r>
      <w:r w:rsidR="00415280" w:rsidRPr="00B07ACE">
        <w:rPr>
          <w:rFonts w:cstheme="minorHAnsi"/>
          <w:szCs w:val="24"/>
        </w:rPr>
        <w:t xml:space="preserve">and may be </w:t>
      </w:r>
      <w:r w:rsidR="008B7890" w:rsidRPr="00B07ACE">
        <w:rPr>
          <w:rFonts w:cstheme="minorHAnsi"/>
          <w:szCs w:val="24"/>
        </w:rPr>
        <w:t xml:space="preserve">best </w:t>
      </w:r>
      <w:r w:rsidR="00415280" w:rsidRPr="00B07ACE">
        <w:rPr>
          <w:rFonts w:cstheme="minorHAnsi"/>
          <w:szCs w:val="24"/>
        </w:rPr>
        <w:t xml:space="preserve">captured </w:t>
      </w:r>
      <w:r w:rsidR="00703770" w:rsidRPr="00B07ACE">
        <w:rPr>
          <w:rFonts w:cstheme="minorHAnsi"/>
          <w:szCs w:val="24"/>
        </w:rPr>
        <w:t>against</w:t>
      </w:r>
      <w:r w:rsidR="00415280" w:rsidRPr="00B07ACE">
        <w:rPr>
          <w:rFonts w:cstheme="minorHAnsi"/>
          <w:szCs w:val="24"/>
        </w:rPr>
        <w:t xml:space="preserve"> discrete or unforeseen pieces of work</w:t>
      </w:r>
      <w:r w:rsidR="00E34F9A" w:rsidRPr="00B07ACE">
        <w:rPr>
          <w:rFonts w:cstheme="minorHAnsi"/>
          <w:szCs w:val="24"/>
        </w:rPr>
        <w:t>/changes.</w:t>
      </w:r>
    </w:p>
    <w:p w14:paraId="68DB4DF5" w14:textId="77777777" w:rsidR="00B07ACE" w:rsidRDefault="00B07ACE" w:rsidP="00B07ACE">
      <w:pPr>
        <w:pStyle w:val="ListParagraph"/>
        <w:spacing w:after="0"/>
        <w:ind w:left="360"/>
        <w:rPr>
          <w:rFonts w:cstheme="minorHAnsi"/>
          <w:szCs w:val="24"/>
        </w:rPr>
      </w:pPr>
    </w:p>
    <w:p w14:paraId="752086DD" w14:textId="77777777" w:rsidR="00B07ACE" w:rsidRDefault="00DE2B11" w:rsidP="00B07ACE">
      <w:pPr>
        <w:pStyle w:val="ListParagraph"/>
        <w:numPr>
          <w:ilvl w:val="0"/>
          <w:numId w:val="39"/>
        </w:numPr>
        <w:spacing w:after="0"/>
        <w:rPr>
          <w:rFonts w:cstheme="minorHAnsi"/>
          <w:szCs w:val="24"/>
        </w:rPr>
      </w:pPr>
      <w:r w:rsidRPr="00B07ACE">
        <w:rPr>
          <w:rFonts w:cstheme="minorHAnsi"/>
          <w:szCs w:val="24"/>
        </w:rPr>
        <w:t>Th</w:t>
      </w:r>
      <w:r w:rsidR="006644A8" w:rsidRPr="00B07ACE">
        <w:rPr>
          <w:rFonts w:cstheme="minorHAnsi"/>
          <w:szCs w:val="24"/>
        </w:rPr>
        <w:t xml:space="preserve">e risk of a cyber-attack </w:t>
      </w:r>
      <w:r w:rsidRPr="00B07ACE">
        <w:rPr>
          <w:rFonts w:cstheme="minorHAnsi"/>
          <w:szCs w:val="24"/>
        </w:rPr>
        <w:t xml:space="preserve">is currently </w:t>
      </w:r>
      <w:r w:rsidR="00B259B4" w:rsidRPr="00B07ACE">
        <w:rPr>
          <w:rFonts w:cstheme="minorHAnsi"/>
          <w:szCs w:val="24"/>
        </w:rPr>
        <w:t xml:space="preserve">captured on the corporate risk register </w:t>
      </w:r>
      <w:r w:rsidR="006644A8" w:rsidRPr="00B07ACE">
        <w:rPr>
          <w:rFonts w:cstheme="minorHAnsi"/>
          <w:szCs w:val="24"/>
        </w:rPr>
        <w:t>(</w:t>
      </w:r>
      <w:r w:rsidR="00B259B4" w:rsidRPr="00B07ACE">
        <w:rPr>
          <w:rFonts w:cstheme="minorHAnsi"/>
          <w:szCs w:val="24"/>
        </w:rPr>
        <w:t>47: Compute</w:t>
      </w:r>
      <w:r w:rsidR="003B6BED" w:rsidRPr="00B07ACE">
        <w:rPr>
          <w:rFonts w:cstheme="minorHAnsi"/>
          <w:szCs w:val="24"/>
        </w:rPr>
        <w:t xml:space="preserve">r </w:t>
      </w:r>
      <w:r w:rsidR="00B259B4" w:rsidRPr="00B07ACE">
        <w:rPr>
          <w:rFonts w:cstheme="minorHAnsi"/>
          <w:szCs w:val="24"/>
        </w:rPr>
        <w:t>Virus/Malware</w:t>
      </w:r>
      <w:r w:rsidR="006644A8" w:rsidRPr="00B07ACE">
        <w:rPr>
          <w:rFonts w:cstheme="minorHAnsi"/>
          <w:szCs w:val="24"/>
        </w:rPr>
        <w:t>)</w:t>
      </w:r>
      <w:r w:rsidR="00B259B4" w:rsidRPr="00B07ACE">
        <w:rPr>
          <w:rFonts w:cstheme="minorHAnsi"/>
          <w:szCs w:val="24"/>
        </w:rPr>
        <w:t xml:space="preserve"> and will </w:t>
      </w:r>
      <w:r w:rsidR="00EA0D97" w:rsidRPr="00B07ACE">
        <w:rPr>
          <w:rFonts w:cstheme="minorHAnsi"/>
          <w:szCs w:val="24"/>
        </w:rPr>
        <w:t xml:space="preserve">remain </w:t>
      </w:r>
      <w:r w:rsidR="00B259B4" w:rsidRPr="00B07ACE">
        <w:rPr>
          <w:rFonts w:cstheme="minorHAnsi"/>
          <w:szCs w:val="24"/>
        </w:rPr>
        <w:t xml:space="preserve">a key risk area. </w:t>
      </w:r>
    </w:p>
    <w:p w14:paraId="7BE2B2C9" w14:textId="77777777" w:rsidR="00B07ACE" w:rsidRPr="00B07ACE" w:rsidRDefault="00B07ACE" w:rsidP="00B07ACE">
      <w:pPr>
        <w:pStyle w:val="ListParagraph"/>
        <w:rPr>
          <w:rFonts w:cstheme="minorHAnsi"/>
          <w:szCs w:val="24"/>
        </w:rPr>
      </w:pPr>
    </w:p>
    <w:p w14:paraId="5E3C1480" w14:textId="39B879AC" w:rsidR="00415280" w:rsidRPr="00B07ACE" w:rsidRDefault="00B63151" w:rsidP="00B07ACE">
      <w:pPr>
        <w:pStyle w:val="ListParagraph"/>
        <w:numPr>
          <w:ilvl w:val="0"/>
          <w:numId w:val="39"/>
        </w:numPr>
        <w:spacing w:after="0"/>
        <w:rPr>
          <w:rFonts w:cstheme="minorHAnsi"/>
          <w:szCs w:val="24"/>
        </w:rPr>
      </w:pPr>
      <w:r w:rsidRPr="00B07ACE">
        <w:rPr>
          <w:rFonts w:cstheme="minorHAnsi"/>
          <w:szCs w:val="24"/>
        </w:rPr>
        <w:t xml:space="preserve">Currently, </w:t>
      </w:r>
      <w:r w:rsidR="002327D3" w:rsidRPr="00B07ACE">
        <w:rPr>
          <w:rFonts w:cstheme="minorHAnsi"/>
          <w:szCs w:val="24"/>
        </w:rPr>
        <w:t xml:space="preserve">underperformance over time </w:t>
      </w:r>
      <w:r w:rsidRPr="00B07ACE">
        <w:rPr>
          <w:rFonts w:cstheme="minorHAnsi"/>
          <w:szCs w:val="24"/>
        </w:rPr>
        <w:t>is not on the corporate risk register although</w:t>
      </w:r>
      <w:r w:rsidR="008F424B" w:rsidRPr="00B07ACE">
        <w:rPr>
          <w:rFonts w:cstheme="minorHAnsi"/>
          <w:szCs w:val="24"/>
        </w:rPr>
        <w:t xml:space="preserve"> non-delivery risks have been formulated </w:t>
      </w:r>
      <w:r w:rsidR="003712F1" w:rsidRPr="00B07ACE">
        <w:rPr>
          <w:rFonts w:cstheme="minorHAnsi"/>
          <w:szCs w:val="24"/>
        </w:rPr>
        <w:t xml:space="preserve">against </w:t>
      </w:r>
      <w:r w:rsidR="008F424B" w:rsidRPr="00B07ACE">
        <w:rPr>
          <w:rFonts w:cstheme="minorHAnsi"/>
          <w:szCs w:val="24"/>
        </w:rPr>
        <w:t xml:space="preserve">significant operational </w:t>
      </w:r>
      <w:r w:rsidR="006B2E56" w:rsidRPr="00B07ACE">
        <w:rPr>
          <w:rFonts w:cstheme="minorHAnsi"/>
          <w:szCs w:val="24"/>
        </w:rPr>
        <w:t xml:space="preserve">activities </w:t>
      </w:r>
      <w:r w:rsidR="008F424B" w:rsidRPr="00B07ACE">
        <w:rPr>
          <w:rFonts w:cstheme="minorHAnsi"/>
          <w:szCs w:val="24"/>
        </w:rPr>
        <w:t>such as Peatland Action and Nature Finance</w:t>
      </w:r>
      <w:r w:rsidR="00F16570" w:rsidRPr="00B07ACE">
        <w:rPr>
          <w:rFonts w:cstheme="minorHAnsi"/>
          <w:szCs w:val="24"/>
        </w:rPr>
        <w:t>.</w:t>
      </w:r>
      <w:r w:rsidRPr="00B07ACE">
        <w:rPr>
          <w:rFonts w:cstheme="minorHAnsi"/>
          <w:szCs w:val="24"/>
        </w:rPr>
        <w:t xml:space="preserve"> Although there was not a clear consensus </w:t>
      </w:r>
      <w:r w:rsidR="002327D3" w:rsidRPr="00B07ACE">
        <w:rPr>
          <w:rFonts w:cstheme="minorHAnsi"/>
          <w:szCs w:val="24"/>
        </w:rPr>
        <w:t xml:space="preserve">amongst ARC members </w:t>
      </w:r>
      <w:r w:rsidR="00065B76" w:rsidRPr="00B07ACE">
        <w:rPr>
          <w:rFonts w:cstheme="minorHAnsi"/>
          <w:szCs w:val="24"/>
        </w:rPr>
        <w:t>on including this</w:t>
      </w:r>
      <w:r w:rsidR="008F424B" w:rsidRPr="00B07ACE">
        <w:rPr>
          <w:rFonts w:cstheme="minorHAnsi"/>
          <w:szCs w:val="24"/>
        </w:rPr>
        <w:t xml:space="preserve"> as a risk theme</w:t>
      </w:r>
      <w:r w:rsidRPr="00B07ACE">
        <w:rPr>
          <w:rFonts w:cstheme="minorHAnsi"/>
          <w:szCs w:val="24"/>
        </w:rPr>
        <w:t>,</w:t>
      </w:r>
      <w:r w:rsidR="008B7890" w:rsidRPr="00B07ACE">
        <w:rPr>
          <w:rFonts w:cstheme="minorHAnsi"/>
          <w:szCs w:val="24"/>
        </w:rPr>
        <w:t xml:space="preserve"> greater alignment of performance and risk could support the delivery of corporate plan objectives. In addition,</w:t>
      </w:r>
      <w:r w:rsidRPr="00B07ACE">
        <w:rPr>
          <w:rFonts w:cstheme="minorHAnsi"/>
          <w:szCs w:val="24"/>
        </w:rPr>
        <w:t xml:space="preserve"> </w:t>
      </w:r>
      <w:r w:rsidR="008F424B" w:rsidRPr="00B07ACE">
        <w:rPr>
          <w:rFonts w:cstheme="minorHAnsi"/>
          <w:szCs w:val="24"/>
        </w:rPr>
        <w:t xml:space="preserve">this </w:t>
      </w:r>
      <w:r w:rsidR="008B7890" w:rsidRPr="00B07ACE">
        <w:rPr>
          <w:rFonts w:cstheme="minorHAnsi"/>
          <w:szCs w:val="24"/>
        </w:rPr>
        <w:t xml:space="preserve">does </w:t>
      </w:r>
      <w:r w:rsidR="008F424B" w:rsidRPr="00B07ACE">
        <w:rPr>
          <w:rFonts w:cstheme="minorHAnsi"/>
          <w:szCs w:val="24"/>
        </w:rPr>
        <w:t xml:space="preserve">link to </w:t>
      </w:r>
      <w:r w:rsidR="00065B76" w:rsidRPr="00B07ACE">
        <w:rPr>
          <w:rFonts w:cstheme="minorHAnsi"/>
          <w:szCs w:val="24"/>
        </w:rPr>
        <w:t xml:space="preserve">business intelligence systems </w:t>
      </w:r>
      <w:r w:rsidR="00365021" w:rsidRPr="00B07ACE">
        <w:rPr>
          <w:rFonts w:cstheme="minorHAnsi"/>
          <w:szCs w:val="24"/>
        </w:rPr>
        <w:t>produc</w:t>
      </w:r>
      <w:r w:rsidR="0016293B" w:rsidRPr="00B07ACE">
        <w:rPr>
          <w:rFonts w:cstheme="minorHAnsi"/>
          <w:szCs w:val="24"/>
        </w:rPr>
        <w:t>ing</w:t>
      </w:r>
      <w:r w:rsidR="00065B76" w:rsidRPr="00B07ACE">
        <w:rPr>
          <w:rFonts w:cstheme="minorHAnsi"/>
          <w:szCs w:val="24"/>
        </w:rPr>
        <w:t xml:space="preserve"> clear </w:t>
      </w:r>
      <w:r w:rsidRPr="00B07ACE">
        <w:rPr>
          <w:rFonts w:cstheme="minorHAnsi"/>
          <w:szCs w:val="24"/>
        </w:rPr>
        <w:t xml:space="preserve">performance </w:t>
      </w:r>
      <w:r w:rsidR="00065B76" w:rsidRPr="00B07ACE">
        <w:rPr>
          <w:rFonts w:cstheme="minorHAnsi"/>
          <w:szCs w:val="24"/>
        </w:rPr>
        <w:t>data</w:t>
      </w:r>
      <w:r w:rsidR="005B5A58" w:rsidRPr="00B07ACE">
        <w:rPr>
          <w:rFonts w:cstheme="minorHAnsi"/>
          <w:szCs w:val="24"/>
        </w:rPr>
        <w:t xml:space="preserve"> </w:t>
      </w:r>
      <w:r w:rsidR="00AE4747" w:rsidRPr="00B07ACE">
        <w:rPr>
          <w:rFonts w:cstheme="minorHAnsi"/>
          <w:szCs w:val="24"/>
        </w:rPr>
        <w:t>which help to</w:t>
      </w:r>
      <w:r w:rsidR="002327D3" w:rsidRPr="00B07ACE">
        <w:rPr>
          <w:rFonts w:cstheme="minorHAnsi"/>
          <w:szCs w:val="24"/>
        </w:rPr>
        <w:t xml:space="preserve"> support</w:t>
      </w:r>
      <w:r w:rsidR="005B5A58" w:rsidRPr="00B07ACE">
        <w:rPr>
          <w:rFonts w:cstheme="minorHAnsi"/>
          <w:szCs w:val="24"/>
        </w:rPr>
        <w:t xml:space="preserve"> sound decision making. This</w:t>
      </w:r>
      <w:r w:rsidR="00065B76" w:rsidRPr="00B07ACE">
        <w:rPr>
          <w:rFonts w:cstheme="minorHAnsi"/>
          <w:szCs w:val="24"/>
        </w:rPr>
        <w:t xml:space="preserve"> </w:t>
      </w:r>
      <w:r w:rsidR="008F424B" w:rsidRPr="00B07ACE">
        <w:rPr>
          <w:rFonts w:cstheme="minorHAnsi"/>
          <w:szCs w:val="24"/>
        </w:rPr>
        <w:t xml:space="preserve">is </w:t>
      </w:r>
      <w:r w:rsidR="00CE52FD" w:rsidRPr="00B07ACE">
        <w:rPr>
          <w:rFonts w:cstheme="minorHAnsi"/>
          <w:szCs w:val="24"/>
        </w:rPr>
        <w:t>under development as a</w:t>
      </w:r>
      <w:r w:rsidR="008F424B" w:rsidRPr="00B07ACE">
        <w:rPr>
          <w:rFonts w:cstheme="minorHAnsi"/>
          <w:szCs w:val="24"/>
        </w:rPr>
        <w:t xml:space="preserve"> mitigating action </w:t>
      </w:r>
      <w:r w:rsidR="008B7890" w:rsidRPr="00B07ACE">
        <w:rPr>
          <w:rFonts w:cstheme="minorHAnsi"/>
          <w:szCs w:val="24"/>
        </w:rPr>
        <w:t>against</w:t>
      </w:r>
      <w:r w:rsidR="008F424B" w:rsidRPr="00B07ACE">
        <w:rPr>
          <w:rFonts w:cstheme="minorHAnsi"/>
          <w:szCs w:val="24"/>
        </w:rPr>
        <w:t xml:space="preserve"> </w:t>
      </w:r>
      <w:r w:rsidR="00C76B66" w:rsidRPr="00B07ACE">
        <w:rPr>
          <w:rFonts w:cstheme="minorHAnsi"/>
          <w:szCs w:val="24"/>
        </w:rPr>
        <w:t>755: S</w:t>
      </w:r>
      <w:r w:rsidR="008F424B" w:rsidRPr="00B07ACE">
        <w:rPr>
          <w:rFonts w:cstheme="minorHAnsi"/>
          <w:szCs w:val="24"/>
        </w:rPr>
        <w:t xml:space="preserve">trategic </w:t>
      </w:r>
      <w:r w:rsidR="00C76B66" w:rsidRPr="00B07ACE">
        <w:rPr>
          <w:rFonts w:cstheme="minorHAnsi"/>
          <w:szCs w:val="24"/>
        </w:rPr>
        <w:t>R</w:t>
      </w:r>
      <w:r w:rsidR="008F424B" w:rsidRPr="00B07ACE">
        <w:rPr>
          <w:rFonts w:cstheme="minorHAnsi"/>
          <w:szCs w:val="24"/>
        </w:rPr>
        <w:t xml:space="preserve">esource </w:t>
      </w:r>
      <w:r w:rsidR="00C76B66" w:rsidRPr="00B07ACE">
        <w:rPr>
          <w:rFonts w:cstheme="minorHAnsi"/>
          <w:szCs w:val="24"/>
        </w:rPr>
        <w:t>M</w:t>
      </w:r>
      <w:r w:rsidR="008F424B" w:rsidRPr="00B07ACE">
        <w:rPr>
          <w:rFonts w:cstheme="minorHAnsi"/>
          <w:szCs w:val="24"/>
        </w:rPr>
        <w:t xml:space="preserve">anagement. </w:t>
      </w:r>
    </w:p>
    <w:p w14:paraId="048A4A1C" w14:textId="77777777" w:rsidR="00AF03D5" w:rsidRPr="00B07ACE" w:rsidRDefault="00AF03D5" w:rsidP="00361A92">
      <w:pPr>
        <w:spacing w:after="0" w:line="240" w:lineRule="auto"/>
        <w:rPr>
          <w:rFonts w:cstheme="minorHAnsi"/>
          <w:szCs w:val="24"/>
        </w:rPr>
      </w:pPr>
    </w:p>
    <w:p w14:paraId="767F3E89" w14:textId="489502BE" w:rsidR="00824A6F" w:rsidRPr="00EC1C3C" w:rsidRDefault="00824A6F" w:rsidP="00B07ACE">
      <w:pPr>
        <w:pStyle w:val="Heading3"/>
      </w:pPr>
      <w:r w:rsidRPr="00EC1C3C">
        <w:t>Conclusions/Recommendations</w:t>
      </w:r>
    </w:p>
    <w:p w14:paraId="041B006B" w14:textId="77777777" w:rsidR="00415280" w:rsidRPr="00B07ACE" w:rsidRDefault="00415280" w:rsidP="00415280">
      <w:pPr>
        <w:spacing w:after="0" w:line="240" w:lineRule="auto"/>
        <w:rPr>
          <w:rFonts w:cstheme="minorHAnsi"/>
          <w:b/>
          <w:szCs w:val="24"/>
        </w:rPr>
      </w:pPr>
    </w:p>
    <w:p w14:paraId="507FB919" w14:textId="7E711900" w:rsidR="00832D42" w:rsidRDefault="00832D42" w:rsidP="00832D42">
      <w:pPr>
        <w:pStyle w:val="ListParagraph"/>
        <w:numPr>
          <w:ilvl w:val="0"/>
          <w:numId w:val="39"/>
        </w:numPr>
        <w:rPr>
          <w:rFonts w:eastAsiaTheme="majorEastAsia" w:cstheme="minorHAnsi"/>
          <w:bCs/>
          <w:szCs w:val="24"/>
        </w:rPr>
      </w:pPr>
      <w:r w:rsidRPr="00832D42">
        <w:rPr>
          <w:rFonts w:cstheme="minorHAnsi"/>
          <w:szCs w:val="24"/>
        </w:rPr>
        <w:t xml:space="preserve">The aim of this exercise is to </w:t>
      </w:r>
      <w:r w:rsidRPr="00832D42">
        <w:rPr>
          <w:rFonts w:eastAsia="Arial" w:cstheme="minorHAnsi"/>
          <w:szCs w:val="24"/>
        </w:rPr>
        <w:t xml:space="preserve">agree a finalised list of future risk areas. </w:t>
      </w:r>
      <w:r w:rsidR="0043698F" w:rsidRPr="00B07ACE">
        <w:rPr>
          <w:rFonts w:eastAsiaTheme="majorEastAsia" w:cstheme="minorHAnsi"/>
          <w:bCs/>
          <w:szCs w:val="24"/>
        </w:rPr>
        <w:t>The Board is asked to</w:t>
      </w:r>
      <w:r>
        <w:rPr>
          <w:rFonts w:eastAsiaTheme="majorEastAsia" w:cstheme="minorHAnsi"/>
          <w:bCs/>
          <w:szCs w:val="24"/>
        </w:rPr>
        <w:t>:</w:t>
      </w:r>
    </w:p>
    <w:p w14:paraId="703BF765" w14:textId="27C2B042" w:rsidR="00832D42" w:rsidRDefault="0043698F" w:rsidP="00832D42">
      <w:pPr>
        <w:pStyle w:val="ListParagraph"/>
        <w:numPr>
          <w:ilvl w:val="0"/>
          <w:numId w:val="48"/>
        </w:numPr>
        <w:rPr>
          <w:rFonts w:eastAsiaTheme="majorEastAsia" w:cstheme="minorHAnsi"/>
          <w:bCs/>
          <w:szCs w:val="24"/>
        </w:rPr>
      </w:pPr>
      <w:r w:rsidRPr="00B07ACE">
        <w:rPr>
          <w:rFonts w:eastAsiaTheme="majorEastAsia" w:cstheme="minorHAnsi"/>
          <w:bCs/>
          <w:szCs w:val="24"/>
        </w:rPr>
        <w:t xml:space="preserve">note existing corporate </w:t>
      </w:r>
      <w:proofErr w:type="gramStart"/>
      <w:r w:rsidRPr="00B07ACE">
        <w:rPr>
          <w:rFonts w:eastAsiaTheme="majorEastAsia" w:cstheme="minorHAnsi"/>
          <w:bCs/>
          <w:szCs w:val="24"/>
        </w:rPr>
        <w:t>risks</w:t>
      </w:r>
      <w:r w:rsidR="0059216B">
        <w:rPr>
          <w:rFonts w:eastAsiaTheme="majorEastAsia" w:cstheme="minorHAnsi"/>
          <w:bCs/>
          <w:szCs w:val="24"/>
        </w:rPr>
        <w:t>;</w:t>
      </w:r>
      <w:proofErr w:type="gramEnd"/>
    </w:p>
    <w:p w14:paraId="3A38AC1E" w14:textId="72F08E31" w:rsidR="00832D42" w:rsidRDefault="00832D42" w:rsidP="00464954">
      <w:pPr>
        <w:pStyle w:val="ListParagraph"/>
        <w:numPr>
          <w:ilvl w:val="0"/>
          <w:numId w:val="48"/>
        </w:numPr>
        <w:rPr>
          <w:rFonts w:eastAsiaTheme="majorEastAsia" w:cstheme="minorHAnsi"/>
          <w:bCs/>
          <w:szCs w:val="24"/>
        </w:rPr>
      </w:pPr>
      <w:r w:rsidRPr="00832D42">
        <w:rPr>
          <w:rFonts w:eastAsiaTheme="majorEastAsia" w:cstheme="minorHAnsi"/>
          <w:bCs/>
          <w:szCs w:val="24"/>
        </w:rPr>
        <w:t xml:space="preserve">agree </w:t>
      </w:r>
      <w:r w:rsidR="0043698F" w:rsidRPr="00832D42">
        <w:rPr>
          <w:rFonts w:eastAsiaTheme="majorEastAsia" w:cstheme="minorHAnsi"/>
          <w:bCs/>
          <w:szCs w:val="24"/>
        </w:rPr>
        <w:t xml:space="preserve">future risk areas identified by the ARC </w:t>
      </w:r>
      <w:r>
        <w:rPr>
          <w:rFonts w:eastAsiaTheme="majorEastAsia" w:cstheme="minorHAnsi"/>
          <w:bCs/>
          <w:szCs w:val="24"/>
        </w:rPr>
        <w:t xml:space="preserve">(paragraph 6 listed </w:t>
      </w:r>
      <w:proofErr w:type="spellStart"/>
      <w:r>
        <w:rPr>
          <w:rFonts w:eastAsiaTheme="majorEastAsia" w:cstheme="minorHAnsi"/>
          <w:bCs/>
          <w:szCs w:val="24"/>
        </w:rPr>
        <w:t>a</w:t>
      </w:r>
      <w:proofErr w:type="spellEnd"/>
      <w:r>
        <w:rPr>
          <w:rFonts w:eastAsiaTheme="majorEastAsia" w:cstheme="minorHAnsi"/>
          <w:bCs/>
          <w:szCs w:val="24"/>
        </w:rPr>
        <w:t xml:space="preserve"> to </w:t>
      </w:r>
      <w:proofErr w:type="spellStart"/>
      <w:r>
        <w:rPr>
          <w:rFonts w:eastAsiaTheme="majorEastAsia" w:cstheme="minorHAnsi"/>
          <w:bCs/>
          <w:szCs w:val="24"/>
        </w:rPr>
        <w:t>i</w:t>
      </w:r>
      <w:proofErr w:type="spellEnd"/>
      <w:proofErr w:type="gramStart"/>
      <w:r>
        <w:rPr>
          <w:rFonts w:eastAsiaTheme="majorEastAsia" w:cstheme="minorHAnsi"/>
          <w:bCs/>
          <w:szCs w:val="24"/>
        </w:rPr>
        <w:t>)</w:t>
      </w:r>
      <w:r w:rsidR="0059216B">
        <w:rPr>
          <w:rFonts w:eastAsiaTheme="majorEastAsia" w:cstheme="minorHAnsi"/>
          <w:bCs/>
          <w:szCs w:val="24"/>
        </w:rPr>
        <w:t>;</w:t>
      </w:r>
      <w:proofErr w:type="gramEnd"/>
    </w:p>
    <w:p w14:paraId="14A8B57A" w14:textId="67EE1079" w:rsidR="0059216B" w:rsidRPr="0059216B" w:rsidRDefault="004C42E7" w:rsidP="0059216B">
      <w:pPr>
        <w:pStyle w:val="ListParagraph"/>
        <w:numPr>
          <w:ilvl w:val="0"/>
          <w:numId w:val="48"/>
        </w:numPr>
        <w:rPr>
          <w:rFonts w:eastAsiaTheme="majorEastAsia" w:cstheme="minorHAnsi"/>
          <w:bCs/>
          <w:szCs w:val="24"/>
        </w:rPr>
      </w:pPr>
      <w:r w:rsidRPr="00832D42">
        <w:rPr>
          <w:rFonts w:eastAsiaTheme="majorEastAsia" w:cstheme="minorHAnsi"/>
          <w:bCs/>
          <w:szCs w:val="24"/>
        </w:rPr>
        <w:t xml:space="preserve">highlight any significant gaps and </w:t>
      </w:r>
      <w:r w:rsidR="0043698F" w:rsidRPr="00832D42">
        <w:rPr>
          <w:rFonts w:eastAsiaTheme="majorEastAsia" w:cstheme="minorHAnsi"/>
          <w:bCs/>
          <w:szCs w:val="24"/>
        </w:rPr>
        <w:t xml:space="preserve">consider </w:t>
      </w:r>
      <w:r w:rsidR="006D17C7" w:rsidRPr="00832D42">
        <w:rPr>
          <w:rFonts w:eastAsiaTheme="majorEastAsia" w:cstheme="minorHAnsi"/>
          <w:bCs/>
          <w:szCs w:val="24"/>
        </w:rPr>
        <w:t xml:space="preserve">which </w:t>
      </w:r>
      <w:r w:rsidR="008D5561" w:rsidRPr="00832D42">
        <w:rPr>
          <w:rFonts w:eastAsiaTheme="majorEastAsia" w:cstheme="minorHAnsi"/>
          <w:bCs/>
          <w:szCs w:val="24"/>
        </w:rPr>
        <w:t xml:space="preserve">of these </w:t>
      </w:r>
      <w:r w:rsidR="006D17C7" w:rsidRPr="00832D42">
        <w:rPr>
          <w:rFonts w:eastAsia="Arial" w:cstheme="minorHAnsi"/>
          <w:szCs w:val="24"/>
        </w:rPr>
        <w:t>may be especially significant over next corporate plan cycle</w:t>
      </w:r>
      <w:r w:rsidR="0059216B">
        <w:rPr>
          <w:rFonts w:eastAsia="Arial" w:cstheme="minorHAnsi"/>
          <w:szCs w:val="24"/>
        </w:rPr>
        <w:t>; and,</w:t>
      </w:r>
    </w:p>
    <w:p w14:paraId="163A6AB5" w14:textId="77777777" w:rsidR="0059216B" w:rsidRPr="0059216B" w:rsidRDefault="00827481" w:rsidP="0059216B">
      <w:pPr>
        <w:pStyle w:val="ListParagraph"/>
        <w:numPr>
          <w:ilvl w:val="0"/>
          <w:numId w:val="48"/>
        </w:numPr>
        <w:rPr>
          <w:rFonts w:eastAsiaTheme="majorEastAsia" w:cstheme="minorHAnsi"/>
          <w:bCs/>
          <w:szCs w:val="24"/>
        </w:rPr>
      </w:pPr>
      <w:r w:rsidRPr="0059216B">
        <w:rPr>
          <w:rFonts w:eastAsia="Arial" w:cstheme="minorHAnsi"/>
          <w:szCs w:val="24"/>
        </w:rPr>
        <w:lastRenderedPageBreak/>
        <w:t xml:space="preserve">support a process </w:t>
      </w:r>
      <w:r w:rsidR="0059216B">
        <w:rPr>
          <w:rFonts w:eastAsia="Arial" w:cstheme="minorHAnsi"/>
          <w:szCs w:val="24"/>
        </w:rPr>
        <w:t>to review and consolidate</w:t>
      </w:r>
      <w:r w:rsidRPr="0059216B">
        <w:rPr>
          <w:rFonts w:eastAsia="Arial" w:cstheme="minorHAnsi"/>
          <w:szCs w:val="24"/>
        </w:rPr>
        <w:t xml:space="preserve"> future risk areas against existing risks to produce </w:t>
      </w:r>
      <w:r w:rsidRPr="0059216B">
        <w:rPr>
          <w:rFonts w:cstheme="minorHAnsi"/>
          <w:szCs w:val="24"/>
        </w:rPr>
        <w:t>a single</w:t>
      </w:r>
      <w:r w:rsidR="00BB5BF6" w:rsidRPr="0059216B">
        <w:rPr>
          <w:rFonts w:cstheme="minorHAnsi"/>
          <w:szCs w:val="24"/>
        </w:rPr>
        <w:t>,</w:t>
      </w:r>
      <w:r w:rsidRPr="0059216B">
        <w:rPr>
          <w:rFonts w:cstheme="minorHAnsi"/>
          <w:szCs w:val="24"/>
        </w:rPr>
        <w:t xml:space="preserve"> refreshed </w:t>
      </w:r>
      <w:r w:rsidR="00BB5BF6" w:rsidRPr="0059216B">
        <w:rPr>
          <w:rFonts w:cstheme="minorHAnsi"/>
          <w:szCs w:val="24"/>
        </w:rPr>
        <w:t>corporate</w:t>
      </w:r>
      <w:r w:rsidRPr="0059216B">
        <w:rPr>
          <w:rFonts w:cstheme="minorHAnsi"/>
          <w:szCs w:val="24"/>
        </w:rPr>
        <w:t xml:space="preserve"> risk register. </w:t>
      </w:r>
    </w:p>
    <w:p w14:paraId="16717418" w14:textId="77777777" w:rsidR="0059216B" w:rsidRPr="0059216B" w:rsidRDefault="0059216B" w:rsidP="0059216B">
      <w:pPr>
        <w:pStyle w:val="ListParagraph"/>
        <w:ind w:left="1135"/>
        <w:rPr>
          <w:rFonts w:eastAsiaTheme="majorEastAsia" w:cstheme="minorHAnsi"/>
          <w:bCs/>
          <w:szCs w:val="24"/>
        </w:rPr>
      </w:pPr>
    </w:p>
    <w:p w14:paraId="48A57C97" w14:textId="2C82BAE1" w:rsidR="006A7BFF" w:rsidRPr="0059216B" w:rsidRDefault="00BB5BF6" w:rsidP="0059216B">
      <w:pPr>
        <w:pStyle w:val="ListParagraph"/>
        <w:numPr>
          <w:ilvl w:val="0"/>
          <w:numId w:val="39"/>
        </w:numPr>
        <w:rPr>
          <w:rFonts w:eastAsiaTheme="majorEastAsia" w:cstheme="minorHAnsi"/>
          <w:bCs/>
          <w:szCs w:val="24"/>
        </w:rPr>
      </w:pPr>
      <w:r w:rsidRPr="0059216B">
        <w:rPr>
          <w:rFonts w:cstheme="minorHAnsi"/>
          <w:szCs w:val="24"/>
        </w:rPr>
        <w:t>Monthly SLT meetings with risk management as a standing item</w:t>
      </w:r>
      <w:r w:rsidR="00827481" w:rsidRPr="0059216B">
        <w:rPr>
          <w:rFonts w:cstheme="minorHAnsi"/>
          <w:szCs w:val="24"/>
        </w:rPr>
        <w:t xml:space="preserve"> will </w:t>
      </w:r>
      <w:r w:rsidRPr="0059216B">
        <w:rPr>
          <w:rFonts w:cstheme="minorHAnsi"/>
          <w:szCs w:val="24"/>
        </w:rPr>
        <w:t xml:space="preserve">provide a forum to ensure oversight of this work. </w:t>
      </w:r>
    </w:p>
    <w:p w14:paraId="77DA873E" w14:textId="77777777" w:rsidR="0059216B" w:rsidRDefault="0059216B">
      <w:pPr>
        <w:rPr>
          <w:rFonts w:eastAsiaTheme="majorEastAsia" w:cstheme="minorHAnsi"/>
          <w:b/>
          <w:bCs/>
          <w:color w:val="000000" w:themeColor="text1"/>
          <w:szCs w:val="24"/>
        </w:rPr>
      </w:pPr>
      <w:bookmarkStart w:id="2" w:name="A"/>
      <w:r>
        <w:br w:type="page"/>
      </w:r>
    </w:p>
    <w:p w14:paraId="4D93B690" w14:textId="1AB39EA9" w:rsidR="00D30BE7" w:rsidRDefault="00D30BE7" w:rsidP="0059216B">
      <w:pPr>
        <w:pStyle w:val="Heading3"/>
      </w:pPr>
      <w:r w:rsidRPr="00D30BE7">
        <w:lastRenderedPageBreak/>
        <w:t xml:space="preserve">Annexe </w:t>
      </w:r>
      <w:r w:rsidR="00C6602B">
        <w:t>A</w:t>
      </w:r>
      <w:r w:rsidRPr="00D30BE7">
        <w:t xml:space="preserve">: </w:t>
      </w:r>
      <w:r w:rsidR="00FE59C5">
        <w:t>Corporate Risk Heatmap (</w:t>
      </w:r>
      <w:r w:rsidR="00C76B66">
        <w:t xml:space="preserve">End of Q1 </w:t>
      </w:r>
      <w:r w:rsidR="00FE59C5">
        <w:t>2</w:t>
      </w:r>
      <w:r w:rsidR="003C0AD8">
        <w:t>02</w:t>
      </w:r>
      <w:r w:rsidR="00C76B66">
        <w:t>5/26</w:t>
      </w:r>
      <w:r w:rsidR="00FE59C5">
        <w:t>)</w:t>
      </w:r>
    </w:p>
    <w:bookmarkEnd w:id="2"/>
    <w:p w14:paraId="1936B84F" w14:textId="77777777" w:rsidR="00FE59C5" w:rsidRDefault="00FE59C5" w:rsidP="00D30BE7">
      <w:pPr>
        <w:tabs>
          <w:tab w:val="left" w:pos="1369"/>
        </w:tabs>
        <w:spacing w:after="0"/>
        <w:rPr>
          <w:rFonts w:ascii="Calibri" w:hAnsi="Calibri" w:cs="Calibri"/>
          <w:b/>
          <w:bCs/>
          <w:szCs w:val="24"/>
        </w:rPr>
      </w:pPr>
    </w:p>
    <w:p w14:paraId="109BB1C8" w14:textId="400009C4" w:rsidR="00FE59C5" w:rsidRPr="00D30BE7" w:rsidRDefault="00FE59C5" w:rsidP="00D30BE7">
      <w:pPr>
        <w:tabs>
          <w:tab w:val="left" w:pos="1369"/>
        </w:tabs>
        <w:spacing w:after="0"/>
        <w:rPr>
          <w:rFonts w:ascii="Calibri" w:hAnsi="Calibri" w:cs="Calibri"/>
          <w:b/>
          <w:bCs/>
          <w:szCs w:val="24"/>
        </w:rPr>
      </w:pPr>
      <w:r>
        <w:rPr>
          <w:noProof/>
        </w:rPr>
        <w:drawing>
          <wp:inline distT="0" distB="0" distL="0" distR="0" wp14:anchorId="5C838250" wp14:editId="4FCCB17E">
            <wp:extent cx="5731510" cy="5916295"/>
            <wp:effectExtent l="0" t="0" r="2540" b="8255"/>
            <wp:docPr id="514128976" name="Picture 1" descr="A table plotting corporate risks on an x axis measuring impact and a y axis measuring likeliho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128976" name="Picture 1" descr="A table plotting corporate risks on an x axis measuring impact and a y axis measuring likelihood.  "/>
                    <pic:cNvPicPr/>
                  </pic:nvPicPr>
                  <pic:blipFill>
                    <a:blip r:embed="rId10"/>
                    <a:stretch>
                      <a:fillRect/>
                    </a:stretch>
                  </pic:blipFill>
                  <pic:spPr>
                    <a:xfrm>
                      <a:off x="0" y="0"/>
                      <a:ext cx="5731510" cy="5916295"/>
                    </a:xfrm>
                    <a:prstGeom prst="rect">
                      <a:avLst/>
                    </a:prstGeom>
                  </pic:spPr>
                </pic:pic>
              </a:graphicData>
            </a:graphic>
          </wp:inline>
        </w:drawing>
      </w:r>
    </w:p>
    <w:p w14:paraId="4761C16C" w14:textId="77777777" w:rsidR="00D30BE7" w:rsidRDefault="00D30BE7" w:rsidP="00D30BE7">
      <w:pPr>
        <w:tabs>
          <w:tab w:val="left" w:pos="1369"/>
        </w:tabs>
        <w:spacing w:after="0"/>
        <w:rPr>
          <w:rFonts w:ascii="Calibri" w:hAnsi="Calibri" w:cs="Calibri"/>
          <w:szCs w:val="24"/>
        </w:rPr>
      </w:pPr>
    </w:p>
    <w:p w14:paraId="439618B5" w14:textId="77777777" w:rsidR="00D30BE7" w:rsidRPr="00E16383" w:rsidRDefault="00D30BE7" w:rsidP="00D30BE7">
      <w:pPr>
        <w:tabs>
          <w:tab w:val="left" w:pos="1369"/>
        </w:tabs>
        <w:spacing w:after="0"/>
        <w:rPr>
          <w:rFonts w:ascii="Calibri" w:hAnsi="Calibri" w:cs="Calibri"/>
          <w:szCs w:val="24"/>
        </w:rPr>
      </w:pPr>
    </w:p>
    <w:p w14:paraId="6AAAC2BB" w14:textId="77777777" w:rsidR="00C943D3" w:rsidRDefault="00C943D3" w:rsidP="00361A92">
      <w:pPr>
        <w:spacing w:after="0" w:line="240" w:lineRule="auto"/>
        <w:rPr>
          <w:rFonts w:cstheme="minorHAnsi"/>
          <w:b/>
          <w:bCs/>
          <w:szCs w:val="24"/>
        </w:rPr>
      </w:pPr>
    </w:p>
    <w:p w14:paraId="6CCE96A1" w14:textId="77777777" w:rsidR="0003467C" w:rsidRDefault="0003467C" w:rsidP="00361A92">
      <w:pPr>
        <w:spacing w:after="0" w:line="240" w:lineRule="auto"/>
        <w:rPr>
          <w:rFonts w:cstheme="minorHAnsi"/>
          <w:b/>
          <w:bCs/>
          <w:szCs w:val="24"/>
        </w:rPr>
      </w:pPr>
    </w:p>
    <w:p w14:paraId="47705B62" w14:textId="77777777" w:rsidR="0003467C" w:rsidRDefault="0003467C" w:rsidP="00361A92">
      <w:pPr>
        <w:spacing w:after="0" w:line="240" w:lineRule="auto"/>
        <w:rPr>
          <w:rFonts w:cstheme="minorHAnsi"/>
          <w:b/>
          <w:bCs/>
          <w:szCs w:val="24"/>
        </w:rPr>
      </w:pPr>
    </w:p>
    <w:p w14:paraId="2AECB16C" w14:textId="77777777" w:rsidR="0003467C" w:rsidRDefault="0003467C" w:rsidP="00361A92">
      <w:pPr>
        <w:spacing w:after="0" w:line="240" w:lineRule="auto"/>
        <w:rPr>
          <w:rFonts w:cstheme="minorHAnsi"/>
          <w:b/>
          <w:bCs/>
          <w:szCs w:val="24"/>
        </w:rPr>
      </w:pPr>
    </w:p>
    <w:p w14:paraId="3590CBFD" w14:textId="77777777" w:rsidR="0003467C" w:rsidRDefault="0003467C" w:rsidP="00361A92">
      <w:pPr>
        <w:spacing w:after="0" w:line="240" w:lineRule="auto"/>
        <w:rPr>
          <w:rFonts w:cstheme="minorHAnsi"/>
          <w:b/>
          <w:bCs/>
          <w:szCs w:val="24"/>
        </w:rPr>
      </w:pPr>
    </w:p>
    <w:p w14:paraId="2DB6CCF9" w14:textId="77777777" w:rsidR="0003467C" w:rsidRDefault="0003467C" w:rsidP="00361A92">
      <w:pPr>
        <w:spacing w:after="0" w:line="240" w:lineRule="auto"/>
        <w:rPr>
          <w:rFonts w:cstheme="minorHAnsi"/>
          <w:b/>
          <w:bCs/>
          <w:szCs w:val="24"/>
        </w:rPr>
      </w:pPr>
    </w:p>
    <w:p w14:paraId="3D1EDA0D" w14:textId="77777777" w:rsidR="0059216B" w:rsidRDefault="0059216B">
      <w:pPr>
        <w:rPr>
          <w:rFonts w:eastAsiaTheme="majorEastAsia" w:cstheme="minorHAnsi"/>
          <w:b/>
          <w:bCs/>
          <w:color w:val="000000" w:themeColor="text1"/>
          <w:szCs w:val="24"/>
        </w:rPr>
      </w:pPr>
      <w:bookmarkStart w:id="3" w:name="B"/>
      <w:r>
        <w:br w:type="page"/>
      </w:r>
    </w:p>
    <w:p w14:paraId="7ADD1680" w14:textId="18C44885" w:rsidR="0003467C" w:rsidRDefault="0003467C" w:rsidP="0059216B">
      <w:pPr>
        <w:pStyle w:val="Heading3"/>
      </w:pPr>
      <w:r>
        <w:lastRenderedPageBreak/>
        <w:t>Annexe B</w:t>
      </w:r>
      <w:r w:rsidR="003F3CA7">
        <w:t xml:space="preserve">: </w:t>
      </w:r>
      <w:r w:rsidR="00BA211E">
        <w:t xml:space="preserve">Corporate Risk Descriptions </w:t>
      </w:r>
      <w:r w:rsidR="00BA211E">
        <w:rPr>
          <w:rFonts w:ascii="Calibri" w:hAnsi="Calibri" w:cs="Calibri"/>
        </w:rPr>
        <w:t>(End of Q1 2025/26)</w:t>
      </w:r>
    </w:p>
    <w:bookmarkEnd w:id="3"/>
    <w:p w14:paraId="7F3AA12E" w14:textId="77777777" w:rsidR="00E30687" w:rsidRDefault="00E30687" w:rsidP="00361A92">
      <w:pPr>
        <w:spacing w:after="0" w:line="240" w:lineRule="auto"/>
        <w:rPr>
          <w:rFonts w:cstheme="minorHAnsi"/>
          <w:b/>
          <w:bCs/>
          <w:szCs w:val="24"/>
        </w:rPr>
      </w:pPr>
    </w:p>
    <w:tbl>
      <w:tblPr>
        <w:tblStyle w:val="TableGrid"/>
        <w:tblW w:w="0" w:type="auto"/>
        <w:tblLook w:val="04A0" w:firstRow="1" w:lastRow="0" w:firstColumn="1" w:lastColumn="0" w:noHBand="0" w:noVBand="1"/>
      </w:tblPr>
      <w:tblGrid>
        <w:gridCol w:w="6232"/>
        <w:gridCol w:w="1418"/>
        <w:gridCol w:w="1366"/>
      </w:tblGrid>
      <w:tr w:rsidR="009C5352" w14:paraId="5CF3B15C" w14:textId="77777777" w:rsidTr="0059216B">
        <w:trPr>
          <w:cantSplit/>
          <w:trHeight w:val="527"/>
          <w:tblHeader/>
        </w:trPr>
        <w:tc>
          <w:tcPr>
            <w:tcW w:w="6232" w:type="dxa"/>
            <w:shd w:val="clear" w:color="auto" w:fill="C2D69B" w:themeFill="accent3" w:themeFillTint="99"/>
            <w:vAlign w:val="center"/>
          </w:tcPr>
          <w:p w14:paraId="02AFA3A7" w14:textId="7AC0A662" w:rsidR="009C5352" w:rsidRDefault="009C5352" w:rsidP="009C5352">
            <w:pPr>
              <w:rPr>
                <w:rFonts w:cstheme="minorHAnsi"/>
                <w:b/>
                <w:bCs/>
                <w:szCs w:val="24"/>
              </w:rPr>
            </w:pPr>
            <w:r>
              <w:rPr>
                <w:rFonts w:cstheme="minorHAnsi"/>
                <w:b/>
                <w:bCs/>
                <w:szCs w:val="24"/>
              </w:rPr>
              <w:t xml:space="preserve">Risk Description </w:t>
            </w:r>
          </w:p>
        </w:tc>
        <w:tc>
          <w:tcPr>
            <w:tcW w:w="1418" w:type="dxa"/>
            <w:shd w:val="clear" w:color="auto" w:fill="C2D69B" w:themeFill="accent3" w:themeFillTint="99"/>
            <w:vAlign w:val="center"/>
          </w:tcPr>
          <w:p w14:paraId="2725E741" w14:textId="6BB3F94E" w:rsidR="009C5352" w:rsidRDefault="009C5352" w:rsidP="000E0398">
            <w:pPr>
              <w:jc w:val="center"/>
              <w:rPr>
                <w:rFonts w:cstheme="minorHAnsi"/>
                <w:b/>
                <w:bCs/>
                <w:szCs w:val="24"/>
              </w:rPr>
            </w:pPr>
            <w:r>
              <w:rPr>
                <w:rFonts w:cstheme="minorHAnsi"/>
                <w:b/>
                <w:bCs/>
                <w:szCs w:val="24"/>
              </w:rPr>
              <w:t>Risk Score</w:t>
            </w:r>
          </w:p>
        </w:tc>
        <w:tc>
          <w:tcPr>
            <w:tcW w:w="1366" w:type="dxa"/>
            <w:shd w:val="clear" w:color="auto" w:fill="C2D69B" w:themeFill="accent3" w:themeFillTint="99"/>
            <w:vAlign w:val="center"/>
          </w:tcPr>
          <w:p w14:paraId="74257B2F" w14:textId="500725B8" w:rsidR="009C5352" w:rsidRDefault="009C5352" w:rsidP="000E0398">
            <w:pPr>
              <w:jc w:val="center"/>
              <w:rPr>
                <w:rFonts w:cstheme="minorHAnsi"/>
                <w:b/>
                <w:bCs/>
                <w:szCs w:val="24"/>
              </w:rPr>
            </w:pPr>
            <w:r>
              <w:rPr>
                <w:rFonts w:cstheme="minorHAnsi"/>
                <w:b/>
                <w:bCs/>
                <w:szCs w:val="24"/>
              </w:rPr>
              <w:t>Risk Rating</w:t>
            </w:r>
          </w:p>
        </w:tc>
      </w:tr>
      <w:tr w:rsidR="009C5352" w14:paraId="12DDD6C1" w14:textId="77777777" w:rsidTr="0059216B">
        <w:trPr>
          <w:cantSplit/>
        </w:trPr>
        <w:tc>
          <w:tcPr>
            <w:tcW w:w="6232" w:type="dxa"/>
          </w:tcPr>
          <w:p w14:paraId="61B42817" w14:textId="77777777" w:rsidR="009C5352" w:rsidRPr="000E0398" w:rsidRDefault="009C5352" w:rsidP="009C5352">
            <w:pPr>
              <w:spacing w:line="276" w:lineRule="auto"/>
              <w:rPr>
                <w:rFonts w:cstheme="minorHAnsi"/>
                <w:b/>
                <w:bCs/>
                <w:szCs w:val="24"/>
              </w:rPr>
            </w:pPr>
            <w:r w:rsidRPr="000E0398">
              <w:rPr>
                <w:rFonts w:cstheme="minorHAnsi"/>
                <w:b/>
                <w:bCs/>
                <w:szCs w:val="24"/>
              </w:rPr>
              <w:t>393: Future Funding of NatureScot</w:t>
            </w:r>
          </w:p>
          <w:p w14:paraId="5772E4AD" w14:textId="77777777" w:rsidR="009C5352" w:rsidRPr="000E0398" w:rsidRDefault="009C5352" w:rsidP="009C5352">
            <w:pPr>
              <w:spacing w:line="276" w:lineRule="auto"/>
              <w:rPr>
                <w:rFonts w:cstheme="minorHAnsi"/>
                <w:szCs w:val="24"/>
              </w:rPr>
            </w:pPr>
            <w:r w:rsidRPr="000E0398">
              <w:rPr>
                <w:rFonts w:cstheme="minorHAnsi"/>
                <w:szCs w:val="24"/>
              </w:rPr>
              <w:t>As a result of on-going reductions in public expenditure or new cost pressures there is a risk our grant-in-aid settlement may not match statutory and fixed costs as well as corporate plan priorities. Unless other funding sources are secured this could result in an inability to adequately resource delivery of agreed priorities, leading to failed outcomes and reputational damage.</w:t>
            </w:r>
          </w:p>
          <w:p w14:paraId="030B008E" w14:textId="77777777" w:rsidR="009C5352" w:rsidRDefault="009C5352" w:rsidP="009C5352">
            <w:pPr>
              <w:rPr>
                <w:rFonts w:cstheme="minorHAnsi"/>
                <w:i/>
                <w:iCs/>
                <w:szCs w:val="24"/>
              </w:rPr>
            </w:pPr>
            <w:r w:rsidRPr="000E0398">
              <w:rPr>
                <w:rFonts w:cstheme="minorHAnsi"/>
                <w:b/>
                <w:bCs/>
                <w:i/>
                <w:iCs/>
                <w:szCs w:val="24"/>
              </w:rPr>
              <w:t>Risk Owner</w:t>
            </w:r>
            <w:r w:rsidRPr="00271191">
              <w:rPr>
                <w:rFonts w:cstheme="minorHAnsi"/>
                <w:i/>
                <w:iCs/>
                <w:szCs w:val="24"/>
              </w:rPr>
              <w:t xml:space="preserve">: </w:t>
            </w:r>
            <w:r w:rsidRPr="000E0398">
              <w:rPr>
                <w:rFonts w:cstheme="minorHAnsi"/>
                <w:i/>
                <w:iCs/>
                <w:szCs w:val="24"/>
              </w:rPr>
              <w:t>Jane Macdonald (Director of Business Services and Transformation)</w:t>
            </w:r>
          </w:p>
          <w:p w14:paraId="6DA5AC21" w14:textId="77777777" w:rsidR="00E30687" w:rsidRPr="000E0398" w:rsidRDefault="00E30687" w:rsidP="009C5352">
            <w:pPr>
              <w:rPr>
                <w:rFonts w:cstheme="minorHAnsi"/>
                <w:i/>
                <w:iCs/>
                <w:sz w:val="4"/>
                <w:szCs w:val="4"/>
              </w:rPr>
            </w:pPr>
          </w:p>
          <w:p w14:paraId="0BE7F6DC" w14:textId="6DBBB762" w:rsidR="00E30687" w:rsidRPr="000E0398" w:rsidRDefault="00E30687" w:rsidP="009C5352">
            <w:pPr>
              <w:rPr>
                <w:rFonts w:cstheme="minorHAnsi"/>
                <w:b/>
                <w:bCs/>
                <w:sz w:val="4"/>
                <w:szCs w:val="4"/>
              </w:rPr>
            </w:pPr>
          </w:p>
        </w:tc>
        <w:tc>
          <w:tcPr>
            <w:tcW w:w="1418" w:type="dxa"/>
          </w:tcPr>
          <w:p w14:paraId="55771214" w14:textId="77777777" w:rsidR="009C5352" w:rsidRPr="00271191" w:rsidRDefault="009C5352" w:rsidP="008A37B6">
            <w:pPr>
              <w:jc w:val="center"/>
              <w:rPr>
                <w:rFonts w:cstheme="minorHAnsi"/>
                <w:b/>
                <w:bCs/>
                <w:szCs w:val="24"/>
              </w:rPr>
            </w:pPr>
            <w:r w:rsidRPr="00271191">
              <w:rPr>
                <w:rFonts w:cstheme="minorHAnsi"/>
                <w:b/>
                <w:bCs/>
                <w:szCs w:val="24"/>
              </w:rPr>
              <w:t>16</w:t>
            </w:r>
          </w:p>
          <w:p w14:paraId="5CF600A1" w14:textId="77777777" w:rsidR="009C5352" w:rsidRDefault="009C5352" w:rsidP="000E0398">
            <w:pPr>
              <w:jc w:val="center"/>
              <w:rPr>
                <w:rFonts w:cstheme="minorHAnsi"/>
                <w:b/>
                <w:bCs/>
                <w:szCs w:val="24"/>
              </w:rPr>
            </w:pPr>
          </w:p>
        </w:tc>
        <w:tc>
          <w:tcPr>
            <w:tcW w:w="1366" w:type="dxa"/>
            <w:shd w:val="clear" w:color="auto" w:fill="FF0000"/>
          </w:tcPr>
          <w:p w14:paraId="64830EDB" w14:textId="53FD5D42" w:rsidR="009C5352" w:rsidRDefault="009C5352" w:rsidP="000E0398">
            <w:pPr>
              <w:jc w:val="center"/>
              <w:rPr>
                <w:rFonts w:cstheme="minorHAnsi"/>
                <w:b/>
                <w:bCs/>
                <w:szCs w:val="24"/>
              </w:rPr>
            </w:pPr>
            <w:r w:rsidRPr="00271191">
              <w:rPr>
                <w:rFonts w:cstheme="minorHAnsi"/>
                <w:b/>
                <w:bCs/>
                <w:szCs w:val="24"/>
              </w:rPr>
              <w:t>High</w:t>
            </w:r>
          </w:p>
        </w:tc>
      </w:tr>
      <w:tr w:rsidR="008A37B6" w14:paraId="10FF0137" w14:textId="77777777" w:rsidTr="0059216B">
        <w:trPr>
          <w:cantSplit/>
        </w:trPr>
        <w:tc>
          <w:tcPr>
            <w:tcW w:w="6232" w:type="dxa"/>
          </w:tcPr>
          <w:p w14:paraId="7C55EE4B" w14:textId="77777777" w:rsidR="008A37B6" w:rsidRPr="000E0398" w:rsidRDefault="008A37B6" w:rsidP="008A37B6">
            <w:pPr>
              <w:spacing w:line="276" w:lineRule="auto"/>
              <w:rPr>
                <w:rFonts w:cstheme="minorHAnsi"/>
                <w:b/>
                <w:bCs/>
                <w:szCs w:val="24"/>
              </w:rPr>
            </w:pPr>
            <w:r w:rsidRPr="000E0398">
              <w:rPr>
                <w:rFonts w:cstheme="minorHAnsi"/>
                <w:b/>
                <w:bCs/>
                <w:szCs w:val="24"/>
              </w:rPr>
              <w:t>765 - Legal Resilience</w:t>
            </w:r>
          </w:p>
          <w:p w14:paraId="07A39D80" w14:textId="77777777" w:rsidR="008A37B6" w:rsidRPr="000E0398" w:rsidRDefault="008A37B6" w:rsidP="008A37B6">
            <w:pPr>
              <w:spacing w:line="276" w:lineRule="auto"/>
              <w:rPr>
                <w:rFonts w:cstheme="minorHAnsi"/>
                <w:szCs w:val="24"/>
              </w:rPr>
            </w:pPr>
            <w:r w:rsidRPr="000E0398">
              <w:rPr>
                <w:rFonts w:cstheme="minorHAnsi"/>
                <w:szCs w:val="24"/>
              </w:rPr>
              <w:t>As result of complying with and overseeing existing legislation, as well as adapting to evolving or new policy, legislation and law, there is a risk that we do not have sufficient access to specialist legal advice nor utilise these services appropriately which may result in increased and potentially avoidable legal risk exposure and cost.</w:t>
            </w:r>
          </w:p>
          <w:p w14:paraId="4E3D794E" w14:textId="77777777" w:rsidR="008A37B6" w:rsidRDefault="008A37B6" w:rsidP="008A37B6">
            <w:pPr>
              <w:rPr>
                <w:rFonts w:cstheme="minorHAnsi"/>
                <w:i/>
                <w:iCs/>
                <w:szCs w:val="24"/>
              </w:rPr>
            </w:pPr>
            <w:r w:rsidRPr="000E0398">
              <w:rPr>
                <w:rFonts w:cstheme="minorHAnsi"/>
                <w:b/>
                <w:bCs/>
                <w:i/>
                <w:iCs/>
                <w:szCs w:val="24"/>
              </w:rPr>
              <w:t>Risk Owner:</w:t>
            </w:r>
            <w:r w:rsidRPr="00271191">
              <w:rPr>
                <w:rFonts w:cstheme="minorHAnsi"/>
                <w:i/>
                <w:iCs/>
                <w:szCs w:val="24"/>
              </w:rPr>
              <w:t xml:space="preserve"> </w:t>
            </w:r>
            <w:r w:rsidRPr="000E0398">
              <w:rPr>
                <w:rFonts w:cstheme="minorHAnsi"/>
                <w:i/>
                <w:iCs/>
                <w:szCs w:val="24"/>
              </w:rPr>
              <w:t>Sandy Middleton (Chief of Staff)</w:t>
            </w:r>
          </w:p>
          <w:p w14:paraId="638472DE" w14:textId="2ADDDA7E" w:rsidR="00E30687" w:rsidRPr="000E0398" w:rsidRDefault="00E30687" w:rsidP="008A37B6">
            <w:pPr>
              <w:rPr>
                <w:rFonts w:cstheme="minorHAnsi"/>
                <w:b/>
                <w:bCs/>
                <w:sz w:val="4"/>
                <w:szCs w:val="4"/>
              </w:rPr>
            </w:pPr>
          </w:p>
        </w:tc>
        <w:tc>
          <w:tcPr>
            <w:tcW w:w="1418" w:type="dxa"/>
          </w:tcPr>
          <w:p w14:paraId="6B3796CC" w14:textId="1C13E6F2" w:rsidR="008A37B6" w:rsidRDefault="008A37B6" w:rsidP="000E0398">
            <w:pPr>
              <w:jc w:val="center"/>
              <w:rPr>
                <w:rFonts w:cstheme="minorHAnsi"/>
                <w:b/>
                <w:bCs/>
                <w:szCs w:val="24"/>
              </w:rPr>
            </w:pPr>
            <w:r w:rsidRPr="00271191">
              <w:rPr>
                <w:rFonts w:cstheme="minorHAnsi"/>
                <w:b/>
                <w:bCs/>
                <w:szCs w:val="24"/>
              </w:rPr>
              <w:t>15</w:t>
            </w:r>
          </w:p>
        </w:tc>
        <w:tc>
          <w:tcPr>
            <w:tcW w:w="1366" w:type="dxa"/>
            <w:shd w:val="clear" w:color="auto" w:fill="FF0000"/>
          </w:tcPr>
          <w:p w14:paraId="4EA0FC61" w14:textId="428F9D38" w:rsidR="008A37B6" w:rsidRDefault="008A37B6" w:rsidP="000E0398">
            <w:pPr>
              <w:jc w:val="center"/>
              <w:rPr>
                <w:rFonts w:cstheme="minorHAnsi"/>
                <w:b/>
                <w:bCs/>
                <w:szCs w:val="24"/>
              </w:rPr>
            </w:pPr>
            <w:r w:rsidRPr="00271191">
              <w:rPr>
                <w:rFonts w:cstheme="minorHAnsi"/>
                <w:b/>
                <w:bCs/>
                <w:szCs w:val="24"/>
              </w:rPr>
              <w:t>High</w:t>
            </w:r>
          </w:p>
        </w:tc>
      </w:tr>
      <w:tr w:rsidR="008A37B6" w14:paraId="23322153" w14:textId="77777777" w:rsidTr="0059216B">
        <w:trPr>
          <w:cantSplit/>
        </w:trPr>
        <w:tc>
          <w:tcPr>
            <w:tcW w:w="6232" w:type="dxa"/>
          </w:tcPr>
          <w:p w14:paraId="1A8F35E0" w14:textId="77777777" w:rsidR="008A37B6" w:rsidRPr="000E0398" w:rsidRDefault="008A37B6" w:rsidP="008A37B6">
            <w:pPr>
              <w:spacing w:line="276" w:lineRule="auto"/>
              <w:rPr>
                <w:rFonts w:cstheme="minorHAnsi"/>
                <w:b/>
                <w:bCs/>
                <w:szCs w:val="24"/>
              </w:rPr>
            </w:pPr>
            <w:r w:rsidRPr="000E0398">
              <w:rPr>
                <w:rFonts w:cstheme="minorHAnsi"/>
                <w:b/>
                <w:bCs/>
                <w:szCs w:val="24"/>
              </w:rPr>
              <w:t>47: Computer Virus/ Malware Attack</w:t>
            </w:r>
          </w:p>
          <w:p w14:paraId="0312A5A0" w14:textId="77777777" w:rsidR="008A37B6" w:rsidRPr="000E0398" w:rsidRDefault="008A37B6" w:rsidP="008A37B6">
            <w:pPr>
              <w:spacing w:line="276" w:lineRule="auto"/>
              <w:rPr>
                <w:rFonts w:cstheme="minorHAnsi"/>
                <w:szCs w:val="24"/>
              </w:rPr>
            </w:pPr>
            <w:r w:rsidRPr="000E0398">
              <w:rPr>
                <w:rFonts w:cstheme="minorHAnsi"/>
                <w:szCs w:val="24"/>
              </w:rPr>
              <w:t>As a result of inadequate protection, or inappropriate system use, including accidental activation of email links by that lead to malware downloads, there is a risk that NatureScot systems becoming infected with a malware or virus agent, resulting in NatureScot systems and data become unavailable, encrypted or corrupted, significant system downtime and huge operational impacts.</w:t>
            </w:r>
          </w:p>
          <w:p w14:paraId="4D8D7A14" w14:textId="77777777" w:rsidR="008A37B6" w:rsidRDefault="008A37B6">
            <w:pPr>
              <w:spacing w:line="276" w:lineRule="auto"/>
              <w:rPr>
                <w:rFonts w:cstheme="minorHAnsi"/>
                <w:i/>
                <w:iCs/>
                <w:szCs w:val="24"/>
              </w:rPr>
            </w:pPr>
            <w:r w:rsidRPr="000E0398">
              <w:rPr>
                <w:rFonts w:cstheme="minorHAnsi"/>
                <w:b/>
                <w:bCs/>
                <w:i/>
                <w:iCs/>
                <w:szCs w:val="24"/>
              </w:rPr>
              <w:t>Risk Owner</w:t>
            </w:r>
            <w:r w:rsidRPr="00271191">
              <w:rPr>
                <w:rFonts w:cstheme="minorHAnsi"/>
                <w:i/>
                <w:iCs/>
                <w:szCs w:val="24"/>
              </w:rPr>
              <w:t xml:space="preserve">: </w:t>
            </w:r>
            <w:r w:rsidRPr="000E0398">
              <w:rPr>
                <w:rFonts w:cstheme="minorHAnsi"/>
                <w:i/>
                <w:iCs/>
                <w:szCs w:val="24"/>
              </w:rPr>
              <w:t>Kenny MacLean (Head of Information Management &amp; Cyber Security)</w:t>
            </w:r>
          </w:p>
          <w:p w14:paraId="21DE44A5" w14:textId="4C7C6E47" w:rsidR="00E30687" w:rsidRPr="000E0398" w:rsidRDefault="00E30687" w:rsidP="000E0398">
            <w:pPr>
              <w:spacing w:line="276" w:lineRule="auto"/>
              <w:rPr>
                <w:rFonts w:cstheme="minorHAnsi"/>
                <w:i/>
                <w:iCs/>
                <w:sz w:val="4"/>
                <w:szCs w:val="4"/>
              </w:rPr>
            </w:pPr>
          </w:p>
        </w:tc>
        <w:tc>
          <w:tcPr>
            <w:tcW w:w="1418" w:type="dxa"/>
          </w:tcPr>
          <w:p w14:paraId="66FC211E" w14:textId="3076F8AF" w:rsidR="008A37B6" w:rsidRDefault="008A37B6" w:rsidP="000E0398">
            <w:pPr>
              <w:jc w:val="center"/>
              <w:rPr>
                <w:rFonts w:cstheme="minorHAnsi"/>
                <w:b/>
                <w:bCs/>
                <w:szCs w:val="24"/>
              </w:rPr>
            </w:pPr>
            <w:r w:rsidRPr="00271191">
              <w:rPr>
                <w:rFonts w:cstheme="minorHAnsi"/>
                <w:b/>
                <w:bCs/>
                <w:szCs w:val="24"/>
              </w:rPr>
              <w:t>12</w:t>
            </w:r>
          </w:p>
        </w:tc>
        <w:tc>
          <w:tcPr>
            <w:tcW w:w="1366" w:type="dxa"/>
            <w:shd w:val="clear" w:color="auto" w:fill="FF0000"/>
          </w:tcPr>
          <w:p w14:paraId="718F580F" w14:textId="5F2F15D5" w:rsidR="008A37B6" w:rsidRDefault="008A37B6" w:rsidP="000E0398">
            <w:pPr>
              <w:jc w:val="center"/>
              <w:rPr>
                <w:rFonts w:cstheme="minorHAnsi"/>
                <w:b/>
                <w:bCs/>
                <w:szCs w:val="24"/>
              </w:rPr>
            </w:pPr>
            <w:r w:rsidRPr="00271191">
              <w:rPr>
                <w:rFonts w:cstheme="minorHAnsi"/>
                <w:b/>
                <w:bCs/>
                <w:szCs w:val="24"/>
              </w:rPr>
              <w:t>High</w:t>
            </w:r>
          </w:p>
        </w:tc>
      </w:tr>
      <w:tr w:rsidR="008A37B6" w14:paraId="4D298B5B" w14:textId="77777777" w:rsidTr="0059216B">
        <w:trPr>
          <w:cantSplit/>
        </w:trPr>
        <w:tc>
          <w:tcPr>
            <w:tcW w:w="6232" w:type="dxa"/>
          </w:tcPr>
          <w:p w14:paraId="0BF2EC89" w14:textId="77777777" w:rsidR="008A37B6" w:rsidRPr="000E0398" w:rsidRDefault="008A37B6" w:rsidP="008A37B6">
            <w:pPr>
              <w:spacing w:line="276" w:lineRule="auto"/>
              <w:rPr>
                <w:rFonts w:cstheme="minorHAnsi"/>
                <w:b/>
                <w:bCs/>
                <w:szCs w:val="24"/>
              </w:rPr>
            </w:pPr>
            <w:r w:rsidRPr="000E0398">
              <w:rPr>
                <w:rFonts w:cstheme="minorHAnsi"/>
                <w:b/>
                <w:bCs/>
                <w:szCs w:val="24"/>
              </w:rPr>
              <w:t>253: Peatland restoration target and budget</w:t>
            </w:r>
          </w:p>
          <w:p w14:paraId="01690171" w14:textId="77777777" w:rsidR="008A37B6" w:rsidRPr="002460CC" w:rsidRDefault="008A37B6" w:rsidP="008A37B6">
            <w:pPr>
              <w:spacing w:line="276" w:lineRule="auto"/>
              <w:rPr>
                <w:rFonts w:cstheme="minorHAnsi"/>
                <w:szCs w:val="24"/>
              </w:rPr>
            </w:pPr>
            <w:r w:rsidRPr="00271191">
              <w:rPr>
                <w:rFonts w:cstheme="minorHAnsi"/>
                <w:szCs w:val="24"/>
              </w:rPr>
              <w:t xml:space="preserve">As a result of a significant uplift in 25/26 funding and restoration targets (50% increase), there is a risk to climate, nature, and NatureScot’s credibility if NatureScot is unable to adapt at the pace and scale required to deliver this ambition within a complex operating environment. </w:t>
            </w:r>
          </w:p>
          <w:p w14:paraId="0895982B" w14:textId="77777777" w:rsidR="008A37B6" w:rsidRDefault="008A37B6">
            <w:pPr>
              <w:spacing w:line="276" w:lineRule="auto"/>
              <w:rPr>
                <w:rFonts w:cstheme="minorHAnsi"/>
                <w:i/>
                <w:iCs/>
                <w:szCs w:val="24"/>
                <w:lang w:val="en"/>
              </w:rPr>
            </w:pPr>
            <w:r w:rsidRPr="000E0398">
              <w:rPr>
                <w:rFonts w:cstheme="minorHAnsi"/>
                <w:b/>
                <w:bCs/>
                <w:i/>
                <w:iCs/>
                <w:szCs w:val="24"/>
              </w:rPr>
              <w:t>Risk Owner:</w:t>
            </w:r>
            <w:r w:rsidRPr="00271191">
              <w:rPr>
                <w:rFonts w:cstheme="minorHAnsi"/>
                <w:i/>
                <w:iCs/>
                <w:szCs w:val="24"/>
              </w:rPr>
              <w:t xml:space="preserve"> Peter Hutchinson (</w:t>
            </w:r>
            <w:r w:rsidRPr="00271191">
              <w:rPr>
                <w:rFonts w:cstheme="minorHAnsi"/>
                <w:i/>
                <w:iCs/>
                <w:szCs w:val="24"/>
                <w:lang w:val="en"/>
              </w:rPr>
              <w:t>Head of Peatland Programme and Strategy)</w:t>
            </w:r>
          </w:p>
          <w:p w14:paraId="553539F4" w14:textId="27540587" w:rsidR="00E30687" w:rsidRPr="000E0398" w:rsidRDefault="00E30687" w:rsidP="000E0398">
            <w:pPr>
              <w:spacing w:line="276" w:lineRule="auto"/>
              <w:rPr>
                <w:rFonts w:cstheme="minorHAnsi"/>
                <w:i/>
                <w:iCs/>
                <w:sz w:val="4"/>
                <w:szCs w:val="4"/>
                <w:lang w:val="en"/>
              </w:rPr>
            </w:pPr>
          </w:p>
        </w:tc>
        <w:tc>
          <w:tcPr>
            <w:tcW w:w="1418" w:type="dxa"/>
          </w:tcPr>
          <w:p w14:paraId="75FD2672" w14:textId="2F0DC268" w:rsidR="008A37B6" w:rsidRDefault="008A37B6" w:rsidP="000E0398">
            <w:pPr>
              <w:jc w:val="center"/>
              <w:rPr>
                <w:rFonts w:cstheme="minorHAnsi"/>
                <w:b/>
                <w:bCs/>
                <w:szCs w:val="24"/>
              </w:rPr>
            </w:pPr>
            <w:r w:rsidRPr="00271191">
              <w:rPr>
                <w:rFonts w:cstheme="minorHAnsi"/>
                <w:b/>
                <w:bCs/>
                <w:szCs w:val="24"/>
              </w:rPr>
              <w:t>12</w:t>
            </w:r>
          </w:p>
        </w:tc>
        <w:tc>
          <w:tcPr>
            <w:tcW w:w="1366" w:type="dxa"/>
            <w:shd w:val="clear" w:color="auto" w:fill="FF0000"/>
          </w:tcPr>
          <w:p w14:paraId="0BB8D755" w14:textId="3DE7EDE4" w:rsidR="008A37B6" w:rsidRDefault="008A37B6" w:rsidP="000E0398">
            <w:pPr>
              <w:jc w:val="center"/>
              <w:rPr>
                <w:rFonts w:cstheme="minorHAnsi"/>
                <w:b/>
                <w:bCs/>
                <w:szCs w:val="24"/>
              </w:rPr>
            </w:pPr>
            <w:r w:rsidRPr="00271191">
              <w:rPr>
                <w:rFonts w:cstheme="minorHAnsi"/>
                <w:b/>
                <w:bCs/>
                <w:szCs w:val="24"/>
              </w:rPr>
              <w:t>High</w:t>
            </w:r>
          </w:p>
        </w:tc>
      </w:tr>
      <w:tr w:rsidR="00E30687" w14:paraId="3FCAF8DE" w14:textId="77777777" w:rsidTr="0059216B">
        <w:trPr>
          <w:cantSplit/>
        </w:trPr>
        <w:tc>
          <w:tcPr>
            <w:tcW w:w="6232" w:type="dxa"/>
          </w:tcPr>
          <w:p w14:paraId="36F0F480" w14:textId="77777777" w:rsidR="00E30687" w:rsidRPr="000E0398" w:rsidRDefault="00E30687" w:rsidP="00E30687">
            <w:pPr>
              <w:spacing w:line="276" w:lineRule="auto"/>
              <w:rPr>
                <w:rFonts w:cstheme="minorHAnsi"/>
                <w:b/>
                <w:bCs/>
                <w:szCs w:val="24"/>
              </w:rPr>
            </w:pPr>
            <w:r w:rsidRPr="000E0398">
              <w:rPr>
                <w:rFonts w:cstheme="minorHAnsi"/>
                <w:b/>
                <w:bCs/>
                <w:szCs w:val="24"/>
              </w:rPr>
              <w:lastRenderedPageBreak/>
              <w:t>645: Biodiversity Loss</w:t>
            </w:r>
          </w:p>
          <w:p w14:paraId="54E0A9A4" w14:textId="77777777" w:rsidR="00E30687" w:rsidRPr="002460CC" w:rsidRDefault="00E30687" w:rsidP="00E30687">
            <w:pPr>
              <w:spacing w:line="276" w:lineRule="auto"/>
              <w:rPr>
                <w:rFonts w:cstheme="minorHAnsi"/>
                <w:szCs w:val="24"/>
              </w:rPr>
            </w:pPr>
            <w:r w:rsidRPr="00271191">
              <w:rPr>
                <w:rFonts w:cstheme="minorHAnsi"/>
                <w:szCs w:val="24"/>
              </w:rPr>
              <w:t xml:space="preserve">As a result of not raising awareness, inspiring or persuading stakeholders to take the actions needed to reduce biodiversity loss that are within our influence, there is a risk that we will fail to demonstrate sufficient progress in tackling the biodiversity crisis. </w:t>
            </w:r>
          </w:p>
          <w:p w14:paraId="06B6BE8A" w14:textId="77777777" w:rsidR="00E30687" w:rsidRDefault="00E30687" w:rsidP="00E30687">
            <w:pPr>
              <w:rPr>
                <w:rFonts w:cstheme="minorHAnsi"/>
                <w:i/>
                <w:iCs/>
                <w:szCs w:val="24"/>
                <w:lang w:val="en"/>
              </w:rPr>
            </w:pPr>
            <w:r w:rsidRPr="000E0398">
              <w:rPr>
                <w:rFonts w:cstheme="minorHAnsi"/>
                <w:b/>
                <w:bCs/>
                <w:i/>
                <w:iCs/>
                <w:szCs w:val="24"/>
              </w:rPr>
              <w:t>Risk Owner:</w:t>
            </w:r>
            <w:r w:rsidRPr="00271191">
              <w:rPr>
                <w:rFonts w:cstheme="minorHAnsi"/>
                <w:i/>
                <w:iCs/>
                <w:szCs w:val="24"/>
              </w:rPr>
              <w:t xml:space="preserve"> Katherine Leys (</w:t>
            </w:r>
            <w:r w:rsidRPr="00271191">
              <w:rPr>
                <w:rFonts w:cstheme="minorHAnsi"/>
                <w:i/>
                <w:iCs/>
                <w:szCs w:val="24"/>
                <w:lang w:val="en"/>
              </w:rPr>
              <w:t>Head of Biodiversity and Geodiversity)</w:t>
            </w:r>
          </w:p>
          <w:p w14:paraId="42DFABE8" w14:textId="49D8DBEF" w:rsidR="00AB63D6" w:rsidRPr="000E0398" w:rsidRDefault="00AB63D6" w:rsidP="00E30687">
            <w:pPr>
              <w:rPr>
                <w:rFonts w:cstheme="minorHAnsi"/>
                <w:b/>
                <w:bCs/>
                <w:sz w:val="4"/>
                <w:szCs w:val="4"/>
              </w:rPr>
            </w:pPr>
          </w:p>
        </w:tc>
        <w:tc>
          <w:tcPr>
            <w:tcW w:w="1418" w:type="dxa"/>
          </w:tcPr>
          <w:p w14:paraId="19D2B7E1" w14:textId="73D0F509" w:rsidR="00E30687" w:rsidRDefault="00E30687" w:rsidP="00E30687">
            <w:pPr>
              <w:jc w:val="center"/>
              <w:rPr>
                <w:rFonts w:cstheme="minorHAnsi"/>
                <w:b/>
                <w:bCs/>
                <w:szCs w:val="24"/>
              </w:rPr>
            </w:pPr>
            <w:r w:rsidRPr="00271191">
              <w:rPr>
                <w:rFonts w:cstheme="minorHAnsi"/>
                <w:b/>
                <w:bCs/>
                <w:szCs w:val="24"/>
              </w:rPr>
              <w:t>12</w:t>
            </w:r>
          </w:p>
        </w:tc>
        <w:tc>
          <w:tcPr>
            <w:tcW w:w="1366" w:type="dxa"/>
            <w:shd w:val="clear" w:color="auto" w:fill="FF0000"/>
          </w:tcPr>
          <w:p w14:paraId="43E4E8FD" w14:textId="32555C7F" w:rsidR="00E30687" w:rsidRDefault="00E30687" w:rsidP="00E30687">
            <w:pPr>
              <w:jc w:val="center"/>
              <w:rPr>
                <w:rFonts w:cstheme="minorHAnsi"/>
                <w:b/>
                <w:bCs/>
                <w:szCs w:val="24"/>
              </w:rPr>
            </w:pPr>
            <w:r w:rsidRPr="00271191">
              <w:rPr>
                <w:rFonts w:cstheme="minorHAnsi"/>
                <w:b/>
                <w:bCs/>
                <w:szCs w:val="24"/>
              </w:rPr>
              <w:t>High</w:t>
            </w:r>
          </w:p>
        </w:tc>
      </w:tr>
      <w:tr w:rsidR="00E30687" w14:paraId="31CA722B" w14:textId="77777777" w:rsidTr="0059216B">
        <w:trPr>
          <w:cantSplit/>
        </w:trPr>
        <w:tc>
          <w:tcPr>
            <w:tcW w:w="6232" w:type="dxa"/>
          </w:tcPr>
          <w:p w14:paraId="3389751F" w14:textId="77777777" w:rsidR="00E30687" w:rsidRPr="000E0398" w:rsidRDefault="00E30687" w:rsidP="00E30687">
            <w:pPr>
              <w:spacing w:line="276" w:lineRule="auto"/>
              <w:rPr>
                <w:rFonts w:cstheme="minorHAnsi"/>
                <w:b/>
                <w:bCs/>
                <w:szCs w:val="24"/>
              </w:rPr>
            </w:pPr>
            <w:r w:rsidRPr="000E0398">
              <w:rPr>
                <w:rFonts w:cstheme="minorHAnsi"/>
                <w:b/>
                <w:bCs/>
                <w:szCs w:val="24"/>
              </w:rPr>
              <w:t>646: Weakened Reputation</w:t>
            </w:r>
          </w:p>
          <w:p w14:paraId="3B5EF8C2" w14:textId="77777777" w:rsidR="00E30687" w:rsidRPr="002460CC" w:rsidRDefault="00E30687" w:rsidP="00E30687">
            <w:pPr>
              <w:spacing w:line="276" w:lineRule="auto"/>
              <w:rPr>
                <w:rFonts w:cstheme="minorHAnsi"/>
                <w:szCs w:val="24"/>
              </w:rPr>
            </w:pPr>
            <w:r w:rsidRPr="00271191">
              <w:rPr>
                <w:rFonts w:cstheme="minorHAnsi"/>
                <w:szCs w:val="24"/>
              </w:rPr>
              <w:t>As a result of NatureScot actions that are out of line with our strategic vision and purpose and goal as expressed through our Brand and Corporate Plan, there is a risk that our reputation would be weakened. If allowed to persist, it could result in the impairment of our ability to operate efficiently.</w:t>
            </w:r>
          </w:p>
          <w:p w14:paraId="696F69C0" w14:textId="77777777" w:rsidR="00E30687" w:rsidRDefault="00E30687" w:rsidP="00E30687">
            <w:pPr>
              <w:rPr>
                <w:rFonts w:cstheme="minorHAnsi"/>
                <w:i/>
                <w:iCs/>
                <w:szCs w:val="24"/>
              </w:rPr>
            </w:pPr>
            <w:r w:rsidRPr="000E0398">
              <w:rPr>
                <w:rFonts w:cstheme="minorHAnsi"/>
                <w:b/>
                <w:bCs/>
                <w:i/>
                <w:iCs/>
                <w:szCs w:val="24"/>
              </w:rPr>
              <w:t>Risk Owner:</w:t>
            </w:r>
            <w:r w:rsidRPr="00271191">
              <w:rPr>
                <w:rFonts w:cstheme="minorHAnsi"/>
                <w:i/>
                <w:iCs/>
                <w:szCs w:val="24"/>
              </w:rPr>
              <w:t xml:space="preserve"> Jason Ormiston (Head of External Affairs)</w:t>
            </w:r>
          </w:p>
          <w:p w14:paraId="75D058F5" w14:textId="457A03CB" w:rsidR="00AB63D6" w:rsidRPr="000E0398" w:rsidRDefault="00AB63D6" w:rsidP="00E30687">
            <w:pPr>
              <w:rPr>
                <w:rFonts w:cstheme="minorHAnsi"/>
                <w:b/>
                <w:bCs/>
                <w:sz w:val="4"/>
                <w:szCs w:val="4"/>
              </w:rPr>
            </w:pPr>
          </w:p>
        </w:tc>
        <w:tc>
          <w:tcPr>
            <w:tcW w:w="1418" w:type="dxa"/>
          </w:tcPr>
          <w:p w14:paraId="54F1A71D" w14:textId="1CBB0B68" w:rsidR="00E30687" w:rsidRDefault="00E30687" w:rsidP="00E30687">
            <w:pPr>
              <w:jc w:val="center"/>
              <w:rPr>
                <w:rFonts w:cstheme="minorHAnsi"/>
                <w:b/>
                <w:bCs/>
                <w:szCs w:val="24"/>
              </w:rPr>
            </w:pPr>
            <w:r>
              <w:rPr>
                <w:rFonts w:cstheme="minorHAnsi"/>
                <w:b/>
                <w:bCs/>
                <w:szCs w:val="24"/>
              </w:rPr>
              <w:t>12</w:t>
            </w:r>
          </w:p>
        </w:tc>
        <w:tc>
          <w:tcPr>
            <w:tcW w:w="1366" w:type="dxa"/>
            <w:shd w:val="clear" w:color="auto" w:fill="FF0000"/>
          </w:tcPr>
          <w:p w14:paraId="55A4E3F8" w14:textId="7D621FBD" w:rsidR="00E30687" w:rsidRDefault="00E30687" w:rsidP="00E30687">
            <w:pPr>
              <w:jc w:val="center"/>
              <w:rPr>
                <w:rFonts w:cstheme="minorHAnsi"/>
                <w:b/>
                <w:bCs/>
                <w:szCs w:val="24"/>
              </w:rPr>
            </w:pPr>
            <w:r>
              <w:rPr>
                <w:rFonts w:cstheme="minorHAnsi"/>
                <w:b/>
                <w:bCs/>
                <w:szCs w:val="24"/>
              </w:rPr>
              <w:t>High</w:t>
            </w:r>
          </w:p>
        </w:tc>
      </w:tr>
      <w:tr w:rsidR="00E30687" w14:paraId="5F86A3C7" w14:textId="77777777" w:rsidTr="0059216B">
        <w:trPr>
          <w:cantSplit/>
        </w:trPr>
        <w:tc>
          <w:tcPr>
            <w:tcW w:w="6232" w:type="dxa"/>
          </w:tcPr>
          <w:p w14:paraId="74F04A00" w14:textId="77777777" w:rsidR="00E30687" w:rsidRPr="000E0398" w:rsidRDefault="00E30687" w:rsidP="00E30687">
            <w:pPr>
              <w:spacing w:line="276" w:lineRule="auto"/>
              <w:rPr>
                <w:rFonts w:cstheme="minorHAnsi"/>
                <w:b/>
                <w:bCs/>
                <w:szCs w:val="24"/>
              </w:rPr>
            </w:pPr>
            <w:r w:rsidRPr="000E0398">
              <w:rPr>
                <w:rFonts w:cstheme="minorHAnsi"/>
                <w:b/>
                <w:bCs/>
                <w:szCs w:val="24"/>
              </w:rPr>
              <w:t>740: Nature Finance</w:t>
            </w:r>
          </w:p>
          <w:p w14:paraId="4153D83D" w14:textId="77777777" w:rsidR="00E30687" w:rsidRPr="00271191" w:rsidRDefault="00E30687" w:rsidP="00E30687">
            <w:pPr>
              <w:spacing w:line="276" w:lineRule="auto"/>
              <w:rPr>
                <w:rFonts w:cstheme="minorHAnsi"/>
                <w:szCs w:val="24"/>
              </w:rPr>
            </w:pPr>
            <w:r w:rsidRPr="00271191">
              <w:rPr>
                <w:rFonts w:cstheme="minorHAnsi"/>
                <w:szCs w:val="24"/>
              </w:rPr>
              <w:t xml:space="preserve">As a result of any or </w:t>
            </w:r>
            <w:proofErr w:type="gramStart"/>
            <w:r w:rsidRPr="00271191">
              <w:rPr>
                <w:rFonts w:cstheme="minorHAnsi"/>
                <w:szCs w:val="24"/>
              </w:rPr>
              <w:t>all of</w:t>
            </w:r>
            <w:proofErr w:type="gramEnd"/>
            <w:r w:rsidRPr="00271191">
              <w:rPr>
                <w:rFonts w:cstheme="minorHAnsi"/>
                <w:szCs w:val="24"/>
              </w:rPr>
              <w:t xml:space="preserve"> poor governance; lack of due diligence; or poor communications, NatureScot’s reputation could be significantly damaged by misjudged or poorly delivered interventions to influence private investment in nature. There is also a risk that, if we do not proceed with the urgency required to stimulate private sector investment into nature, that significant nature restoration will be unachievable. There is therefore a balance of acting with due diligence, versus not acting at all. There are also specific risks attributed to individual projects or partnerships which are dealt with at the project level.</w:t>
            </w:r>
          </w:p>
          <w:p w14:paraId="494F56FC" w14:textId="77777777" w:rsidR="00E30687" w:rsidRDefault="00E30687" w:rsidP="00E30687">
            <w:pPr>
              <w:rPr>
                <w:rFonts w:cstheme="minorHAnsi"/>
                <w:i/>
                <w:iCs/>
                <w:szCs w:val="24"/>
                <w:lang w:val="en"/>
              </w:rPr>
            </w:pPr>
            <w:r w:rsidRPr="000E0398">
              <w:rPr>
                <w:rFonts w:cstheme="minorHAnsi"/>
                <w:b/>
                <w:bCs/>
                <w:i/>
                <w:iCs/>
                <w:szCs w:val="24"/>
              </w:rPr>
              <w:t>Risk Owner:</w:t>
            </w:r>
            <w:r w:rsidRPr="00271191">
              <w:rPr>
                <w:rFonts w:cstheme="minorHAnsi"/>
                <w:i/>
                <w:iCs/>
                <w:szCs w:val="24"/>
              </w:rPr>
              <w:t xml:space="preserve"> Graham Neville (</w:t>
            </w:r>
            <w:r w:rsidRPr="00271191">
              <w:rPr>
                <w:rFonts w:cstheme="minorHAnsi"/>
                <w:i/>
                <w:iCs/>
                <w:szCs w:val="24"/>
                <w:lang w:val="en"/>
              </w:rPr>
              <w:t>Head of Operations – North)</w:t>
            </w:r>
          </w:p>
          <w:p w14:paraId="374BEC6F" w14:textId="77777777" w:rsidR="00AB63D6" w:rsidRPr="000E0398" w:rsidRDefault="00AB63D6" w:rsidP="00E30687">
            <w:pPr>
              <w:rPr>
                <w:rFonts w:cstheme="minorHAnsi"/>
                <w:i/>
                <w:iCs/>
                <w:sz w:val="4"/>
                <w:szCs w:val="4"/>
                <w:lang w:val="en"/>
              </w:rPr>
            </w:pPr>
          </w:p>
          <w:p w14:paraId="75F54F23" w14:textId="489B67EA" w:rsidR="00AB63D6" w:rsidRPr="000E0398" w:rsidRDefault="00AB63D6" w:rsidP="00E30687">
            <w:pPr>
              <w:rPr>
                <w:rFonts w:cstheme="minorHAnsi"/>
                <w:b/>
                <w:bCs/>
                <w:sz w:val="4"/>
                <w:szCs w:val="4"/>
              </w:rPr>
            </w:pPr>
          </w:p>
        </w:tc>
        <w:tc>
          <w:tcPr>
            <w:tcW w:w="1418" w:type="dxa"/>
          </w:tcPr>
          <w:p w14:paraId="5EE9F463" w14:textId="01121C42" w:rsidR="00E30687" w:rsidRDefault="00E30687" w:rsidP="00E30687">
            <w:pPr>
              <w:jc w:val="center"/>
              <w:rPr>
                <w:rFonts w:cstheme="minorHAnsi"/>
                <w:b/>
                <w:bCs/>
                <w:szCs w:val="24"/>
              </w:rPr>
            </w:pPr>
            <w:r>
              <w:rPr>
                <w:rFonts w:cstheme="minorHAnsi"/>
                <w:b/>
                <w:bCs/>
                <w:szCs w:val="24"/>
              </w:rPr>
              <w:t>12</w:t>
            </w:r>
          </w:p>
        </w:tc>
        <w:tc>
          <w:tcPr>
            <w:tcW w:w="1366" w:type="dxa"/>
            <w:shd w:val="clear" w:color="auto" w:fill="FF0000"/>
          </w:tcPr>
          <w:p w14:paraId="505171C6" w14:textId="1873E726" w:rsidR="00E30687" w:rsidRDefault="00E30687" w:rsidP="00E30687">
            <w:pPr>
              <w:jc w:val="center"/>
              <w:rPr>
                <w:rFonts w:cstheme="minorHAnsi"/>
                <w:b/>
                <w:bCs/>
                <w:szCs w:val="24"/>
              </w:rPr>
            </w:pPr>
            <w:r>
              <w:rPr>
                <w:rFonts w:cstheme="minorHAnsi"/>
                <w:b/>
                <w:bCs/>
                <w:szCs w:val="24"/>
              </w:rPr>
              <w:t>High</w:t>
            </w:r>
          </w:p>
        </w:tc>
      </w:tr>
      <w:tr w:rsidR="00AB63D6" w14:paraId="7E3445ED" w14:textId="77777777" w:rsidTr="0059216B">
        <w:trPr>
          <w:cantSplit/>
        </w:trPr>
        <w:tc>
          <w:tcPr>
            <w:tcW w:w="6232" w:type="dxa"/>
          </w:tcPr>
          <w:p w14:paraId="5903D468" w14:textId="77777777" w:rsidR="00AB63D6" w:rsidRPr="000E0398" w:rsidRDefault="00AB63D6" w:rsidP="00AB63D6">
            <w:pPr>
              <w:spacing w:line="276" w:lineRule="auto"/>
              <w:rPr>
                <w:rFonts w:cstheme="minorHAnsi"/>
                <w:b/>
                <w:bCs/>
                <w:szCs w:val="24"/>
              </w:rPr>
            </w:pPr>
            <w:r w:rsidRPr="000E0398">
              <w:rPr>
                <w:rFonts w:cstheme="minorHAnsi"/>
                <w:b/>
                <w:bCs/>
                <w:szCs w:val="24"/>
              </w:rPr>
              <w:t>755 - Strategic Resource Management</w:t>
            </w:r>
          </w:p>
          <w:p w14:paraId="02F88322" w14:textId="77777777" w:rsidR="00AB63D6" w:rsidRPr="002460CC" w:rsidRDefault="00AB63D6" w:rsidP="00AB63D6">
            <w:pPr>
              <w:spacing w:line="276" w:lineRule="auto"/>
              <w:rPr>
                <w:rFonts w:cstheme="minorHAnsi"/>
                <w:szCs w:val="24"/>
              </w:rPr>
            </w:pPr>
            <w:r w:rsidRPr="00271191">
              <w:rPr>
                <w:rFonts w:cstheme="minorHAnsi"/>
                <w:szCs w:val="24"/>
              </w:rPr>
              <w:t>As a result of inadequate strategic resource management there is a risk that NatureScot does not prioritise and allocate its staff resources effectively and efficiently. This could lead to NatureScot failing to achieve its Corporate and Business Plan outcomes.</w:t>
            </w:r>
          </w:p>
          <w:p w14:paraId="1C45F786" w14:textId="12CB71AB" w:rsidR="00AB63D6" w:rsidRDefault="00AB63D6" w:rsidP="00AB63D6">
            <w:pPr>
              <w:rPr>
                <w:rFonts w:cstheme="minorHAnsi"/>
                <w:b/>
                <w:bCs/>
                <w:szCs w:val="24"/>
              </w:rPr>
            </w:pPr>
            <w:r w:rsidRPr="00271191">
              <w:rPr>
                <w:rFonts w:cstheme="minorHAnsi"/>
                <w:i/>
                <w:iCs/>
                <w:szCs w:val="24"/>
              </w:rPr>
              <w:t>Risk Owner: John Donnelly (Head of Finance)</w:t>
            </w:r>
          </w:p>
        </w:tc>
        <w:tc>
          <w:tcPr>
            <w:tcW w:w="1418" w:type="dxa"/>
          </w:tcPr>
          <w:p w14:paraId="4335906B" w14:textId="55E3C647" w:rsidR="00AB63D6" w:rsidRDefault="00AB63D6" w:rsidP="00AB63D6">
            <w:pPr>
              <w:jc w:val="center"/>
              <w:rPr>
                <w:rFonts w:cstheme="minorHAnsi"/>
                <w:b/>
                <w:bCs/>
                <w:szCs w:val="24"/>
              </w:rPr>
            </w:pPr>
            <w:r>
              <w:rPr>
                <w:rFonts w:cstheme="minorHAnsi"/>
                <w:b/>
                <w:bCs/>
                <w:szCs w:val="24"/>
              </w:rPr>
              <w:t>12</w:t>
            </w:r>
          </w:p>
        </w:tc>
        <w:tc>
          <w:tcPr>
            <w:tcW w:w="1366" w:type="dxa"/>
            <w:shd w:val="clear" w:color="auto" w:fill="FF0000"/>
          </w:tcPr>
          <w:p w14:paraId="78F2304F" w14:textId="7CBFB057" w:rsidR="00AB63D6" w:rsidRDefault="00AB63D6" w:rsidP="00AB63D6">
            <w:pPr>
              <w:jc w:val="center"/>
              <w:rPr>
                <w:rFonts w:cstheme="minorHAnsi"/>
                <w:b/>
                <w:bCs/>
                <w:szCs w:val="24"/>
              </w:rPr>
            </w:pPr>
            <w:r>
              <w:rPr>
                <w:rFonts w:cstheme="minorHAnsi"/>
                <w:b/>
                <w:bCs/>
                <w:szCs w:val="24"/>
              </w:rPr>
              <w:t>High</w:t>
            </w:r>
          </w:p>
        </w:tc>
      </w:tr>
      <w:tr w:rsidR="00AB63D6" w14:paraId="21443B5B" w14:textId="77777777" w:rsidTr="0059216B">
        <w:trPr>
          <w:cantSplit/>
        </w:trPr>
        <w:tc>
          <w:tcPr>
            <w:tcW w:w="6232" w:type="dxa"/>
          </w:tcPr>
          <w:p w14:paraId="2B5D4A86" w14:textId="77777777" w:rsidR="00AB63D6" w:rsidRPr="000E0398" w:rsidRDefault="00AB63D6" w:rsidP="00AB63D6">
            <w:pPr>
              <w:spacing w:line="276" w:lineRule="auto"/>
              <w:rPr>
                <w:rFonts w:cstheme="minorHAnsi"/>
                <w:b/>
                <w:bCs/>
                <w:szCs w:val="24"/>
              </w:rPr>
            </w:pPr>
            <w:r w:rsidRPr="000E0398">
              <w:rPr>
                <w:rFonts w:cstheme="minorHAnsi"/>
                <w:b/>
                <w:bCs/>
                <w:szCs w:val="24"/>
              </w:rPr>
              <w:lastRenderedPageBreak/>
              <w:t>85: Adapting to Strategic Change</w:t>
            </w:r>
          </w:p>
          <w:p w14:paraId="3500CD5F" w14:textId="77777777" w:rsidR="00AB63D6" w:rsidRPr="002460CC" w:rsidRDefault="00AB63D6" w:rsidP="00AB63D6">
            <w:pPr>
              <w:spacing w:line="276" w:lineRule="auto"/>
              <w:rPr>
                <w:rFonts w:cstheme="minorHAnsi"/>
                <w:szCs w:val="24"/>
              </w:rPr>
            </w:pPr>
            <w:r w:rsidRPr="00271191">
              <w:rPr>
                <w:rFonts w:cstheme="minorHAnsi"/>
                <w:szCs w:val="24"/>
              </w:rPr>
              <w:t>As a result of unpreparedness for drivers of strategic change there is a risk that our responses may be misjudged or delayed. This could lead to increased costs in the future, poor outcomes for people and nature, and reputational damage.</w:t>
            </w:r>
          </w:p>
          <w:p w14:paraId="10B1A859" w14:textId="77777777" w:rsidR="00AB63D6" w:rsidRDefault="00AB63D6" w:rsidP="00AB63D6">
            <w:pPr>
              <w:rPr>
                <w:rFonts w:cstheme="minorHAnsi"/>
                <w:i/>
                <w:iCs/>
                <w:szCs w:val="24"/>
              </w:rPr>
            </w:pPr>
            <w:r w:rsidRPr="000E0398">
              <w:rPr>
                <w:rFonts w:cstheme="minorHAnsi"/>
                <w:b/>
                <w:bCs/>
                <w:i/>
                <w:iCs/>
                <w:szCs w:val="24"/>
              </w:rPr>
              <w:t xml:space="preserve">Risk Owner: </w:t>
            </w:r>
            <w:r w:rsidRPr="00AB63D6">
              <w:rPr>
                <w:rFonts w:cstheme="minorHAnsi"/>
                <w:i/>
                <w:iCs/>
                <w:szCs w:val="24"/>
              </w:rPr>
              <w:t>Marie Hernandez</w:t>
            </w:r>
            <w:r w:rsidRPr="00271191">
              <w:rPr>
                <w:rFonts w:cstheme="minorHAnsi"/>
                <w:i/>
                <w:iCs/>
                <w:szCs w:val="24"/>
              </w:rPr>
              <w:t xml:space="preserve"> (Deputy Director, Business Services and Transformation)</w:t>
            </w:r>
          </w:p>
          <w:p w14:paraId="7E8044C3" w14:textId="7AD3956B" w:rsidR="00AB63D6" w:rsidRPr="000E0398" w:rsidRDefault="00AB63D6" w:rsidP="00AB63D6">
            <w:pPr>
              <w:rPr>
                <w:rFonts w:cstheme="minorHAnsi"/>
                <w:b/>
                <w:bCs/>
                <w:sz w:val="4"/>
                <w:szCs w:val="4"/>
              </w:rPr>
            </w:pPr>
          </w:p>
        </w:tc>
        <w:tc>
          <w:tcPr>
            <w:tcW w:w="1418" w:type="dxa"/>
          </w:tcPr>
          <w:p w14:paraId="37AB802E" w14:textId="77777777" w:rsidR="00AB63D6" w:rsidRDefault="00AB63D6" w:rsidP="00AB63D6">
            <w:pPr>
              <w:jc w:val="center"/>
              <w:rPr>
                <w:rFonts w:cstheme="minorHAnsi"/>
                <w:b/>
                <w:bCs/>
                <w:szCs w:val="24"/>
              </w:rPr>
            </w:pPr>
            <w:r>
              <w:rPr>
                <w:rFonts w:cstheme="minorHAnsi"/>
                <w:b/>
                <w:bCs/>
                <w:szCs w:val="24"/>
              </w:rPr>
              <w:t>9</w:t>
            </w:r>
          </w:p>
          <w:p w14:paraId="19DAD9CA" w14:textId="31A1EAE4" w:rsidR="00AB63D6" w:rsidRDefault="00AB63D6" w:rsidP="00AB63D6">
            <w:pPr>
              <w:jc w:val="center"/>
              <w:rPr>
                <w:rFonts w:cstheme="minorHAnsi"/>
                <w:b/>
                <w:bCs/>
                <w:szCs w:val="24"/>
              </w:rPr>
            </w:pPr>
          </w:p>
        </w:tc>
        <w:tc>
          <w:tcPr>
            <w:tcW w:w="1366" w:type="dxa"/>
            <w:shd w:val="clear" w:color="auto" w:fill="FFC000"/>
          </w:tcPr>
          <w:p w14:paraId="7BE1D20D" w14:textId="3FFB06EF" w:rsidR="00AB63D6" w:rsidRDefault="00AB63D6" w:rsidP="00AB63D6">
            <w:pPr>
              <w:jc w:val="center"/>
              <w:rPr>
                <w:rFonts w:cstheme="minorHAnsi"/>
                <w:b/>
                <w:bCs/>
                <w:szCs w:val="24"/>
              </w:rPr>
            </w:pPr>
            <w:r>
              <w:rPr>
                <w:rFonts w:cstheme="minorHAnsi"/>
                <w:b/>
                <w:bCs/>
                <w:szCs w:val="24"/>
              </w:rPr>
              <w:t>Medium</w:t>
            </w:r>
          </w:p>
        </w:tc>
      </w:tr>
      <w:tr w:rsidR="00AB63D6" w14:paraId="53F5DF95" w14:textId="77777777" w:rsidTr="0059216B">
        <w:trPr>
          <w:cantSplit/>
        </w:trPr>
        <w:tc>
          <w:tcPr>
            <w:tcW w:w="6232" w:type="dxa"/>
          </w:tcPr>
          <w:p w14:paraId="221816E5" w14:textId="77777777" w:rsidR="00AB63D6" w:rsidRPr="000E0398" w:rsidRDefault="00AB63D6" w:rsidP="00AB63D6">
            <w:pPr>
              <w:spacing w:line="276" w:lineRule="auto"/>
              <w:rPr>
                <w:rFonts w:cstheme="minorHAnsi"/>
                <w:b/>
                <w:bCs/>
                <w:szCs w:val="24"/>
              </w:rPr>
            </w:pPr>
            <w:r w:rsidRPr="000E0398">
              <w:rPr>
                <w:rFonts w:cstheme="minorHAnsi"/>
                <w:b/>
                <w:bCs/>
                <w:szCs w:val="24"/>
              </w:rPr>
              <w:t>137: Staff Resource Management</w:t>
            </w:r>
          </w:p>
          <w:p w14:paraId="11330DC2" w14:textId="77777777" w:rsidR="00AB63D6" w:rsidRPr="00271191" w:rsidRDefault="00AB63D6" w:rsidP="00AB63D6">
            <w:pPr>
              <w:spacing w:line="276" w:lineRule="auto"/>
              <w:rPr>
                <w:rFonts w:cstheme="minorHAnsi"/>
                <w:szCs w:val="24"/>
              </w:rPr>
            </w:pPr>
            <w:r w:rsidRPr="00271191">
              <w:rPr>
                <w:rFonts w:cstheme="minorHAnsi"/>
                <w:szCs w:val="24"/>
              </w:rPr>
              <w:t>As a result of not understanding our strategic workforce requirements and how that matches with our available skills and training programmes there is a risk that NatureScot does not have the necessary staff skills and capacity to deliver its Corporate Plan outcomes.</w:t>
            </w:r>
          </w:p>
          <w:p w14:paraId="368CFB2D" w14:textId="77777777" w:rsidR="00AB63D6" w:rsidRDefault="00AB63D6" w:rsidP="00AB63D6">
            <w:pPr>
              <w:rPr>
                <w:rFonts w:cstheme="minorHAnsi"/>
                <w:i/>
                <w:iCs/>
                <w:szCs w:val="24"/>
                <w:lang w:val="en"/>
              </w:rPr>
            </w:pPr>
            <w:r w:rsidRPr="000E0398">
              <w:rPr>
                <w:rFonts w:cstheme="minorHAnsi"/>
                <w:b/>
                <w:bCs/>
                <w:i/>
                <w:iCs/>
                <w:szCs w:val="24"/>
              </w:rPr>
              <w:t>Risk Owner:</w:t>
            </w:r>
            <w:r w:rsidRPr="00271191">
              <w:rPr>
                <w:rFonts w:cstheme="minorHAnsi"/>
                <w:i/>
                <w:iCs/>
                <w:szCs w:val="24"/>
              </w:rPr>
              <w:t xml:space="preserve"> Carrie Strong (</w:t>
            </w:r>
            <w:r w:rsidRPr="00271191">
              <w:rPr>
                <w:rFonts w:cstheme="minorHAnsi"/>
                <w:i/>
                <w:iCs/>
                <w:szCs w:val="24"/>
                <w:lang w:val="en"/>
              </w:rPr>
              <w:t>Head of People &amp; Organisational Development)</w:t>
            </w:r>
          </w:p>
          <w:p w14:paraId="7AF9FB64" w14:textId="77777777" w:rsidR="00AB63D6" w:rsidRPr="000E0398" w:rsidRDefault="00AB63D6" w:rsidP="00AB63D6">
            <w:pPr>
              <w:rPr>
                <w:rFonts w:cstheme="minorHAnsi"/>
                <w:i/>
                <w:iCs/>
                <w:sz w:val="4"/>
                <w:szCs w:val="4"/>
                <w:lang w:val="en"/>
              </w:rPr>
            </w:pPr>
          </w:p>
          <w:p w14:paraId="7B4975B6" w14:textId="6EA398A6" w:rsidR="00AB63D6" w:rsidRPr="000E0398" w:rsidRDefault="00AB63D6" w:rsidP="00AB63D6">
            <w:pPr>
              <w:rPr>
                <w:rFonts w:cstheme="minorHAnsi"/>
                <w:b/>
                <w:bCs/>
                <w:sz w:val="4"/>
                <w:szCs w:val="4"/>
              </w:rPr>
            </w:pPr>
          </w:p>
        </w:tc>
        <w:tc>
          <w:tcPr>
            <w:tcW w:w="1418" w:type="dxa"/>
          </w:tcPr>
          <w:p w14:paraId="4C35C24D" w14:textId="607EA5C9" w:rsidR="00AB63D6" w:rsidRDefault="00AB63D6" w:rsidP="00AB63D6">
            <w:pPr>
              <w:jc w:val="center"/>
              <w:rPr>
                <w:rFonts w:cstheme="minorHAnsi"/>
                <w:b/>
                <w:bCs/>
                <w:szCs w:val="24"/>
              </w:rPr>
            </w:pPr>
            <w:r>
              <w:rPr>
                <w:rFonts w:cstheme="minorHAnsi"/>
                <w:b/>
                <w:bCs/>
                <w:szCs w:val="24"/>
              </w:rPr>
              <w:t>9</w:t>
            </w:r>
          </w:p>
        </w:tc>
        <w:tc>
          <w:tcPr>
            <w:tcW w:w="1366" w:type="dxa"/>
            <w:shd w:val="clear" w:color="auto" w:fill="FFC000"/>
          </w:tcPr>
          <w:p w14:paraId="456BCF20" w14:textId="5FF02432" w:rsidR="00AB63D6" w:rsidRDefault="00AB63D6" w:rsidP="00AB63D6">
            <w:pPr>
              <w:jc w:val="center"/>
              <w:rPr>
                <w:rFonts w:cstheme="minorHAnsi"/>
                <w:b/>
                <w:bCs/>
                <w:szCs w:val="24"/>
              </w:rPr>
            </w:pPr>
            <w:r>
              <w:rPr>
                <w:rFonts w:cstheme="minorHAnsi"/>
                <w:b/>
                <w:bCs/>
                <w:szCs w:val="24"/>
              </w:rPr>
              <w:t>Medium</w:t>
            </w:r>
          </w:p>
        </w:tc>
      </w:tr>
      <w:tr w:rsidR="00AB63D6" w14:paraId="0035516B" w14:textId="77777777" w:rsidTr="0059216B">
        <w:trPr>
          <w:cantSplit/>
        </w:trPr>
        <w:tc>
          <w:tcPr>
            <w:tcW w:w="6232" w:type="dxa"/>
          </w:tcPr>
          <w:p w14:paraId="7A4790A3" w14:textId="77777777" w:rsidR="00AB63D6" w:rsidRPr="000E0398" w:rsidRDefault="00AB63D6" w:rsidP="00AB63D6">
            <w:pPr>
              <w:spacing w:line="276" w:lineRule="auto"/>
              <w:rPr>
                <w:rFonts w:cstheme="minorHAnsi"/>
                <w:b/>
                <w:bCs/>
                <w:szCs w:val="24"/>
              </w:rPr>
            </w:pPr>
            <w:r w:rsidRPr="000E0398">
              <w:rPr>
                <w:rFonts w:cstheme="minorHAnsi"/>
                <w:b/>
                <w:bCs/>
                <w:szCs w:val="24"/>
              </w:rPr>
              <w:t>761: Grant Funding Future Liabilities</w:t>
            </w:r>
          </w:p>
          <w:p w14:paraId="2684C403" w14:textId="77777777" w:rsidR="00AB63D6" w:rsidRPr="002460CC" w:rsidRDefault="00AB63D6" w:rsidP="00AB63D6">
            <w:pPr>
              <w:spacing w:line="276" w:lineRule="auto"/>
              <w:rPr>
                <w:rFonts w:cstheme="minorHAnsi"/>
                <w:szCs w:val="24"/>
              </w:rPr>
            </w:pPr>
            <w:r w:rsidRPr="00271191">
              <w:rPr>
                <w:rFonts w:cstheme="minorHAnsi"/>
                <w:szCs w:val="24"/>
              </w:rPr>
              <w:t>As a result of annual funding from the Scottish Government and wider uncertainties relating to public finances, there is a risk that NatureScot takes on financial liabilities due to managing medium term ring-fenced SG funds (PA/NRF/FIRNS), as well as offering multiyear funding awards which would have to be met from Grant in Aid if Scottish Government’s ring-fenced funding streams were to reduce or not be renewed.</w:t>
            </w:r>
          </w:p>
          <w:p w14:paraId="4E482C32" w14:textId="77777777" w:rsidR="00AB63D6" w:rsidRDefault="00AB63D6" w:rsidP="00AB63D6">
            <w:pPr>
              <w:rPr>
                <w:rFonts w:cstheme="minorHAnsi"/>
                <w:i/>
                <w:iCs/>
                <w:szCs w:val="24"/>
              </w:rPr>
            </w:pPr>
            <w:r w:rsidRPr="000E0398">
              <w:rPr>
                <w:rFonts w:cstheme="minorHAnsi"/>
                <w:b/>
                <w:bCs/>
                <w:i/>
                <w:iCs/>
                <w:szCs w:val="24"/>
              </w:rPr>
              <w:t>Risk Owner:</w:t>
            </w:r>
            <w:r w:rsidRPr="00271191">
              <w:rPr>
                <w:rFonts w:cstheme="minorHAnsi"/>
                <w:i/>
                <w:iCs/>
                <w:szCs w:val="24"/>
              </w:rPr>
              <w:t xml:space="preserve"> John Donnelly (Head of Finance)</w:t>
            </w:r>
          </w:p>
          <w:p w14:paraId="1A087492" w14:textId="77777777" w:rsidR="00AB63D6" w:rsidRPr="000E0398" w:rsidRDefault="00AB63D6" w:rsidP="00AB63D6">
            <w:pPr>
              <w:rPr>
                <w:rFonts w:cstheme="minorHAnsi"/>
                <w:i/>
                <w:iCs/>
                <w:sz w:val="4"/>
                <w:szCs w:val="4"/>
              </w:rPr>
            </w:pPr>
          </w:p>
          <w:p w14:paraId="13F66A2D" w14:textId="4E60783D" w:rsidR="00AB63D6" w:rsidRPr="000E0398" w:rsidRDefault="00AB63D6" w:rsidP="00AB63D6">
            <w:pPr>
              <w:rPr>
                <w:rFonts w:cstheme="minorHAnsi"/>
                <w:b/>
                <w:bCs/>
                <w:sz w:val="4"/>
                <w:szCs w:val="4"/>
              </w:rPr>
            </w:pPr>
          </w:p>
        </w:tc>
        <w:tc>
          <w:tcPr>
            <w:tcW w:w="1418" w:type="dxa"/>
          </w:tcPr>
          <w:p w14:paraId="6F53F4A5" w14:textId="23B2ED07" w:rsidR="00AB63D6" w:rsidRDefault="00AB63D6" w:rsidP="00AB63D6">
            <w:pPr>
              <w:jc w:val="center"/>
              <w:rPr>
                <w:rFonts w:cstheme="minorHAnsi"/>
                <w:b/>
                <w:bCs/>
                <w:szCs w:val="24"/>
              </w:rPr>
            </w:pPr>
            <w:r>
              <w:rPr>
                <w:rFonts w:cstheme="minorHAnsi"/>
                <w:b/>
                <w:bCs/>
                <w:szCs w:val="24"/>
              </w:rPr>
              <w:t>8</w:t>
            </w:r>
          </w:p>
        </w:tc>
        <w:tc>
          <w:tcPr>
            <w:tcW w:w="1366" w:type="dxa"/>
            <w:shd w:val="clear" w:color="auto" w:fill="FFC000"/>
          </w:tcPr>
          <w:p w14:paraId="02DD55E8" w14:textId="4EA553DB" w:rsidR="00AB63D6" w:rsidRDefault="00AB63D6" w:rsidP="00AB63D6">
            <w:pPr>
              <w:jc w:val="center"/>
              <w:rPr>
                <w:rFonts w:cstheme="minorHAnsi"/>
                <w:b/>
                <w:bCs/>
                <w:szCs w:val="24"/>
              </w:rPr>
            </w:pPr>
            <w:r>
              <w:rPr>
                <w:rFonts w:cstheme="minorHAnsi"/>
                <w:b/>
                <w:bCs/>
                <w:szCs w:val="24"/>
              </w:rPr>
              <w:t>Medium</w:t>
            </w:r>
          </w:p>
        </w:tc>
      </w:tr>
      <w:tr w:rsidR="00AB63D6" w14:paraId="5AFC7B71" w14:textId="77777777" w:rsidTr="0059216B">
        <w:trPr>
          <w:cantSplit/>
        </w:trPr>
        <w:tc>
          <w:tcPr>
            <w:tcW w:w="6232" w:type="dxa"/>
          </w:tcPr>
          <w:p w14:paraId="65F18B22" w14:textId="77777777" w:rsidR="00AB63D6" w:rsidRPr="000E0398" w:rsidRDefault="00AB63D6" w:rsidP="00AB63D6">
            <w:pPr>
              <w:spacing w:line="276" w:lineRule="auto"/>
              <w:rPr>
                <w:rFonts w:cstheme="minorHAnsi"/>
                <w:b/>
                <w:bCs/>
                <w:szCs w:val="24"/>
              </w:rPr>
            </w:pPr>
            <w:r w:rsidRPr="000E0398">
              <w:rPr>
                <w:rFonts w:cstheme="minorHAnsi"/>
                <w:b/>
                <w:bCs/>
                <w:szCs w:val="24"/>
              </w:rPr>
              <w:t>21: Budget Management</w:t>
            </w:r>
          </w:p>
          <w:p w14:paraId="7E73826C" w14:textId="77777777" w:rsidR="00AB63D6" w:rsidRPr="002460CC" w:rsidRDefault="00AB63D6" w:rsidP="00AB63D6">
            <w:pPr>
              <w:spacing w:line="276" w:lineRule="auto"/>
              <w:rPr>
                <w:rFonts w:cstheme="minorHAnsi"/>
                <w:szCs w:val="24"/>
              </w:rPr>
            </w:pPr>
            <w:r w:rsidRPr="00271191">
              <w:rPr>
                <w:rFonts w:cstheme="minorHAnsi"/>
                <w:szCs w:val="24"/>
              </w:rPr>
              <w:t>As a result of inadequate management and monitoring of the variables around the allocation and spending of NatureScot’s grant in aid budget, there is a risk of a significant underspend or overspend against our annual budget which would represent poor utilisation of public funds towards nature recovery with reduced confidence in our financial management and possible future budget restrictions/penalties.</w:t>
            </w:r>
          </w:p>
          <w:p w14:paraId="7073FEC1" w14:textId="77777777" w:rsidR="00AB63D6" w:rsidRDefault="00AB63D6" w:rsidP="00AB63D6">
            <w:pPr>
              <w:rPr>
                <w:rFonts w:cstheme="minorHAnsi"/>
                <w:i/>
                <w:iCs/>
                <w:szCs w:val="24"/>
              </w:rPr>
            </w:pPr>
            <w:r w:rsidRPr="000E0398">
              <w:rPr>
                <w:rFonts w:cstheme="minorHAnsi"/>
                <w:b/>
                <w:bCs/>
                <w:i/>
                <w:iCs/>
                <w:szCs w:val="24"/>
              </w:rPr>
              <w:t>Risk Owner:</w:t>
            </w:r>
            <w:r w:rsidRPr="00271191">
              <w:rPr>
                <w:rFonts w:cstheme="minorHAnsi"/>
                <w:i/>
                <w:iCs/>
                <w:szCs w:val="24"/>
              </w:rPr>
              <w:t xml:space="preserve"> John Donnelly (Head of Finance)</w:t>
            </w:r>
          </w:p>
          <w:p w14:paraId="3CE1B2CB" w14:textId="305F58BB" w:rsidR="00AB63D6" w:rsidRPr="000E0398" w:rsidRDefault="00AB63D6" w:rsidP="00AB63D6">
            <w:pPr>
              <w:rPr>
                <w:rFonts w:cstheme="minorHAnsi"/>
                <w:b/>
                <w:bCs/>
                <w:sz w:val="4"/>
                <w:szCs w:val="4"/>
              </w:rPr>
            </w:pPr>
          </w:p>
        </w:tc>
        <w:tc>
          <w:tcPr>
            <w:tcW w:w="1418" w:type="dxa"/>
          </w:tcPr>
          <w:p w14:paraId="3994EB9D" w14:textId="387A2673" w:rsidR="00AB63D6" w:rsidRDefault="00AB63D6" w:rsidP="00AB63D6">
            <w:pPr>
              <w:jc w:val="center"/>
              <w:rPr>
                <w:rFonts w:cstheme="minorHAnsi"/>
                <w:b/>
                <w:bCs/>
                <w:szCs w:val="24"/>
              </w:rPr>
            </w:pPr>
            <w:r>
              <w:rPr>
                <w:rFonts w:cstheme="minorHAnsi"/>
                <w:b/>
                <w:bCs/>
                <w:szCs w:val="24"/>
              </w:rPr>
              <w:t>6</w:t>
            </w:r>
          </w:p>
        </w:tc>
        <w:tc>
          <w:tcPr>
            <w:tcW w:w="1366" w:type="dxa"/>
            <w:shd w:val="clear" w:color="auto" w:fill="FFC000"/>
          </w:tcPr>
          <w:p w14:paraId="211FC605" w14:textId="7656CABC" w:rsidR="00AB63D6" w:rsidRDefault="00AB63D6" w:rsidP="00AB63D6">
            <w:pPr>
              <w:jc w:val="center"/>
              <w:rPr>
                <w:rFonts w:cstheme="minorHAnsi"/>
                <w:b/>
                <w:bCs/>
                <w:szCs w:val="24"/>
              </w:rPr>
            </w:pPr>
            <w:r>
              <w:rPr>
                <w:rFonts w:cstheme="minorHAnsi"/>
                <w:b/>
                <w:bCs/>
                <w:szCs w:val="24"/>
              </w:rPr>
              <w:t>Medium</w:t>
            </w:r>
          </w:p>
        </w:tc>
      </w:tr>
      <w:tr w:rsidR="00AB63D6" w14:paraId="7730B0FD" w14:textId="77777777" w:rsidTr="0059216B">
        <w:trPr>
          <w:cantSplit/>
        </w:trPr>
        <w:tc>
          <w:tcPr>
            <w:tcW w:w="6232" w:type="dxa"/>
          </w:tcPr>
          <w:p w14:paraId="5542C633" w14:textId="77777777" w:rsidR="00AB63D6" w:rsidRPr="000E0398" w:rsidRDefault="00AB63D6" w:rsidP="00AB63D6">
            <w:pPr>
              <w:spacing w:line="276" w:lineRule="auto"/>
              <w:rPr>
                <w:rFonts w:cstheme="minorHAnsi"/>
                <w:b/>
                <w:bCs/>
                <w:szCs w:val="24"/>
              </w:rPr>
            </w:pPr>
            <w:r w:rsidRPr="000E0398">
              <w:rPr>
                <w:rFonts w:cstheme="minorHAnsi"/>
                <w:b/>
                <w:bCs/>
                <w:szCs w:val="24"/>
              </w:rPr>
              <w:lastRenderedPageBreak/>
              <w:t>760: Transitional Arrangements for CEO</w:t>
            </w:r>
          </w:p>
          <w:p w14:paraId="7DBA8637" w14:textId="77777777" w:rsidR="00AB63D6" w:rsidRPr="002460CC" w:rsidRDefault="00AB63D6" w:rsidP="00AB63D6">
            <w:pPr>
              <w:spacing w:line="276" w:lineRule="auto"/>
              <w:rPr>
                <w:rFonts w:cstheme="minorHAnsi"/>
                <w:szCs w:val="24"/>
              </w:rPr>
            </w:pPr>
            <w:r w:rsidRPr="00271191">
              <w:rPr>
                <w:rFonts w:cstheme="minorHAnsi"/>
                <w:szCs w:val="24"/>
              </w:rPr>
              <w:t>As a result of an extended period without a formal appointment to the role of Chief Executive there is a risk that there is organisational uncertainty about the long term direction of NatureScot which may result in strategic drift and the risk that key organisational outcomes are not achieved.</w:t>
            </w:r>
          </w:p>
          <w:p w14:paraId="240FC307" w14:textId="77777777" w:rsidR="00AB63D6" w:rsidRDefault="00AB63D6" w:rsidP="00AB63D6">
            <w:pPr>
              <w:rPr>
                <w:rFonts w:cstheme="minorHAnsi"/>
                <w:i/>
                <w:iCs/>
                <w:szCs w:val="24"/>
              </w:rPr>
            </w:pPr>
            <w:r w:rsidRPr="000E0398">
              <w:rPr>
                <w:rFonts w:cstheme="minorHAnsi"/>
                <w:b/>
                <w:bCs/>
                <w:i/>
                <w:iCs/>
                <w:szCs w:val="24"/>
              </w:rPr>
              <w:t>Risk Owner:</w:t>
            </w:r>
            <w:r w:rsidRPr="00271191">
              <w:rPr>
                <w:rFonts w:cstheme="minorHAnsi"/>
                <w:i/>
                <w:iCs/>
                <w:szCs w:val="24"/>
              </w:rPr>
              <w:t xml:space="preserve"> Sandy Middleton (Chief of Staff)</w:t>
            </w:r>
          </w:p>
          <w:p w14:paraId="4DD3F3BB" w14:textId="77BBD733" w:rsidR="00AB63D6" w:rsidRPr="000E0398" w:rsidRDefault="00AB63D6" w:rsidP="00AB63D6">
            <w:pPr>
              <w:rPr>
                <w:rFonts w:cstheme="minorHAnsi"/>
                <w:b/>
                <w:bCs/>
                <w:sz w:val="4"/>
                <w:szCs w:val="4"/>
              </w:rPr>
            </w:pPr>
          </w:p>
        </w:tc>
        <w:tc>
          <w:tcPr>
            <w:tcW w:w="1418" w:type="dxa"/>
          </w:tcPr>
          <w:p w14:paraId="573A2652" w14:textId="2C0698B9" w:rsidR="00AB63D6" w:rsidRDefault="00AB63D6" w:rsidP="000E0398">
            <w:pPr>
              <w:jc w:val="center"/>
              <w:rPr>
                <w:rFonts w:cstheme="minorHAnsi"/>
                <w:b/>
                <w:bCs/>
                <w:szCs w:val="24"/>
              </w:rPr>
            </w:pPr>
            <w:r>
              <w:rPr>
                <w:rFonts w:cstheme="minorHAnsi"/>
                <w:b/>
                <w:bCs/>
                <w:szCs w:val="24"/>
              </w:rPr>
              <w:t>6</w:t>
            </w:r>
          </w:p>
        </w:tc>
        <w:tc>
          <w:tcPr>
            <w:tcW w:w="1366" w:type="dxa"/>
            <w:shd w:val="clear" w:color="auto" w:fill="FFC000"/>
          </w:tcPr>
          <w:p w14:paraId="6CDD0C60" w14:textId="35E834E4" w:rsidR="00AB63D6" w:rsidRDefault="00AB63D6" w:rsidP="000E0398">
            <w:pPr>
              <w:jc w:val="center"/>
              <w:rPr>
                <w:rFonts w:cstheme="minorHAnsi"/>
                <w:b/>
                <w:bCs/>
                <w:szCs w:val="24"/>
              </w:rPr>
            </w:pPr>
            <w:r>
              <w:rPr>
                <w:rFonts w:cstheme="minorHAnsi"/>
                <w:b/>
                <w:bCs/>
                <w:szCs w:val="24"/>
              </w:rPr>
              <w:t>Medium</w:t>
            </w:r>
          </w:p>
        </w:tc>
      </w:tr>
    </w:tbl>
    <w:p w14:paraId="723C37E7" w14:textId="77777777" w:rsidR="0003467C" w:rsidRPr="005E5D05" w:rsidRDefault="0003467C" w:rsidP="00361A92">
      <w:pPr>
        <w:spacing w:after="0" w:line="240" w:lineRule="auto"/>
        <w:rPr>
          <w:rFonts w:cstheme="minorHAnsi"/>
          <w:b/>
          <w:bCs/>
          <w:szCs w:val="24"/>
        </w:rPr>
      </w:pPr>
    </w:p>
    <w:sectPr w:rsidR="0003467C" w:rsidRPr="005E5D05" w:rsidSect="00604DB9">
      <w:headerReference w:type="default" r:id="rId11"/>
      <w:footerReference w:type="default" r:id="rId12"/>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DBEC" w14:textId="77777777" w:rsidR="00A06FFE" w:rsidRDefault="00A06FFE" w:rsidP="00204D20">
      <w:pPr>
        <w:spacing w:after="0" w:line="240" w:lineRule="auto"/>
      </w:pPr>
      <w:r>
        <w:separator/>
      </w:r>
    </w:p>
  </w:endnote>
  <w:endnote w:type="continuationSeparator" w:id="0">
    <w:p w14:paraId="6D8E9443" w14:textId="77777777" w:rsidR="00A06FFE" w:rsidRDefault="00A06FFE"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1A93" w14:textId="77777777" w:rsidR="00A06FFE" w:rsidRDefault="00A06FFE" w:rsidP="00204D20">
      <w:pPr>
        <w:spacing w:after="0" w:line="240" w:lineRule="auto"/>
      </w:pPr>
      <w:r>
        <w:separator/>
      </w:r>
    </w:p>
  </w:footnote>
  <w:footnote w:type="continuationSeparator" w:id="0">
    <w:p w14:paraId="24ACB627" w14:textId="77777777" w:rsidR="00A06FFE" w:rsidRDefault="00A06FFE"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AAEB" w14:textId="6A09BDE1" w:rsidR="00145A2B" w:rsidRDefault="00145A2B" w:rsidP="00145A2B">
    <w:pPr>
      <w:pStyle w:val="Header"/>
      <w:jc w:val="right"/>
    </w:pPr>
    <w:r>
      <w:t>BOARD/221/11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F7F74"/>
    <w:multiLevelType w:val="hybridMultilevel"/>
    <w:tmpl w:val="9D0ECF1C"/>
    <w:lvl w:ilvl="0" w:tplc="F32A31D4">
      <w:start w:val="1"/>
      <w:numFmt w:val="decimal"/>
      <w:lvlText w:val="%1."/>
      <w:lvlJc w:val="left"/>
      <w:pPr>
        <w:ind w:left="720" w:hanging="360"/>
      </w:pPr>
      <w:rPr>
        <w:rFonts w:hint="default"/>
        <w:b/>
        <w:bCs/>
      </w:rPr>
    </w:lvl>
    <w:lvl w:ilvl="1" w:tplc="73202E98">
      <w:start w:val="1"/>
      <w:numFmt w:val="decimal"/>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7415F"/>
    <w:multiLevelType w:val="hybridMultilevel"/>
    <w:tmpl w:val="143CAF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2098E"/>
    <w:multiLevelType w:val="hybridMultilevel"/>
    <w:tmpl w:val="5F607994"/>
    <w:lvl w:ilvl="0" w:tplc="5A68DFC2">
      <w:start w:val="1"/>
      <w:numFmt w:val="lowerLetter"/>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E4086"/>
    <w:multiLevelType w:val="hybridMultilevel"/>
    <w:tmpl w:val="516C1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5C63CE"/>
    <w:multiLevelType w:val="hybridMultilevel"/>
    <w:tmpl w:val="4DA41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0241C"/>
    <w:multiLevelType w:val="hybridMultilevel"/>
    <w:tmpl w:val="00D0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56BC0"/>
    <w:multiLevelType w:val="hybridMultilevel"/>
    <w:tmpl w:val="E4E00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0C4B6D"/>
    <w:multiLevelType w:val="hybridMultilevel"/>
    <w:tmpl w:val="3F8407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5229BC"/>
    <w:multiLevelType w:val="hybridMultilevel"/>
    <w:tmpl w:val="27D6BAF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195E49"/>
    <w:multiLevelType w:val="multilevel"/>
    <w:tmpl w:val="AF889A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443D15"/>
    <w:multiLevelType w:val="hybridMultilevel"/>
    <w:tmpl w:val="06FA0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EB5552"/>
    <w:multiLevelType w:val="hybridMultilevel"/>
    <w:tmpl w:val="E1389D78"/>
    <w:lvl w:ilvl="0" w:tplc="5A68DFC2">
      <w:start w:val="1"/>
      <w:numFmt w:val="lowerLetter"/>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0E49CB"/>
    <w:multiLevelType w:val="multilevel"/>
    <w:tmpl w:val="882C6E82"/>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114000D"/>
    <w:multiLevelType w:val="hybridMultilevel"/>
    <w:tmpl w:val="4F0A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631F37"/>
    <w:multiLevelType w:val="hybridMultilevel"/>
    <w:tmpl w:val="87CC0B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737334"/>
    <w:multiLevelType w:val="hybridMultilevel"/>
    <w:tmpl w:val="B35A1DDA"/>
    <w:lvl w:ilvl="0" w:tplc="5A68DFC2">
      <w:start w:val="1"/>
      <w:numFmt w:val="lowerLetter"/>
      <w:lvlText w:val="%1)"/>
      <w:lvlJc w:val="left"/>
      <w:pPr>
        <w:ind w:left="360" w:hanging="360"/>
      </w:pPr>
      <w:rPr>
        <w:rFonts w:ascii="Calibri" w:hAnsi="Calibri"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766FAF"/>
    <w:multiLevelType w:val="hybridMultilevel"/>
    <w:tmpl w:val="EE360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8E6087"/>
    <w:multiLevelType w:val="hybridMultilevel"/>
    <w:tmpl w:val="B4DAA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AA77E8"/>
    <w:multiLevelType w:val="hybridMultilevel"/>
    <w:tmpl w:val="B6D0D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E5201E"/>
    <w:multiLevelType w:val="hybridMultilevel"/>
    <w:tmpl w:val="9D0ECF1C"/>
    <w:lvl w:ilvl="0" w:tplc="FFFFFFFF">
      <w:start w:val="1"/>
      <w:numFmt w:val="decimal"/>
      <w:lvlText w:val="%1."/>
      <w:lvlJc w:val="left"/>
      <w:pPr>
        <w:ind w:left="720" w:hanging="360"/>
      </w:pPr>
      <w:rPr>
        <w:rFonts w:hint="default"/>
        <w:b/>
        <w:bCs/>
      </w:rPr>
    </w:lvl>
    <w:lvl w:ilvl="1" w:tplc="FFFFFFFF">
      <w:start w:val="1"/>
      <w:numFmt w:val="decimal"/>
      <w:lvlText w:val="(%2."/>
      <w:lvlJc w:val="left"/>
      <w:pPr>
        <w:ind w:left="144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853620"/>
    <w:multiLevelType w:val="hybridMultilevel"/>
    <w:tmpl w:val="1F902ADA"/>
    <w:lvl w:ilvl="0" w:tplc="5A68DFC2">
      <w:start w:val="1"/>
      <w:numFmt w:val="lowerLetter"/>
      <w:lvlText w:val="%1)"/>
      <w:lvlJc w:val="left"/>
      <w:pPr>
        <w:ind w:left="720" w:hanging="360"/>
      </w:pPr>
      <w:rPr>
        <w:rFonts w:ascii="Calibri" w:hAnsi="Calibri" w:hint="default"/>
        <w:b/>
        <w:bCs/>
        <w:sz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2" w15:restartNumberingAfterBreak="0">
    <w:nsid w:val="578F55A2"/>
    <w:multiLevelType w:val="hybridMultilevel"/>
    <w:tmpl w:val="184A2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A52925"/>
    <w:multiLevelType w:val="hybridMultilevel"/>
    <w:tmpl w:val="5204E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882774"/>
    <w:multiLevelType w:val="hybridMultilevel"/>
    <w:tmpl w:val="B6CC55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B837412"/>
    <w:multiLevelType w:val="multilevel"/>
    <w:tmpl w:val="3D3A5608"/>
    <w:lvl w:ilvl="0">
      <w:start w:val="4"/>
      <w:numFmt w:val="decimal"/>
      <w:lvlText w:val="%1"/>
      <w:lvlJc w:val="left"/>
      <w:pPr>
        <w:ind w:left="420" w:hanging="420"/>
      </w:pPr>
      <w:rPr>
        <w:rFonts w:ascii="Calibri" w:hAnsi="Calibri" w:cs="Calibri" w:hint="default"/>
        <w:b/>
      </w:rPr>
    </w:lvl>
    <w:lvl w:ilvl="1">
      <w:start w:val="10"/>
      <w:numFmt w:val="decimal"/>
      <w:lvlText w:val="%1.%2"/>
      <w:lvlJc w:val="left"/>
      <w:pPr>
        <w:ind w:left="420" w:hanging="420"/>
      </w:pPr>
      <w:rPr>
        <w:rFonts w:ascii="Calibri" w:hAnsi="Calibri" w:cs="Calibri" w:hint="default"/>
        <w:b/>
      </w:rPr>
    </w:lvl>
    <w:lvl w:ilvl="2">
      <w:start w:val="1"/>
      <w:numFmt w:val="decimal"/>
      <w:lvlText w:val="%1.%2.%3"/>
      <w:lvlJc w:val="left"/>
      <w:pPr>
        <w:ind w:left="720" w:hanging="720"/>
      </w:pPr>
      <w:rPr>
        <w:rFonts w:ascii="Calibri" w:hAnsi="Calibri" w:cs="Calibri" w:hint="default"/>
        <w:b/>
      </w:rPr>
    </w:lvl>
    <w:lvl w:ilvl="3">
      <w:start w:val="1"/>
      <w:numFmt w:val="decimal"/>
      <w:lvlText w:val="%1.%2.%3.%4"/>
      <w:lvlJc w:val="left"/>
      <w:pPr>
        <w:ind w:left="720" w:hanging="720"/>
      </w:pPr>
      <w:rPr>
        <w:rFonts w:ascii="Calibri" w:hAnsi="Calibri" w:cs="Calibri" w:hint="default"/>
        <w:b/>
      </w:rPr>
    </w:lvl>
    <w:lvl w:ilvl="4">
      <w:start w:val="1"/>
      <w:numFmt w:val="decimal"/>
      <w:lvlText w:val="%1.%2.%3.%4.%5"/>
      <w:lvlJc w:val="left"/>
      <w:pPr>
        <w:ind w:left="1080" w:hanging="1080"/>
      </w:pPr>
      <w:rPr>
        <w:rFonts w:ascii="Calibri" w:hAnsi="Calibri" w:cs="Calibri" w:hint="default"/>
        <w:b/>
      </w:rPr>
    </w:lvl>
    <w:lvl w:ilvl="5">
      <w:start w:val="1"/>
      <w:numFmt w:val="decimal"/>
      <w:lvlText w:val="%1.%2.%3.%4.%5.%6"/>
      <w:lvlJc w:val="left"/>
      <w:pPr>
        <w:ind w:left="1080" w:hanging="1080"/>
      </w:pPr>
      <w:rPr>
        <w:rFonts w:ascii="Calibri" w:hAnsi="Calibri" w:cs="Calibri" w:hint="default"/>
        <w:b/>
      </w:rPr>
    </w:lvl>
    <w:lvl w:ilvl="6">
      <w:start w:val="1"/>
      <w:numFmt w:val="decimal"/>
      <w:lvlText w:val="%1.%2.%3.%4.%5.%6.%7"/>
      <w:lvlJc w:val="left"/>
      <w:pPr>
        <w:ind w:left="1440" w:hanging="1440"/>
      </w:pPr>
      <w:rPr>
        <w:rFonts w:ascii="Calibri" w:hAnsi="Calibri" w:cs="Calibri" w:hint="default"/>
        <w:b/>
      </w:rPr>
    </w:lvl>
    <w:lvl w:ilvl="7">
      <w:start w:val="1"/>
      <w:numFmt w:val="decimal"/>
      <w:lvlText w:val="%1.%2.%3.%4.%5.%6.%7.%8"/>
      <w:lvlJc w:val="left"/>
      <w:pPr>
        <w:ind w:left="1440" w:hanging="1440"/>
      </w:pPr>
      <w:rPr>
        <w:rFonts w:ascii="Calibri" w:hAnsi="Calibri" w:cs="Calibri" w:hint="default"/>
        <w:b/>
      </w:rPr>
    </w:lvl>
    <w:lvl w:ilvl="8">
      <w:start w:val="1"/>
      <w:numFmt w:val="decimal"/>
      <w:lvlText w:val="%1.%2.%3.%4.%5.%6.%7.%8.%9"/>
      <w:lvlJc w:val="left"/>
      <w:pPr>
        <w:ind w:left="1800" w:hanging="1800"/>
      </w:pPr>
      <w:rPr>
        <w:rFonts w:ascii="Calibri" w:hAnsi="Calibri" w:cs="Calibri" w:hint="default"/>
        <w:b/>
      </w:rPr>
    </w:lvl>
  </w:abstractNum>
  <w:abstractNum w:abstractNumId="36" w15:restartNumberingAfterBreak="0">
    <w:nsid w:val="5BDB1BEA"/>
    <w:multiLevelType w:val="hybridMultilevel"/>
    <w:tmpl w:val="415CDAF6"/>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E122FE7"/>
    <w:multiLevelType w:val="hybridMultilevel"/>
    <w:tmpl w:val="5DB69EC0"/>
    <w:lvl w:ilvl="0" w:tplc="FFFFFFFF">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213F2"/>
    <w:multiLevelType w:val="hybridMultilevel"/>
    <w:tmpl w:val="B202718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6330652"/>
    <w:multiLevelType w:val="multilevel"/>
    <w:tmpl w:val="7576BD0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440909"/>
    <w:multiLevelType w:val="hybridMultilevel"/>
    <w:tmpl w:val="62DAD8B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D24C33"/>
    <w:multiLevelType w:val="hybridMultilevel"/>
    <w:tmpl w:val="5DB69EC0"/>
    <w:lvl w:ilvl="0" w:tplc="C02E1AD6">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7E0ABD"/>
    <w:multiLevelType w:val="hybridMultilevel"/>
    <w:tmpl w:val="37D65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3976940">
    <w:abstractNumId w:val="45"/>
  </w:num>
  <w:num w:numId="2" w16cid:durableId="391120054">
    <w:abstractNumId w:val="24"/>
  </w:num>
  <w:num w:numId="3" w16cid:durableId="1428233009">
    <w:abstractNumId w:val="42"/>
  </w:num>
  <w:num w:numId="4" w16cid:durableId="1693650776">
    <w:abstractNumId w:val="19"/>
  </w:num>
  <w:num w:numId="5" w16cid:durableId="676687727">
    <w:abstractNumId w:val="14"/>
  </w:num>
  <w:num w:numId="6" w16cid:durableId="1353217163">
    <w:abstractNumId w:val="8"/>
  </w:num>
  <w:num w:numId="7" w16cid:durableId="583953373">
    <w:abstractNumId w:val="25"/>
  </w:num>
  <w:num w:numId="8" w16cid:durableId="278416281">
    <w:abstractNumId w:val="22"/>
  </w:num>
  <w:num w:numId="9" w16cid:durableId="1102381683">
    <w:abstractNumId w:val="4"/>
  </w:num>
  <w:num w:numId="10" w16cid:durableId="138883948">
    <w:abstractNumId w:val="30"/>
  </w:num>
  <w:num w:numId="11" w16cid:durableId="1745443903">
    <w:abstractNumId w:val="0"/>
  </w:num>
  <w:num w:numId="12" w16cid:durableId="83036238">
    <w:abstractNumId w:val="38"/>
  </w:num>
  <w:num w:numId="13" w16cid:durableId="1596745700">
    <w:abstractNumId w:val="41"/>
  </w:num>
  <w:num w:numId="14" w16cid:durableId="2068797000">
    <w:abstractNumId w:val="46"/>
  </w:num>
  <w:num w:numId="15" w16cid:durableId="1150364867">
    <w:abstractNumId w:val="20"/>
  </w:num>
  <w:num w:numId="16" w16cid:durableId="1188718780">
    <w:abstractNumId w:val="2"/>
  </w:num>
  <w:num w:numId="17" w16cid:durableId="1192691624">
    <w:abstractNumId w:val="18"/>
  </w:num>
  <w:num w:numId="18" w16cid:durableId="1144734103">
    <w:abstractNumId w:val="18"/>
  </w:num>
  <w:num w:numId="19" w16cid:durableId="678048640">
    <w:abstractNumId w:val="26"/>
  </w:num>
  <w:num w:numId="20" w16cid:durableId="8470187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7866451">
    <w:abstractNumId w:val="44"/>
  </w:num>
  <w:num w:numId="22" w16cid:durableId="1714452932">
    <w:abstractNumId w:val="37"/>
  </w:num>
  <w:num w:numId="23" w16cid:durableId="1389720028">
    <w:abstractNumId w:val="32"/>
  </w:num>
  <w:num w:numId="24" w16cid:durableId="1446656954">
    <w:abstractNumId w:val="1"/>
  </w:num>
  <w:num w:numId="25" w16cid:durableId="341200492">
    <w:abstractNumId w:val="36"/>
  </w:num>
  <w:num w:numId="26" w16cid:durableId="1101875189">
    <w:abstractNumId w:val="21"/>
  </w:num>
  <w:num w:numId="27" w16cid:durableId="1825970686">
    <w:abstractNumId w:val="39"/>
  </w:num>
  <w:num w:numId="28" w16cid:durableId="210533255">
    <w:abstractNumId w:val="43"/>
  </w:num>
  <w:num w:numId="29" w16cid:durableId="72969351">
    <w:abstractNumId w:val="27"/>
  </w:num>
  <w:num w:numId="30" w16cid:durableId="1638562252">
    <w:abstractNumId w:val="29"/>
  </w:num>
  <w:num w:numId="31" w16cid:durableId="1485050488">
    <w:abstractNumId w:val="13"/>
  </w:num>
  <w:num w:numId="32" w16cid:durableId="4796185">
    <w:abstractNumId w:val="12"/>
  </w:num>
  <w:num w:numId="33" w16cid:durableId="2107385815">
    <w:abstractNumId w:val="40"/>
  </w:num>
  <w:num w:numId="34" w16cid:durableId="770320126">
    <w:abstractNumId w:val="3"/>
  </w:num>
  <w:num w:numId="35" w16cid:durableId="1806507105">
    <w:abstractNumId w:val="17"/>
  </w:num>
  <w:num w:numId="36" w16cid:durableId="1863978455">
    <w:abstractNumId w:val="35"/>
  </w:num>
  <w:num w:numId="37" w16cid:durableId="195822565">
    <w:abstractNumId w:val="9"/>
  </w:num>
  <w:num w:numId="38" w16cid:durableId="204876182">
    <w:abstractNumId w:val="7"/>
  </w:num>
  <w:num w:numId="39" w16cid:durableId="1707487393">
    <w:abstractNumId w:val="34"/>
  </w:num>
  <w:num w:numId="40" w16cid:durableId="1512792732">
    <w:abstractNumId w:val="33"/>
  </w:num>
  <w:num w:numId="41" w16cid:durableId="417337535">
    <w:abstractNumId w:val="10"/>
  </w:num>
  <w:num w:numId="42" w16cid:durableId="726026588">
    <w:abstractNumId w:val="31"/>
  </w:num>
  <w:num w:numId="43" w16cid:durableId="667948330">
    <w:abstractNumId w:val="16"/>
  </w:num>
  <w:num w:numId="44" w16cid:durableId="331613409">
    <w:abstractNumId w:val="28"/>
  </w:num>
  <w:num w:numId="45" w16cid:durableId="1329284854">
    <w:abstractNumId w:val="47"/>
  </w:num>
  <w:num w:numId="46" w16cid:durableId="981076983">
    <w:abstractNumId w:val="15"/>
  </w:num>
  <w:num w:numId="47" w16cid:durableId="804857424">
    <w:abstractNumId w:val="6"/>
  </w:num>
  <w:num w:numId="48" w16cid:durableId="1647079041">
    <w:abstractNumId w:val="5"/>
  </w:num>
  <w:num w:numId="49" w16cid:durableId="1474561187">
    <w:abstractNumId w:val="11"/>
  </w:num>
  <w:num w:numId="50" w16cid:durableId="18256579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12600"/>
    <w:rsid w:val="000139D3"/>
    <w:rsid w:val="00013B31"/>
    <w:rsid w:val="00014624"/>
    <w:rsid w:val="00031F6F"/>
    <w:rsid w:val="0003467C"/>
    <w:rsid w:val="00045ECA"/>
    <w:rsid w:val="0005475E"/>
    <w:rsid w:val="00065B76"/>
    <w:rsid w:val="000819DF"/>
    <w:rsid w:val="000874C7"/>
    <w:rsid w:val="0009327B"/>
    <w:rsid w:val="000936B1"/>
    <w:rsid w:val="000B5E33"/>
    <w:rsid w:val="000B62DF"/>
    <w:rsid w:val="000B716B"/>
    <w:rsid w:val="000C0406"/>
    <w:rsid w:val="000C4221"/>
    <w:rsid w:val="000C549D"/>
    <w:rsid w:val="000C7D0F"/>
    <w:rsid w:val="000D0EBF"/>
    <w:rsid w:val="000E0398"/>
    <w:rsid w:val="000E2B44"/>
    <w:rsid w:val="000E3F64"/>
    <w:rsid w:val="00101DE1"/>
    <w:rsid w:val="001033FB"/>
    <w:rsid w:val="00105631"/>
    <w:rsid w:val="00111B84"/>
    <w:rsid w:val="001160F9"/>
    <w:rsid w:val="001170EE"/>
    <w:rsid w:val="00117E0B"/>
    <w:rsid w:val="00120B7F"/>
    <w:rsid w:val="00121C84"/>
    <w:rsid w:val="00126D73"/>
    <w:rsid w:val="00132F97"/>
    <w:rsid w:val="001429B5"/>
    <w:rsid w:val="00145A2B"/>
    <w:rsid w:val="00146276"/>
    <w:rsid w:val="0015643A"/>
    <w:rsid w:val="0016293B"/>
    <w:rsid w:val="00162DE7"/>
    <w:rsid w:val="00164F3B"/>
    <w:rsid w:val="00170706"/>
    <w:rsid w:val="001753AB"/>
    <w:rsid w:val="00183C38"/>
    <w:rsid w:val="00190DCD"/>
    <w:rsid w:val="001916CD"/>
    <w:rsid w:val="00194AE2"/>
    <w:rsid w:val="001B6867"/>
    <w:rsid w:val="001D76E6"/>
    <w:rsid w:val="001F7397"/>
    <w:rsid w:val="00204D20"/>
    <w:rsid w:val="0020596F"/>
    <w:rsid w:val="00211FD2"/>
    <w:rsid w:val="00217896"/>
    <w:rsid w:val="00221102"/>
    <w:rsid w:val="002271D3"/>
    <w:rsid w:val="00230A28"/>
    <w:rsid w:val="00231F4D"/>
    <w:rsid w:val="002327D3"/>
    <w:rsid w:val="00236700"/>
    <w:rsid w:val="00237D2A"/>
    <w:rsid w:val="00257A02"/>
    <w:rsid w:val="00260593"/>
    <w:rsid w:val="00264512"/>
    <w:rsid w:val="00265931"/>
    <w:rsid w:val="00271191"/>
    <w:rsid w:val="0027493A"/>
    <w:rsid w:val="00276DCA"/>
    <w:rsid w:val="00291AEE"/>
    <w:rsid w:val="00292CFA"/>
    <w:rsid w:val="00295975"/>
    <w:rsid w:val="002A0408"/>
    <w:rsid w:val="002A3B00"/>
    <w:rsid w:val="002A7A0F"/>
    <w:rsid w:val="002C4E7E"/>
    <w:rsid w:val="002C7DB0"/>
    <w:rsid w:val="002D1B6E"/>
    <w:rsid w:val="002E1489"/>
    <w:rsid w:val="002E20C2"/>
    <w:rsid w:val="002F3730"/>
    <w:rsid w:val="00304855"/>
    <w:rsid w:val="003149C9"/>
    <w:rsid w:val="0032242B"/>
    <w:rsid w:val="00322D98"/>
    <w:rsid w:val="0032429D"/>
    <w:rsid w:val="00330493"/>
    <w:rsid w:val="0033297B"/>
    <w:rsid w:val="003344F1"/>
    <w:rsid w:val="00335C92"/>
    <w:rsid w:val="0034707C"/>
    <w:rsid w:val="0035225B"/>
    <w:rsid w:val="00361A92"/>
    <w:rsid w:val="00365021"/>
    <w:rsid w:val="00366E4B"/>
    <w:rsid w:val="003712F1"/>
    <w:rsid w:val="0037658D"/>
    <w:rsid w:val="00387703"/>
    <w:rsid w:val="0039220F"/>
    <w:rsid w:val="003A0BAA"/>
    <w:rsid w:val="003A1445"/>
    <w:rsid w:val="003B170D"/>
    <w:rsid w:val="003B6BED"/>
    <w:rsid w:val="003C0AD8"/>
    <w:rsid w:val="003C0B5D"/>
    <w:rsid w:val="003C3F48"/>
    <w:rsid w:val="003D205C"/>
    <w:rsid w:val="003E22BB"/>
    <w:rsid w:val="003E509E"/>
    <w:rsid w:val="003F3CA7"/>
    <w:rsid w:val="00415280"/>
    <w:rsid w:val="004256C5"/>
    <w:rsid w:val="0043698F"/>
    <w:rsid w:val="00460391"/>
    <w:rsid w:val="004659A4"/>
    <w:rsid w:val="00465C6D"/>
    <w:rsid w:val="00474D07"/>
    <w:rsid w:val="004908D5"/>
    <w:rsid w:val="004A1B7D"/>
    <w:rsid w:val="004B3017"/>
    <w:rsid w:val="004C42E7"/>
    <w:rsid w:val="004D07E8"/>
    <w:rsid w:val="004D1362"/>
    <w:rsid w:val="004D7F46"/>
    <w:rsid w:val="004F1BBD"/>
    <w:rsid w:val="004F3D8D"/>
    <w:rsid w:val="00501026"/>
    <w:rsid w:val="00505836"/>
    <w:rsid w:val="00506E5C"/>
    <w:rsid w:val="00517412"/>
    <w:rsid w:val="00520504"/>
    <w:rsid w:val="0052318E"/>
    <w:rsid w:val="005261AF"/>
    <w:rsid w:val="0052657A"/>
    <w:rsid w:val="00530421"/>
    <w:rsid w:val="00540FB2"/>
    <w:rsid w:val="00545A1C"/>
    <w:rsid w:val="00546D2A"/>
    <w:rsid w:val="005513F3"/>
    <w:rsid w:val="00562244"/>
    <w:rsid w:val="00567227"/>
    <w:rsid w:val="0058276D"/>
    <w:rsid w:val="0058373A"/>
    <w:rsid w:val="0058770D"/>
    <w:rsid w:val="0059216B"/>
    <w:rsid w:val="005926A8"/>
    <w:rsid w:val="005A6A00"/>
    <w:rsid w:val="005B2732"/>
    <w:rsid w:val="005B5A58"/>
    <w:rsid w:val="005C0F60"/>
    <w:rsid w:val="005C2858"/>
    <w:rsid w:val="005C2F1D"/>
    <w:rsid w:val="005C6F3F"/>
    <w:rsid w:val="005D0E4E"/>
    <w:rsid w:val="005D4E90"/>
    <w:rsid w:val="005E009A"/>
    <w:rsid w:val="005E5B5C"/>
    <w:rsid w:val="005E5D05"/>
    <w:rsid w:val="005F0420"/>
    <w:rsid w:val="005F2537"/>
    <w:rsid w:val="005F53C1"/>
    <w:rsid w:val="00600E8F"/>
    <w:rsid w:val="00604DB9"/>
    <w:rsid w:val="00605E6A"/>
    <w:rsid w:val="00611CD6"/>
    <w:rsid w:val="0061200E"/>
    <w:rsid w:val="00614885"/>
    <w:rsid w:val="00617BA8"/>
    <w:rsid w:val="00620493"/>
    <w:rsid w:val="00633F28"/>
    <w:rsid w:val="006358A4"/>
    <w:rsid w:val="006644A8"/>
    <w:rsid w:val="0067723A"/>
    <w:rsid w:val="00683DAA"/>
    <w:rsid w:val="00690252"/>
    <w:rsid w:val="00691FE9"/>
    <w:rsid w:val="006A7BFF"/>
    <w:rsid w:val="006A7F5B"/>
    <w:rsid w:val="006B08FA"/>
    <w:rsid w:val="006B2E56"/>
    <w:rsid w:val="006B521F"/>
    <w:rsid w:val="006C5ABD"/>
    <w:rsid w:val="006D17C7"/>
    <w:rsid w:val="006D3FA5"/>
    <w:rsid w:val="006E075C"/>
    <w:rsid w:val="006E242B"/>
    <w:rsid w:val="006E336B"/>
    <w:rsid w:val="00701143"/>
    <w:rsid w:val="00701CC1"/>
    <w:rsid w:val="00703770"/>
    <w:rsid w:val="00706AC9"/>
    <w:rsid w:val="00717EC9"/>
    <w:rsid w:val="00734E4F"/>
    <w:rsid w:val="007438CA"/>
    <w:rsid w:val="00751947"/>
    <w:rsid w:val="00762E71"/>
    <w:rsid w:val="00766D8D"/>
    <w:rsid w:val="00773A4B"/>
    <w:rsid w:val="00774B4E"/>
    <w:rsid w:val="007874CD"/>
    <w:rsid w:val="007A1667"/>
    <w:rsid w:val="007A310E"/>
    <w:rsid w:val="007B182A"/>
    <w:rsid w:val="007B5040"/>
    <w:rsid w:val="007C061B"/>
    <w:rsid w:val="007C5167"/>
    <w:rsid w:val="007C5D47"/>
    <w:rsid w:val="007D33E1"/>
    <w:rsid w:val="007D4236"/>
    <w:rsid w:val="007D5F0B"/>
    <w:rsid w:val="007E624F"/>
    <w:rsid w:val="007F68EB"/>
    <w:rsid w:val="00810B7B"/>
    <w:rsid w:val="00824A6F"/>
    <w:rsid w:val="00827481"/>
    <w:rsid w:val="00832D42"/>
    <w:rsid w:val="00834565"/>
    <w:rsid w:val="008558A8"/>
    <w:rsid w:val="00857CD7"/>
    <w:rsid w:val="00866908"/>
    <w:rsid w:val="00871EC6"/>
    <w:rsid w:val="00874688"/>
    <w:rsid w:val="00897B62"/>
    <w:rsid w:val="008A2381"/>
    <w:rsid w:val="008A37B6"/>
    <w:rsid w:val="008A472E"/>
    <w:rsid w:val="008B1872"/>
    <w:rsid w:val="008B7890"/>
    <w:rsid w:val="008D5561"/>
    <w:rsid w:val="008E3A5E"/>
    <w:rsid w:val="008F3AA0"/>
    <w:rsid w:val="008F424B"/>
    <w:rsid w:val="008F6F0D"/>
    <w:rsid w:val="0091743C"/>
    <w:rsid w:val="0093190C"/>
    <w:rsid w:val="00932B19"/>
    <w:rsid w:val="00946309"/>
    <w:rsid w:val="00961521"/>
    <w:rsid w:val="00976B38"/>
    <w:rsid w:val="00985ED0"/>
    <w:rsid w:val="0098603D"/>
    <w:rsid w:val="00991EBC"/>
    <w:rsid w:val="009A0129"/>
    <w:rsid w:val="009A18AC"/>
    <w:rsid w:val="009A3461"/>
    <w:rsid w:val="009A549A"/>
    <w:rsid w:val="009A5AD8"/>
    <w:rsid w:val="009B467A"/>
    <w:rsid w:val="009B6B14"/>
    <w:rsid w:val="009C5352"/>
    <w:rsid w:val="009D44C7"/>
    <w:rsid w:val="009D59B8"/>
    <w:rsid w:val="009D788F"/>
    <w:rsid w:val="009E599C"/>
    <w:rsid w:val="009E619F"/>
    <w:rsid w:val="00A0220B"/>
    <w:rsid w:val="00A0275B"/>
    <w:rsid w:val="00A06FFE"/>
    <w:rsid w:val="00A22908"/>
    <w:rsid w:val="00A2381E"/>
    <w:rsid w:val="00A30604"/>
    <w:rsid w:val="00A33EEE"/>
    <w:rsid w:val="00A4239D"/>
    <w:rsid w:val="00A5228C"/>
    <w:rsid w:val="00A60584"/>
    <w:rsid w:val="00A6294D"/>
    <w:rsid w:val="00A7484C"/>
    <w:rsid w:val="00A80762"/>
    <w:rsid w:val="00A81585"/>
    <w:rsid w:val="00A8439E"/>
    <w:rsid w:val="00A907C9"/>
    <w:rsid w:val="00A932B9"/>
    <w:rsid w:val="00AB3F1A"/>
    <w:rsid w:val="00AB63D6"/>
    <w:rsid w:val="00AC4A70"/>
    <w:rsid w:val="00AD4E59"/>
    <w:rsid w:val="00AD62B5"/>
    <w:rsid w:val="00AE1100"/>
    <w:rsid w:val="00AE1F2D"/>
    <w:rsid w:val="00AE3823"/>
    <w:rsid w:val="00AE4747"/>
    <w:rsid w:val="00AF03D5"/>
    <w:rsid w:val="00AF0F13"/>
    <w:rsid w:val="00AF54C4"/>
    <w:rsid w:val="00B07ACE"/>
    <w:rsid w:val="00B175FD"/>
    <w:rsid w:val="00B17F58"/>
    <w:rsid w:val="00B2269A"/>
    <w:rsid w:val="00B24CA5"/>
    <w:rsid w:val="00B259B4"/>
    <w:rsid w:val="00B315C4"/>
    <w:rsid w:val="00B35170"/>
    <w:rsid w:val="00B45716"/>
    <w:rsid w:val="00B63151"/>
    <w:rsid w:val="00B7631C"/>
    <w:rsid w:val="00B81E6C"/>
    <w:rsid w:val="00B824D2"/>
    <w:rsid w:val="00BA211E"/>
    <w:rsid w:val="00BA33F2"/>
    <w:rsid w:val="00BB5BF6"/>
    <w:rsid w:val="00BC498C"/>
    <w:rsid w:val="00BD5E53"/>
    <w:rsid w:val="00BE0D91"/>
    <w:rsid w:val="00BE6AC0"/>
    <w:rsid w:val="00C04412"/>
    <w:rsid w:val="00C05E4A"/>
    <w:rsid w:val="00C0781B"/>
    <w:rsid w:val="00C127D9"/>
    <w:rsid w:val="00C12BDF"/>
    <w:rsid w:val="00C15E71"/>
    <w:rsid w:val="00C23A43"/>
    <w:rsid w:val="00C3696B"/>
    <w:rsid w:val="00C42E9C"/>
    <w:rsid w:val="00C435A5"/>
    <w:rsid w:val="00C54AF8"/>
    <w:rsid w:val="00C6428C"/>
    <w:rsid w:val="00C6602B"/>
    <w:rsid w:val="00C66F3E"/>
    <w:rsid w:val="00C70AC5"/>
    <w:rsid w:val="00C76B66"/>
    <w:rsid w:val="00C87CCC"/>
    <w:rsid w:val="00C943D3"/>
    <w:rsid w:val="00CA5DBB"/>
    <w:rsid w:val="00CA6CA5"/>
    <w:rsid w:val="00CB3859"/>
    <w:rsid w:val="00CB7AAB"/>
    <w:rsid w:val="00CC23E9"/>
    <w:rsid w:val="00CC4495"/>
    <w:rsid w:val="00CE52FD"/>
    <w:rsid w:val="00CE5BE1"/>
    <w:rsid w:val="00CF5775"/>
    <w:rsid w:val="00D07612"/>
    <w:rsid w:val="00D10053"/>
    <w:rsid w:val="00D11A0E"/>
    <w:rsid w:val="00D12075"/>
    <w:rsid w:val="00D22C68"/>
    <w:rsid w:val="00D25B2F"/>
    <w:rsid w:val="00D30BE7"/>
    <w:rsid w:val="00D347A8"/>
    <w:rsid w:val="00D37D5D"/>
    <w:rsid w:val="00D44333"/>
    <w:rsid w:val="00D45712"/>
    <w:rsid w:val="00D638BA"/>
    <w:rsid w:val="00D75AFC"/>
    <w:rsid w:val="00D85A63"/>
    <w:rsid w:val="00D87D9C"/>
    <w:rsid w:val="00D9473C"/>
    <w:rsid w:val="00DA6B4D"/>
    <w:rsid w:val="00DA6DC6"/>
    <w:rsid w:val="00DC1933"/>
    <w:rsid w:val="00DC3685"/>
    <w:rsid w:val="00DD16CC"/>
    <w:rsid w:val="00DE28F0"/>
    <w:rsid w:val="00DE2B11"/>
    <w:rsid w:val="00DE78FC"/>
    <w:rsid w:val="00E04012"/>
    <w:rsid w:val="00E04F18"/>
    <w:rsid w:val="00E1294D"/>
    <w:rsid w:val="00E22A05"/>
    <w:rsid w:val="00E30687"/>
    <w:rsid w:val="00E31FF8"/>
    <w:rsid w:val="00E34F9A"/>
    <w:rsid w:val="00E37F70"/>
    <w:rsid w:val="00E403E3"/>
    <w:rsid w:val="00E4044E"/>
    <w:rsid w:val="00E66D39"/>
    <w:rsid w:val="00E76DB1"/>
    <w:rsid w:val="00E83BDD"/>
    <w:rsid w:val="00E936B4"/>
    <w:rsid w:val="00E95EC4"/>
    <w:rsid w:val="00EA0D97"/>
    <w:rsid w:val="00EA1751"/>
    <w:rsid w:val="00EA4B7E"/>
    <w:rsid w:val="00EA595F"/>
    <w:rsid w:val="00EA736E"/>
    <w:rsid w:val="00EB38D5"/>
    <w:rsid w:val="00EB66EC"/>
    <w:rsid w:val="00EC1C3C"/>
    <w:rsid w:val="00ED0EB3"/>
    <w:rsid w:val="00ED7021"/>
    <w:rsid w:val="00EE480A"/>
    <w:rsid w:val="00EE4A2E"/>
    <w:rsid w:val="00F01F8D"/>
    <w:rsid w:val="00F15554"/>
    <w:rsid w:val="00F16570"/>
    <w:rsid w:val="00F24063"/>
    <w:rsid w:val="00F2501B"/>
    <w:rsid w:val="00F332A6"/>
    <w:rsid w:val="00F37072"/>
    <w:rsid w:val="00F455E1"/>
    <w:rsid w:val="00F46530"/>
    <w:rsid w:val="00F4770A"/>
    <w:rsid w:val="00F55CBB"/>
    <w:rsid w:val="00F660FF"/>
    <w:rsid w:val="00F66BD0"/>
    <w:rsid w:val="00F9584C"/>
    <w:rsid w:val="00FA030F"/>
    <w:rsid w:val="00FA0E12"/>
    <w:rsid w:val="00FA1AA0"/>
    <w:rsid w:val="00FA3E28"/>
    <w:rsid w:val="00FA4090"/>
    <w:rsid w:val="00FA77ED"/>
    <w:rsid w:val="00FA7CF2"/>
    <w:rsid w:val="00FB279C"/>
    <w:rsid w:val="00FB7E3F"/>
    <w:rsid w:val="00FC32ED"/>
    <w:rsid w:val="00FC3DD0"/>
    <w:rsid w:val="00FC461B"/>
    <w:rsid w:val="00FC7AD4"/>
    <w:rsid w:val="00FD0512"/>
    <w:rsid w:val="00FD1525"/>
    <w:rsid w:val="00FD3E1B"/>
    <w:rsid w:val="00FE59C5"/>
    <w:rsid w:val="00FE669B"/>
    <w:rsid w:val="00FE6EF2"/>
    <w:rsid w:val="00FF2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0D345C33-F8C6-4A08-8CA5-4F721EEA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B07ACE"/>
    <w:pPr>
      <w:keepNext/>
      <w:keepLines/>
      <w:spacing w:before="40" w:after="0"/>
      <w:outlineLvl w:val="2"/>
    </w:pPr>
    <w:rPr>
      <w:rFonts w:eastAsiaTheme="majorEastAsia" w:cstheme="minorHAnsi"/>
      <w:b/>
      <w:bCs/>
      <w:color w:val="000000" w:themeColor="text1"/>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B07ACE"/>
    <w:rPr>
      <w:rFonts w:eastAsiaTheme="majorEastAsia" w:cstheme="minorHAnsi"/>
      <w:b/>
      <w:bCs/>
      <w:color w:val="000000" w:themeColor="text1"/>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2A0408"/>
    <w:rPr>
      <w:color w:val="605E5C"/>
      <w:shd w:val="clear" w:color="auto" w:fill="E1DFDD"/>
    </w:rPr>
  </w:style>
  <w:style w:type="character" w:styleId="Strong">
    <w:name w:val="Strong"/>
    <w:uiPriority w:val="22"/>
    <w:qFormat/>
    <w:rsid w:val="00B35170"/>
    <w:rPr>
      <w:b/>
      <w:bCs/>
    </w:rPr>
  </w:style>
  <w:style w:type="table" w:styleId="GridTable1Light-Accent1">
    <w:name w:val="Grid Table 1 Light Accent 1"/>
    <w:basedOn w:val="TableNormal"/>
    <w:uiPriority w:val="46"/>
    <w:rsid w:val="003F3CA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3F3C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6">
    <w:name w:val="List Table 3 Accent 6"/>
    <w:basedOn w:val="TableNormal"/>
    <w:uiPriority w:val="48"/>
    <w:rsid w:val="003F3CA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3-Accent3">
    <w:name w:val="List Table 3 Accent 3"/>
    <w:basedOn w:val="TableNormal"/>
    <w:uiPriority w:val="48"/>
    <w:rsid w:val="003F3C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5Dark-Accent3">
    <w:name w:val="Grid Table 5 Dark Accent 3"/>
    <w:basedOn w:val="TableNormal"/>
    <w:uiPriority w:val="50"/>
    <w:rsid w:val="003F3C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2-Accent3">
    <w:name w:val="Grid Table 2 Accent 3"/>
    <w:basedOn w:val="TableNormal"/>
    <w:uiPriority w:val="47"/>
    <w:rsid w:val="003F3CA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7ColourfulAccent3">
    <w:name w:val="List Table 7 Colorful Accent 3"/>
    <w:basedOn w:val="TableNormal"/>
    <w:uiPriority w:val="52"/>
    <w:rsid w:val="003F3CA7"/>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2">
    <w:name w:val="Grid Table 5 Dark Accent 2"/>
    <w:basedOn w:val="TableNormal"/>
    <w:uiPriority w:val="50"/>
    <w:rsid w:val="003F3C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6">
    <w:name w:val="Grid Table 5 Dark Accent 6"/>
    <w:basedOn w:val="TableNormal"/>
    <w:uiPriority w:val="50"/>
    <w:rsid w:val="003F3C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1Light-Accent3">
    <w:name w:val="Grid Table 1 Light Accent 3"/>
    <w:basedOn w:val="TableNormal"/>
    <w:uiPriority w:val="46"/>
    <w:rsid w:val="003F3CA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27119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515315161">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619290962">
      <w:bodyDiv w:val="1"/>
      <w:marLeft w:val="0"/>
      <w:marRight w:val="0"/>
      <w:marTop w:val="0"/>
      <w:marBottom w:val="0"/>
      <w:divBdr>
        <w:top w:val="none" w:sz="0" w:space="0" w:color="auto"/>
        <w:left w:val="none" w:sz="0" w:space="0" w:color="auto"/>
        <w:bottom w:val="none" w:sz="0" w:space="0" w:color="auto"/>
        <w:right w:val="none" w:sz="0" w:space="0" w:color="auto"/>
      </w:divBdr>
    </w:div>
    <w:div w:id="1626428267">
      <w:bodyDiv w:val="1"/>
      <w:marLeft w:val="0"/>
      <w:marRight w:val="0"/>
      <w:marTop w:val="0"/>
      <w:marBottom w:val="0"/>
      <w:divBdr>
        <w:top w:val="none" w:sz="0" w:space="0" w:color="auto"/>
        <w:left w:val="none" w:sz="0" w:space="0" w:color="auto"/>
        <w:bottom w:val="none" w:sz="0" w:space="0" w:color="auto"/>
        <w:right w:val="none" w:sz="0" w:space="0" w:color="auto"/>
      </w:divBdr>
    </w:div>
    <w:div w:id="1655912063">
      <w:bodyDiv w:val="1"/>
      <w:marLeft w:val="0"/>
      <w:marRight w:val="0"/>
      <w:marTop w:val="0"/>
      <w:marBottom w:val="0"/>
      <w:divBdr>
        <w:top w:val="none" w:sz="0" w:space="0" w:color="auto"/>
        <w:left w:val="none" w:sz="0" w:space="0" w:color="auto"/>
        <w:bottom w:val="none" w:sz="0" w:space="0" w:color="auto"/>
        <w:right w:val="none" w:sz="0" w:space="0" w:color="auto"/>
      </w:divBdr>
    </w:div>
    <w:div w:id="1762607020">
      <w:bodyDiv w:val="1"/>
      <w:marLeft w:val="0"/>
      <w:marRight w:val="0"/>
      <w:marTop w:val="0"/>
      <w:marBottom w:val="0"/>
      <w:divBdr>
        <w:top w:val="none" w:sz="0" w:space="0" w:color="auto"/>
        <w:left w:val="none" w:sz="0" w:space="0" w:color="auto"/>
        <w:bottom w:val="none" w:sz="0" w:space="0" w:color="auto"/>
        <w:right w:val="none" w:sz="0" w:space="0" w:color="auto"/>
      </w:divBdr>
    </w:div>
    <w:div w:id="1783110214">
      <w:bodyDiv w:val="1"/>
      <w:marLeft w:val="0"/>
      <w:marRight w:val="0"/>
      <w:marTop w:val="0"/>
      <w:marBottom w:val="0"/>
      <w:divBdr>
        <w:top w:val="none" w:sz="0" w:space="0" w:color="auto"/>
        <w:left w:val="none" w:sz="0" w:space="0" w:color="auto"/>
        <w:bottom w:val="none" w:sz="0" w:space="0" w:color="auto"/>
        <w:right w:val="none" w:sz="0" w:space="0" w:color="auto"/>
      </w:divBdr>
    </w:div>
    <w:div w:id="2082094010">
      <w:bodyDiv w:val="1"/>
      <w:marLeft w:val="0"/>
      <w:marRight w:val="0"/>
      <w:marTop w:val="0"/>
      <w:marBottom w:val="0"/>
      <w:divBdr>
        <w:top w:val="none" w:sz="0" w:space="0" w:color="auto"/>
        <w:left w:val="none" w:sz="0" w:space="0" w:color="auto"/>
        <w:bottom w:val="none" w:sz="0" w:space="0" w:color="auto"/>
        <w:right w:val="none" w:sz="0" w:space="0" w:color="auto"/>
      </w:divBdr>
    </w:div>
    <w:div w:id="209370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 Type="http://schemas.openxmlformats.org/officeDocument/2006/relationships/customXml" Target="/customXml/item3.xml" Id="R3289685f13b4429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71FFD1B571BE2883E0537D20C80A46C7" version="1.0.0">
  <systemFields>
    <field name="Objective-Id">
      <value order="0">A5213284</value>
    </field>
    <field name="Objective-Title">
      <value order="0">I.11 Board of NatureScot Meeting - 27 August 2025 - Major Risk Themes to 2030</value>
    </field>
    <field name="Objective-Description">
      <value order="0"/>
    </field>
    <field name="Objective-CreationStamp">
      <value order="0">2025-06-16T13:43:20Z</value>
    </field>
    <field name="Objective-IsApproved">
      <value order="0">false</value>
    </field>
    <field name="Objective-IsPublished">
      <value order="0">true</value>
    </field>
    <field name="Objective-DatePublished">
      <value order="0">2025-08-13T11:36:33Z</value>
    </field>
    <field name="Objective-ModificationStamp">
      <value order="0">2025-08-13T11:37:27Z</value>
    </field>
    <field name="Objective-Owner">
      <value order="0">Sara Lewis</value>
    </field>
    <field name="Objective-Path">
      <value order="0">Objective Global Folder:NatureScot Fileplan:MAN - Management:EO - Executive Office:BD - Board:SNH Board - Meetings:Board of NatureScot Meetings - 2025:221 - Board of NatureScot - 27 August 2025</value>
    </field>
    <field name="Objective-Parent">
      <value order="0">221 - Board of NatureScot - 27 August 2025</value>
    </field>
    <field name="Objective-State">
      <value order="0">Published</value>
    </field>
    <field name="Objective-VersionId">
      <value order="0">vA9273366</value>
    </field>
    <field name="Objective-Version">
      <value order="0">14.0</value>
    </field>
    <field name="Objective-VersionNumber">
      <value order="0">14</value>
    </field>
    <field name="Objective-VersionComment">
      <value order="0"/>
    </field>
    <field name="Objective-FileNumber">
      <value order="0">qA187925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F722F0C0-6670-4918-8173-43BBC77CB60B}">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2307</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MaryAnne Thomson</cp:lastModifiedBy>
  <cp:revision>5</cp:revision>
  <dcterms:created xsi:type="dcterms:W3CDTF">2025-08-04T09:10:00Z</dcterms:created>
  <dcterms:modified xsi:type="dcterms:W3CDTF">2025-08-13T11:36:00Z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2024-09-11T10:02:53Z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c1f09325-916b-4250-8caf-edbf5b39a902</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A5213284</vt:lpwstr>
  </op:property>
  <op:property fmtid="{D5CDD505-2E9C-101B-9397-08002B2CF9AE}" pid="25" name="Objective-Title">
    <vt:lpwstr>I.11 Board of NatureScot Meeting - 27 August 2025 - Major Risk Themes to 2030</vt:lpwstr>
  </op:property>
  <op:property fmtid="{D5CDD505-2E9C-101B-9397-08002B2CF9AE}" pid="26" name="Objective-Description">
    <vt:lpwstr/>
  </op:property>
  <op:property fmtid="{D5CDD505-2E9C-101B-9397-08002B2CF9AE}" pid="27" name="Objective-CreationStamp">
    <vt:filetime>2025-06-16T13:43:20Z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2025-08-13T11:36:33Z</vt:filetime>
  </op:property>
  <op:property fmtid="{D5CDD505-2E9C-101B-9397-08002B2CF9AE}" pid="31" name="Objective-ModificationStamp">
    <vt:filetime>2025-08-13T11:37:27Z</vt:filetime>
  </op:property>
  <op:property fmtid="{D5CDD505-2E9C-101B-9397-08002B2CF9AE}" pid="32" name="Objective-Owner">
    <vt:lpwstr>Sara Lewis</vt:lpwstr>
  </op:property>
  <op:property fmtid="{D5CDD505-2E9C-101B-9397-08002B2CF9AE}" pid="33" name="Objective-Path">
    <vt:lpwstr>Objective Global Folder:NatureScot Fileplan:MAN - Management:EO - Executive Office:BD - Board:SNH Board - Meetings:Board of NatureScot Meetings - 2025:221 - Board of NatureScot - 27 August 2025</vt:lpwstr>
  </op:property>
  <op:property fmtid="{D5CDD505-2E9C-101B-9397-08002B2CF9AE}" pid="34" name="Objective-Parent">
    <vt:lpwstr>221 - Board of NatureScot - 27 August 2025</vt:lpwstr>
  </op:property>
  <op:property fmtid="{D5CDD505-2E9C-101B-9397-08002B2CF9AE}" pid="35" name="Objective-State">
    <vt:lpwstr>Published</vt:lpwstr>
  </op:property>
  <op:property fmtid="{D5CDD505-2E9C-101B-9397-08002B2CF9AE}" pid="36" name="Objective-VersionId">
    <vt:lpwstr>vA9273366</vt:lpwstr>
  </op:property>
  <op:property fmtid="{D5CDD505-2E9C-101B-9397-08002B2CF9AE}" pid="37" name="Objective-Version">
    <vt:lpwstr>14.0</vt:lpwstr>
  </op:property>
  <op:property fmtid="{D5CDD505-2E9C-101B-9397-08002B2CF9AE}" pid="38" name="Objective-VersionNumber">
    <vt:r8>14</vt:r8>
  </op:property>
  <op:property fmtid="{D5CDD505-2E9C-101B-9397-08002B2CF9AE}" pid="39" name="Objective-VersionComment">
    <vt:lpwstr/>
  </op:property>
  <op:property fmtid="{D5CDD505-2E9C-101B-9397-08002B2CF9AE}" pid="40" name="Objective-FileNumber">
    <vt:lpwstr>qA187925</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