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EAA19" w14:textId="427E82E2" w:rsidR="00F860D4" w:rsidRPr="00D62F2C" w:rsidRDefault="0024272D" w:rsidP="0024272D">
      <w:pPr>
        <w:pStyle w:val="Heading1"/>
        <w:rPr>
          <w:sz w:val="24"/>
          <w:szCs w:val="24"/>
        </w:rPr>
      </w:pPr>
      <w:r>
        <w:rPr>
          <w:noProof/>
          <w:color w:val="FF0000"/>
          <w:sz w:val="24"/>
          <w:szCs w:val="24"/>
        </w:rPr>
        <w:drawing>
          <wp:inline distT="0" distB="0" distL="0" distR="0" wp14:anchorId="02675496" wp14:editId="67870959">
            <wp:extent cx="1408298" cy="1182727"/>
            <wp:effectExtent l="0" t="0" r="1905" b="0"/>
            <wp:docPr id="1"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graphics&#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08298" cy="1182727"/>
                    </a:xfrm>
                    <a:prstGeom prst="rect">
                      <a:avLst/>
                    </a:prstGeom>
                  </pic:spPr>
                </pic:pic>
              </a:graphicData>
            </a:graphic>
          </wp:inline>
        </w:drawing>
      </w:r>
    </w:p>
    <w:p w14:paraId="6CD162C0" w14:textId="7BD05E30" w:rsidR="006F50D7" w:rsidRPr="006F50D7" w:rsidRDefault="006F50D7" w:rsidP="006F50D7">
      <w:pPr>
        <w:pStyle w:val="Heading1"/>
        <w:rPr>
          <w:rFonts w:ascii="Calibri" w:hAnsi="Calibri" w:cs="Calibri"/>
          <w:sz w:val="24"/>
          <w:szCs w:val="24"/>
        </w:rPr>
      </w:pPr>
      <w:r w:rsidRPr="006F50D7">
        <w:rPr>
          <w:rFonts w:ascii="Calibri" w:hAnsi="Calibri" w:cs="Calibri"/>
          <w:sz w:val="24"/>
          <w:szCs w:val="24"/>
        </w:rPr>
        <w:t xml:space="preserve">Title:  </w:t>
      </w:r>
      <w:r w:rsidRPr="006F50D7">
        <w:rPr>
          <w:rFonts w:ascii="Calibri" w:hAnsi="Calibri" w:cs="Calibri"/>
          <w:sz w:val="24"/>
          <w:szCs w:val="24"/>
        </w:rPr>
        <w:tab/>
        <w:t>Audit and R</w:t>
      </w:r>
      <w:r w:rsidR="008F50FE">
        <w:rPr>
          <w:rFonts w:ascii="Calibri" w:hAnsi="Calibri" w:cs="Calibri"/>
          <w:sz w:val="24"/>
          <w:szCs w:val="24"/>
        </w:rPr>
        <w:t>isk Committee Annual Report 202</w:t>
      </w:r>
      <w:r w:rsidR="00857BEF">
        <w:rPr>
          <w:rFonts w:ascii="Calibri" w:hAnsi="Calibri" w:cs="Calibri"/>
          <w:sz w:val="24"/>
          <w:szCs w:val="24"/>
        </w:rPr>
        <w:t>3</w:t>
      </w:r>
      <w:r w:rsidR="008F50FE">
        <w:rPr>
          <w:rFonts w:ascii="Calibri" w:hAnsi="Calibri" w:cs="Calibri"/>
          <w:sz w:val="24"/>
          <w:szCs w:val="24"/>
        </w:rPr>
        <w:t>/</w:t>
      </w:r>
      <w:r w:rsidR="0024272D">
        <w:rPr>
          <w:rFonts w:ascii="Calibri" w:hAnsi="Calibri" w:cs="Calibri"/>
          <w:sz w:val="24"/>
          <w:szCs w:val="24"/>
        </w:rPr>
        <w:t>20</w:t>
      </w:r>
      <w:r w:rsidR="008F50FE">
        <w:rPr>
          <w:rFonts w:ascii="Calibri" w:hAnsi="Calibri" w:cs="Calibri"/>
          <w:sz w:val="24"/>
          <w:szCs w:val="24"/>
        </w:rPr>
        <w:t>2</w:t>
      </w:r>
      <w:r w:rsidR="00857BEF">
        <w:rPr>
          <w:rFonts w:ascii="Calibri" w:hAnsi="Calibri" w:cs="Calibri"/>
          <w:sz w:val="24"/>
          <w:szCs w:val="24"/>
        </w:rPr>
        <w:t>4</w:t>
      </w:r>
    </w:p>
    <w:p w14:paraId="637933D3" w14:textId="582B4A0E" w:rsidR="006F50D7" w:rsidRPr="00D62F2C" w:rsidRDefault="008F50FE" w:rsidP="006F50D7">
      <w:pPr>
        <w:rPr>
          <w:b/>
          <w:sz w:val="24"/>
          <w:szCs w:val="24"/>
        </w:rPr>
      </w:pPr>
      <w:r>
        <w:rPr>
          <w:b/>
          <w:sz w:val="24"/>
          <w:szCs w:val="24"/>
        </w:rPr>
        <w:t>Date:</w:t>
      </w:r>
      <w:r>
        <w:rPr>
          <w:b/>
          <w:sz w:val="24"/>
          <w:szCs w:val="24"/>
        </w:rPr>
        <w:tab/>
      </w:r>
      <w:r w:rsidR="00D62F2C">
        <w:rPr>
          <w:b/>
          <w:sz w:val="24"/>
          <w:szCs w:val="24"/>
        </w:rPr>
        <w:t>14 May 2024</w:t>
      </w:r>
    </w:p>
    <w:tbl>
      <w:tblPr>
        <w:tblStyle w:val="TableGrid"/>
        <w:tblW w:w="0" w:type="auto"/>
        <w:tblLook w:val="04A0" w:firstRow="1" w:lastRow="0" w:firstColumn="1" w:lastColumn="0" w:noHBand="0" w:noVBand="1"/>
        <w:tblCaption w:val="Cover page "/>
        <w:tblDescription w:val="Summary of information provided in the subsequent pages of the paper"/>
      </w:tblPr>
      <w:tblGrid>
        <w:gridCol w:w="2547"/>
        <w:gridCol w:w="6469"/>
      </w:tblGrid>
      <w:tr w:rsidR="00F860D4" w:rsidRPr="00F860D4" w14:paraId="1B607E69" w14:textId="77777777" w:rsidTr="00E94E5C">
        <w:tc>
          <w:tcPr>
            <w:tcW w:w="2547" w:type="dxa"/>
          </w:tcPr>
          <w:p w14:paraId="0456FA06" w14:textId="77777777" w:rsidR="00F860D4" w:rsidRPr="00F860D4" w:rsidRDefault="00F860D4" w:rsidP="00F860D4">
            <w:pPr>
              <w:spacing w:after="200" w:line="276" w:lineRule="auto"/>
              <w:rPr>
                <w:sz w:val="24"/>
                <w:szCs w:val="24"/>
              </w:rPr>
            </w:pPr>
            <w:r w:rsidRPr="00F860D4">
              <w:rPr>
                <w:rFonts w:ascii="Calibri" w:eastAsiaTheme="majorEastAsia" w:hAnsi="Calibri" w:cs="Calibri"/>
                <w:b/>
                <w:sz w:val="24"/>
                <w:szCs w:val="24"/>
              </w:rPr>
              <w:t>Purpose:</w:t>
            </w:r>
          </w:p>
        </w:tc>
        <w:tc>
          <w:tcPr>
            <w:tcW w:w="6469" w:type="dxa"/>
          </w:tcPr>
          <w:p w14:paraId="17C27DCA" w14:textId="16AC2483" w:rsidR="00F860D4" w:rsidRPr="00C4414A" w:rsidRDefault="00B33C3F" w:rsidP="00F860D4">
            <w:pPr>
              <w:spacing w:after="200" w:line="276" w:lineRule="auto"/>
              <w:contextualSpacing/>
              <w:rPr>
                <w:rFonts w:ascii="Calibri" w:eastAsia="Arial" w:hAnsi="Calibri" w:cs="Times New Roman"/>
                <w:sz w:val="24"/>
                <w:szCs w:val="24"/>
              </w:rPr>
            </w:pPr>
            <w:r>
              <w:rPr>
                <w:rFonts w:ascii="Calibri" w:eastAsia="Arial" w:hAnsi="Calibri" w:cs="Times New Roman"/>
                <w:sz w:val="24"/>
                <w:szCs w:val="24"/>
              </w:rPr>
              <w:t>Decision</w:t>
            </w:r>
            <w:r w:rsidR="00E80278">
              <w:rPr>
                <w:rFonts w:ascii="Calibri" w:eastAsia="Arial" w:hAnsi="Calibri" w:cs="Times New Roman"/>
                <w:sz w:val="24"/>
                <w:szCs w:val="24"/>
              </w:rPr>
              <w:t xml:space="preserve"> </w:t>
            </w:r>
          </w:p>
        </w:tc>
      </w:tr>
      <w:tr w:rsidR="00F860D4" w:rsidRPr="00F860D4" w14:paraId="0C6A6228" w14:textId="77777777" w:rsidTr="00E94E5C">
        <w:tc>
          <w:tcPr>
            <w:tcW w:w="2547" w:type="dxa"/>
          </w:tcPr>
          <w:p w14:paraId="5FDE3552" w14:textId="77777777" w:rsidR="00F860D4" w:rsidRPr="00F860D4" w:rsidRDefault="00F860D4" w:rsidP="00F860D4">
            <w:pPr>
              <w:spacing w:after="200" w:line="276" w:lineRule="auto"/>
              <w:rPr>
                <w:rFonts w:ascii="Calibri" w:eastAsia="Arial" w:hAnsi="Calibri" w:cs="Times New Roman"/>
                <w:sz w:val="24"/>
                <w:szCs w:val="24"/>
              </w:rPr>
            </w:pPr>
            <w:r w:rsidRPr="00F860D4">
              <w:rPr>
                <w:rFonts w:ascii="Calibri" w:eastAsia="Arial" w:hAnsi="Calibri" w:cs="Times New Roman"/>
                <w:b/>
                <w:sz w:val="24"/>
                <w:szCs w:val="24"/>
              </w:rPr>
              <w:t>How does this link with our corporate priorities of improving biodiversity or delivering nature-based solutions to climate change:</w:t>
            </w:r>
          </w:p>
        </w:tc>
        <w:tc>
          <w:tcPr>
            <w:tcW w:w="6469" w:type="dxa"/>
          </w:tcPr>
          <w:p w14:paraId="6AB066F3" w14:textId="1289736B" w:rsidR="00F860D4" w:rsidRPr="00F860D4" w:rsidRDefault="00F860D4" w:rsidP="008F50FE">
            <w:pPr>
              <w:spacing w:after="200" w:line="276" w:lineRule="auto"/>
              <w:contextualSpacing/>
              <w:rPr>
                <w:rFonts w:ascii="Calibri" w:eastAsia="Arial" w:hAnsi="Calibri" w:cs="Times New Roman"/>
                <w:i/>
                <w:sz w:val="24"/>
                <w:szCs w:val="24"/>
              </w:rPr>
            </w:pPr>
            <w:r w:rsidRPr="00F860D4">
              <w:rPr>
                <w:rFonts w:cstheme="minorHAnsi"/>
                <w:sz w:val="24"/>
                <w:szCs w:val="24"/>
              </w:rPr>
              <w:t xml:space="preserve">Governance as an overarching framework covers all NatureScot outputs, which are firmly linked to the corporate priorities of </w:t>
            </w:r>
            <w:r w:rsidR="008F50FE">
              <w:rPr>
                <w:rFonts w:cstheme="minorHAnsi"/>
                <w:sz w:val="24"/>
                <w:szCs w:val="24"/>
              </w:rPr>
              <w:t>Protect, Restore, and Value</w:t>
            </w:r>
            <w:r w:rsidRPr="00F860D4">
              <w:rPr>
                <w:rFonts w:cstheme="minorHAnsi"/>
                <w:sz w:val="24"/>
                <w:szCs w:val="24"/>
              </w:rPr>
              <w:t>.</w:t>
            </w:r>
          </w:p>
        </w:tc>
      </w:tr>
      <w:tr w:rsidR="00F860D4" w:rsidRPr="00F860D4" w14:paraId="7CED5193" w14:textId="77777777" w:rsidTr="00E94E5C">
        <w:tc>
          <w:tcPr>
            <w:tcW w:w="2547" w:type="dxa"/>
          </w:tcPr>
          <w:p w14:paraId="68443EE4" w14:textId="77777777" w:rsidR="00F860D4" w:rsidRPr="00F860D4" w:rsidRDefault="00F860D4" w:rsidP="00F860D4">
            <w:pPr>
              <w:spacing w:after="200" w:line="276" w:lineRule="auto"/>
              <w:rPr>
                <w:rFonts w:ascii="Calibri" w:eastAsia="Arial" w:hAnsi="Calibri" w:cs="Times New Roman"/>
                <w:sz w:val="24"/>
                <w:szCs w:val="24"/>
              </w:rPr>
            </w:pPr>
            <w:r w:rsidRPr="00F860D4">
              <w:rPr>
                <w:rFonts w:ascii="Calibri" w:eastAsia="Arial" w:hAnsi="Calibri" w:cs="Times New Roman"/>
                <w:b/>
                <w:sz w:val="24"/>
                <w:szCs w:val="24"/>
              </w:rPr>
              <w:t>Summary:</w:t>
            </w:r>
          </w:p>
        </w:tc>
        <w:tc>
          <w:tcPr>
            <w:tcW w:w="6469" w:type="dxa"/>
          </w:tcPr>
          <w:p w14:paraId="1D2DB108" w14:textId="53AF488E" w:rsidR="00F860D4" w:rsidRPr="00F860D4" w:rsidRDefault="00F860D4" w:rsidP="00FD0A8A">
            <w:pPr>
              <w:spacing w:after="200" w:line="276" w:lineRule="auto"/>
              <w:contextualSpacing/>
              <w:rPr>
                <w:rFonts w:ascii="Calibri" w:eastAsia="Arial" w:hAnsi="Calibri" w:cs="Times New Roman"/>
                <w:i/>
                <w:sz w:val="24"/>
                <w:szCs w:val="24"/>
              </w:rPr>
            </w:pPr>
            <w:r w:rsidRPr="00F860D4">
              <w:rPr>
                <w:rFonts w:cstheme="minorHAnsi"/>
                <w:sz w:val="24"/>
                <w:szCs w:val="24"/>
              </w:rPr>
              <w:t>This report has been produced to summarise the work undertaken by the Audi</w:t>
            </w:r>
            <w:r w:rsidR="008F50FE">
              <w:rPr>
                <w:rFonts w:cstheme="minorHAnsi"/>
                <w:sz w:val="24"/>
                <w:szCs w:val="24"/>
              </w:rPr>
              <w:t>t and Risk Committee</w:t>
            </w:r>
            <w:r w:rsidR="00FD0A8A">
              <w:rPr>
                <w:rFonts w:cstheme="minorHAnsi"/>
                <w:sz w:val="24"/>
                <w:szCs w:val="24"/>
              </w:rPr>
              <w:t xml:space="preserve"> (on behalf of the Board of NatureScot)</w:t>
            </w:r>
            <w:r w:rsidR="008F50FE">
              <w:rPr>
                <w:rFonts w:cstheme="minorHAnsi"/>
                <w:sz w:val="24"/>
                <w:szCs w:val="24"/>
              </w:rPr>
              <w:t xml:space="preserve"> during 202</w:t>
            </w:r>
            <w:r w:rsidR="00E66115">
              <w:rPr>
                <w:rFonts w:cstheme="minorHAnsi"/>
                <w:sz w:val="24"/>
                <w:szCs w:val="24"/>
              </w:rPr>
              <w:t>3</w:t>
            </w:r>
            <w:r w:rsidR="008F50FE">
              <w:rPr>
                <w:rFonts w:cstheme="minorHAnsi"/>
                <w:sz w:val="24"/>
                <w:szCs w:val="24"/>
              </w:rPr>
              <w:t>/2</w:t>
            </w:r>
            <w:r w:rsidR="00E66115">
              <w:rPr>
                <w:rFonts w:cstheme="minorHAnsi"/>
                <w:sz w:val="24"/>
                <w:szCs w:val="24"/>
              </w:rPr>
              <w:t>4</w:t>
            </w:r>
            <w:r w:rsidRPr="00F860D4">
              <w:rPr>
                <w:rFonts w:cstheme="minorHAnsi"/>
                <w:sz w:val="24"/>
                <w:szCs w:val="24"/>
              </w:rPr>
              <w:t>, and follows the format set out in the Scottish Government Audit and Assurance Handbook published in April 2018.</w:t>
            </w:r>
          </w:p>
        </w:tc>
      </w:tr>
      <w:tr w:rsidR="00F860D4" w:rsidRPr="00F860D4" w14:paraId="39DEEE1A" w14:textId="77777777" w:rsidTr="00D1341F">
        <w:trPr>
          <w:trHeight w:val="628"/>
        </w:trPr>
        <w:tc>
          <w:tcPr>
            <w:tcW w:w="2547" w:type="dxa"/>
          </w:tcPr>
          <w:p w14:paraId="375F7428" w14:textId="77777777" w:rsidR="00F860D4" w:rsidRPr="00F860D4" w:rsidRDefault="00F860D4" w:rsidP="00F860D4">
            <w:pPr>
              <w:spacing w:after="200" w:line="276" w:lineRule="auto"/>
              <w:contextualSpacing/>
              <w:rPr>
                <w:rFonts w:ascii="Calibri" w:eastAsia="Arial" w:hAnsi="Calibri" w:cs="Times New Roman"/>
                <w:sz w:val="24"/>
                <w:szCs w:val="24"/>
              </w:rPr>
            </w:pPr>
            <w:r w:rsidRPr="00F860D4">
              <w:rPr>
                <w:rFonts w:ascii="Calibri" w:eastAsia="Arial" w:hAnsi="Calibri" w:cs="Times New Roman"/>
                <w:b/>
                <w:sz w:val="24"/>
                <w:szCs w:val="24"/>
              </w:rPr>
              <w:t>Actions:</w:t>
            </w:r>
            <w:r w:rsidRPr="00F860D4">
              <w:rPr>
                <w:rFonts w:ascii="Calibri" w:eastAsia="Arial" w:hAnsi="Calibri" w:cs="Times New Roman"/>
                <w:sz w:val="24"/>
                <w:szCs w:val="24"/>
              </w:rPr>
              <w:t xml:space="preserve"> </w:t>
            </w:r>
          </w:p>
        </w:tc>
        <w:tc>
          <w:tcPr>
            <w:tcW w:w="6469" w:type="dxa"/>
          </w:tcPr>
          <w:p w14:paraId="63F7F0D4" w14:textId="77777777" w:rsidR="00F860D4" w:rsidRPr="00F860D4" w:rsidRDefault="00F860D4" w:rsidP="00F860D4">
            <w:pPr>
              <w:spacing w:after="200" w:line="276" w:lineRule="auto"/>
              <w:rPr>
                <w:rFonts w:ascii="Calibri" w:eastAsia="Arial" w:hAnsi="Calibri" w:cs="Times New Roman"/>
                <w:sz w:val="24"/>
                <w:szCs w:val="24"/>
              </w:rPr>
            </w:pPr>
            <w:r w:rsidRPr="00F860D4">
              <w:rPr>
                <w:rFonts w:cstheme="minorHAnsi"/>
                <w:sz w:val="24"/>
                <w:szCs w:val="24"/>
              </w:rPr>
              <w:t>Board members to</w:t>
            </w:r>
            <w:r w:rsidRPr="00C4414A">
              <w:rPr>
                <w:rFonts w:cstheme="minorHAnsi"/>
                <w:sz w:val="24"/>
                <w:szCs w:val="24"/>
              </w:rPr>
              <w:t xml:space="preserve"> consider </w:t>
            </w:r>
            <w:r w:rsidRPr="00F860D4">
              <w:rPr>
                <w:rFonts w:cstheme="minorHAnsi"/>
                <w:sz w:val="24"/>
                <w:szCs w:val="24"/>
              </w:rPr>
              <w:t>the work of the Audit and Risk Committee set out in this paper.</w:t>
            </w:r>
          </w:p>
        </w:tc>
      </w:tr>
      <w:tr w:rsidR="00F860D4" w:rsidRPr="00F860D4" w14:paraId="2AF2026F" w14:textId="77777777" w:rsidTr="00E94E5C">
        <w:tc>
          <w:tcPr>
            <w:tcW w:w="2547" w:type="dxa"/>
          </w:tcPr>
          <w:p w14:paraId="3861234D" w14:textId="77777777" w:rsidR="00F860D4" w:rsidRPr="00F860D4" w:rsidRDefault="00F860D4" w:rsidP="00F860D4">
            <w:pPr>
              <w:spacing w:after="200" w:line="276" w:lineRule="auto"/>
              <w:contextualSpacing/>
              <w:rPr>
                <w:rFonts w:ascii="Calibri" w:eastAsia="Arial" w:hAnsi="Calibri" w:cs="Times New Roman"/>
                <w:sz w:val="24"/>
                <w:szCs w:val="24"/>
              </w:rPr>
            </w:pPr>
            <w:r w:rsidRPr="00F860D4">
              <w:rPr>
                <w:rFonts w:ascii="Calibri" w:eastAsia="Arial" w:hAnsi="Calibri" w:cs="Times New Roman"/>
                <w:b/>
                <w:sz w:val="24"/>
                <w:szCs w:val="24"/>
              </w:rPr>
              <w:t>Recommendations:</w:t>
            </w:r>
            <w:r w:rsidRPr="00F860D4">
              <w:rPr>
                <w:rFonts w:ascii="Calibri" w:eastAsia="Arial" w:hAnsi="Calibri" w:cs="Times New Roman"/>
                <w:sz w:val="24"/>
                <w:szCs w:val="24"/>
              </w:rPr>
              <w:t xml:space="preserve"> </w:t>
            </w:r>
          </w:p>
        </w:tc>
        <w:tc>
          <w:tcPr>
            <w:tcW w:w="6469" w:type="dxa"/>
          </w:tcPr>
          <w:p w14:paraId="0194223C" w14:textId="13245F3A" w:rsidR="00F860D4" w:rsidRPr="00F860D4" w:rsidRDefault="00F860D4" w:rsidP="00F860D4">
            <w:pPr>
              <w:spacing w:after="200" w:line="276" w:lineRule="auto"/>
              <w:rPr>
                <w:rFonts w:ascii="Calibri" w:eastAsia="Arial" w:hAnsi="Calibri" w:cs="Times New Roman"/>
                <w:sz w:val="24"/>
                <w:szCs w:val="24"/>
              </w:rPr>
            </w:pPr>
            <w:bookmarkStart w:id="0" w:name="_Hlk137461085"/>
            <w:r w:rsidRPr="00F860D4">
              <w:rPr>
                <w:rFonts w:cstheme="minorHAnsi"/>
                <w:sz w:val="24"/>
                <w:szCs w:val="24"/>
              </w:rPr>
              <w:t xml:space="preserve">Board members are asked to </w:t>
            </w:r>
            <w:r w:rsidR="0086748C">
              <w:rPr>
                <w:rFonts w:cstheme="minorHAnsi"/>
                <w:sz w:val="24"/>
                <w:szCs w:val="24"/>
              </w:rPr>
              <w:t>endorse</w:t>
            </w:r>
            <w:r w:rsidRPr="00F860D4">
              <w:rPr>
                <w:rFonts w:cstheme="minorHAnsi"/>
                <w:sz w:val="24"/>
                <w:szCs w:val="24"/>
              </w:rPr>
              <w:t xml:space="preserve"> the work of the Audit and Risk </w:t>
            </w:r>
            <w:r w:rsidR="008F50FE">
              <w:rPr>
                <w:rFonts w:cstheme="minorHAnsi"/>
                <w:sz w:val="24"/>
                <w:szCs w:val="24"/>
              </w:rPr>
              <w:t xml:space="preserve">Committee during the period </w:t>
            </w:r>
            <w:r w:rsidR="007A4643">
              <w:rPr>
                <w:rFonts w:cstheme="minorHAnsi"/>
                <w:sz w:val="24"/>
                <w:szCs w:val="24"/>
              </w:rPr>
              <w:t>2022/23 and</w:t>
            </w:r>
            <w:r w:rsidR="00FE4C40">
              <w:rPr>
                <w:rFonts w:cstheme="minorHAnsi"/>
                <w:sz w:val="24"/>
                <w:szCs w:val="24"/>
              </w:rPr>
              <w:t xml:space="preserve"> confirm that it is effective in</w:t>
            </w:r>
            <w:r w:rsidRPr="00F860D4">
              <w:rPr>
                <w:rFonts w:cstheme="minorHAnsi"/>
                <w:sz w:val="24"/>
                <w:szCs w:val="24"/>
              </w:rPr>
              <w:t xml:space="preserve"> support</w:t>
            </w:r>
            <w:r w:rsidR="00FE4C40">
              <w:rPr>
                <w:rFonts w:cstheme="minorHAnsi"/>
                <w:sz w:val="24"/>
                <w:szCs w:val="24"/>
              </w:rPr>
              <w:t>ing</w:t>
            </w:r>
            <w:r w:rsidRPr="00F860D4">
              <w:rPr>
                <w:rFonts w:cstheme="minorHAnsi"/>
                <w:sz w:val="24"/>
                <w:szCs w:val="24"/>
              </w:rPr>
              <w:t xml:space="preserve"> the Board in upholding its governance responsibilities.</w:t>
            </w:r>
            <w:bookmarkEnd w:id="0"/>
          </w:p>
        </w:tc>
      </w:tr>
      <w:tr w:rsidR="00F860D4" w:rsidRPr="00F860D4" w14:paraId="54F46830" w14:textId="77777777" w:rsidTr="00E94E5C">
        <w:tc>
          <w:tcPr>
            <w:tcW w:w="2547" w:type="dxa"/>
          </w:tcPr>
          <w:p w14:paraId="21541D5E" w14:textId="3CC46B7D" w:rsidR="00F860D4" w:rsidRPr="00F860D4" w:rsidRDefault="00F860D4" w:rsidP="00F860D4">
            <w:pPr>
              <w:spacing w:after="200" w:line="276" w:lineRule="auto"/>
              <w:contextualSpacing/>
              <w:rPr>
                <w:rFonts w:ascii="Calibri" w:eastAsia="Arial" w:hAnsi="Calibri" w:cs="Times New Roman"/>
                <w:b/>
                <w:sz w:val="24"/>
                <w:szCs w:val="24"/>
              </w:rPr>
            </w:pPr>
            <w:r w:rsidRPr="00F860D4">
              <w:rPr>
                <w:rFonts w:ascii="Calibri" w:eastAsia="Arial" w:hAnsi="Calibri" w:cs="Times New Roman"/>
                <w:b/>
                <w:sz w:val="24"/>
                <w:szCs w:val="24"/>
              </w:rPr>
              <w:t>Report Author</w:t>
            </w:r>
            <w:r w:rsidR="00D1341F">
              <w:rPr>
                <w:rFonts w:ascii="Calibri" w:eastAsia="Arial" w:hAnsi="Calibri" w:cs="Times New Roman"/>
                <w:b/>
                <w:sz w:val="24"/>
                <w:szCs w:val="24"/>
              </w:rPr>
              <w:t>s</w:t>
            </w:r>
            <w:r w:rsidRPr="00F860D4">
              <w:rPr>
                <w:rFonts w:ascii="Calibri" w:eastAsia="Arial" w:hAnsi="Calibri" w:cs="Times New Roman"/>
                <w:b/>
                <w:sz w:val="24"/>
                <w:szCs w:val="24"/>
              </w:rPr>
              <w:t>:</w:t>
            </w:r>
          </w:p>
        </w:tc>
        <w:tc>
          <w:tcPr>
            <w:tcW w:w="6469" w:type="dxa"/>
          </w:tcPr>
          <w:p w14:paraId="38A90FE3" w14:textId="4B1D61B3" w:rsidR="00D1341F" w:rsidRDefault="00D1341F" w:rsidP="00F860D4">
            <w:pPr>
              <w:spacing w:after="200" w:line="276" w:lineRule="auto"/>
              <w:rPr>
                <w:rFonts w:cstheme="minorHAnsi"/>
                <w:sz w:val="24"/>
                <w:szCs w:val="24"/>
              </w:rPr>
            </w:pPr>
            <w:r>
              <w:rPr>
                <w:rFonts w:cstheme="minorHAnsi"/>
                <w:sz w:val="24"/>
                <w:szCs w:val="24"/>
              </w:rPr>
              <w:t>Helen McGeorge, Head of Internal Audit</w:t>
            </w:r>
          </w:p>
          <w:p w14:paraId="0AA2553D" w14:textId="2D6B91CE" w:rsidR="00D1341F" w:rsidRDefault="00E66115" w:rsidP="00F860D4">
            <w:pPr>
              <w:spacing w:after="200" w:line="276" w:lineRule="auto"/>
              <w:rPr>
                <w:rFonts w:cstheme="minorHAnsi"/>
                <w:sz w:val="24"/>
                <w:szCs w:val="24"/>
              </w:rPr>
            </w:pPr>
            <w:r>
              <w:rPr>
                <w:rFonts w:cstheme="minorHAnsi"/>
                <w:sz w:val="24"/>
                <w:szCs w:val="24"/>
              </w:rPr>
              <w:t>John Donnelly</w:t>
            </w:r>
            <w:r w:rsidR="00D1341F">
              <w:rPr>
                <w:rFonts w:cstheme="minorHAnsi"/>
                <w:sz w:val="24"/>
                <w:szCs w:val="24"/>
              </w:rPr>
              <w:t>, Head of Finance, Planning &amp; Performance</w:t>
            </w:r>
          </w:p>
          <w:p w14:paraId="082835A3" w14:textId="77777777" w:rsidR="00EB3531" w:rsidRDefault="00D1341F" w:rsidP="00EB3531">
            <w:pPr>
              <w:spacing w:after="200" w:line="276" w:lineRule="auto"/>
              <w:rPr>
                <w:rFonts w:cstheme="minorHAnsi"/>
                <w:sz w:val="24"/>
                <w:szCs w:val="24"/>
              </w:rPr>
            </w:pPr>
            <w:r w:rsidRPr="00F860D4">
              <w:rPr>
                <w:rFonts w:cstheme="minorHAnsi"/>
                <w:sz w:val="24"/>
                <w:szCs w:val="24"/>
              </w:rPr>
              <w:t>Sara Lewis, Governance Support Manager</w:t>
            </w:r>
            <w:r w:rsidR="00EB3531">
              <w:rPr>
                <w:rFonts w:cstheme="minorHAnsi"/>
                <w:sz w:val="24"/>
                <w:szCs w:val="24"/>
              </w:rPr>
              <w:t xml:space="preserve"> </w:t>
            </w:r>
          </w:p>
          <w:p w14:paraId="32F7513D" w14:textId="1FDE9D60" w:rsidR="00F860D4" w:rsidRPr="00D1341F" w:rsidRDefault="00EB3531" w:rsidP="00F860D4">
            <w:pPr>
              <w:spacing w:after="200" w:line="276" w:lineRule="auto"/>
              <w:rPr>
                <w:rFonts w:cstheme="minorHAnsi"/>
                <w:sz w:val="24"/>
                <w:szCs w:val="24"/>
              </w:rPr>
            </w:pPr>
            <w:r>
              <w:rPr>
                <w:rFonts w:cstheme="minorHAnsi"/>
                <w:sz w:val="24"/>
                <w:szCs w:val="24"/>
              </w:rPr>
              <w:t>Jane Macdonald, Director of Business Services &amp; Transformation</w:t>
            </w:r>
          </w:p>
        </w:tc>
      </w:tr>
      <w:tr w:rsidR="00F860D4" w:rsidRPr="00F860D4" w14:paraId="67DF02EE" w14:textId="77777777" w:rsidTr="00E94E5C">
        <w:tc>
          <w:tcPr>
            <w:tcW w:w="2547" w:type="dxa"/>
          </w:tcPr>
          <w:p w14:paraId="3F4DE586" w14:textId="77777777" w:rsidR="00F860D4" w:rsidRPr="00F860D4" w:rsidRDefault="00F860D4" w:rsidP="00F860D4">
            <w:pPr>
              <w:spacing w:after="200" w:line="276" w:lineRule="auto"/>
              <w:contextualSpacing/>
              <w:rPr>
                <w:rFonts w:ascii="Calibri" w:eastAsia="Arial" w:hAnsi="Calibri" w:cs="Times New Roman"/>
                <w:b/>
                <w:sz w:val="24"/>
                <w:szCs w:val="24"/>
              </w:rPr>
            </w:pPr>
            <w:r w:rsidRPr="00F860D4">
              <w:rPr>
                <w:rFonts w:ascii="Calibri" w:eastAsia="Arial" w:hAnsi="Calibri" w:cs="Times New Roman"/>
                <w:b/>
                <w:sz w:val="24"/>
                <w:szCs w:val="24"/>
              </w:rPr>
              <w:t>Sponsor:</w:t>
            </w:r>
            <w:r w:rsidRPr="00F860D4">
              <w:rPr>
                <w:rFonts w:ascii="Calibri" w:eastAsia="Arial" w:hAnsi="Calibri" w:cs="Times New Roman"/>
                <w:b/>
                <w:sz w:val="24"/>
                <w:szCs w:val="24"/>
              </w:rPr>
              <w:tab/>
            </w:r>
          </w:p>
        </w:tc>
        <w:tc>
          <w:tcPr>
            <w:tcW w:w="6469" w:type="dxa"/>
          </w:tcPr>
          <w:p w14:paraId="2A6B0D03" w14:textId="6B28DD17" w:rsidR="00F860D4" w:rsidRPr="00F860D4" w:rsidRDefault="008F50FE" w:rsidP="00F860D4">
            <w:pPr>
              <w:spacing w:after="200" w:line="276" w:lineRule="auto"/>
              <w:rPr>
                <w:rFonts w:ascii="Calibri" w:eastAsia="Arial" w:hAnsi="Calibri" w:cs="Times New Roman"/>
                <w:sz w:val="24"/>
                <w:szCs w:val="24"/>
              </w:rPr>
            </w:pPr>
            <w:r>
              <w:rPr>
                <w:rFonts w:cstheme="minorHAnsi"/>
                <w:sz w:val="24"/>
                <w:szCs w:val="24"/>
              </w:rPr>
              <w:t>Ian Gambles</w:t>
            </w:r>
            <w:r w:rsidR="00F860D4" w:rsidRPr="00F860D4">
              <w:rPr>
                <w:rFonts w:cstheme="minorHAnsi"/>
                <w:sz w:val="24"/>
                <w:szCs w:val="24"/>
              </w:rPr>
              <w:t>, Audit and Risk Committee Chair</w:t>
            </w:r>
          </w:p>
        </w:tc>
      </w:tr>
      <w:tr w:rsidR="00F860D4" w:rsidRPr="00F860D4" w14:paraId="2167C137" w14:textId="77777777" w:rsidTr="00E94E5C">
        <w:tc>
          <w:tcPr>
            <w:tcW w:w="2547" w:type="dxa"/>
          </w:tcPr>
          <w:p w14:paraId="7180524E" w14:textId="77777777" w:rsidR="00F860D4" w:rsidRPr="00F860D4" w:rsidRDefault="00F860D4" w:rsidP="00F860D4">
            <w:pPr>
              <w:spacing w:after="200" w:line="276" w:lineRule="auto"/>
              <w:contextualSpacing/>
              <w:rPr>
                <w:rFonts w:ascii="Calibri" w:eastAsia="Arial" w:hAnsi="Calibri" w:cs="Times New Roman"/>
                <w:sz w:val="24"/>
                <w:szCs w:val="24"/>
              </w:rPr>
            </w:pPr>
            <w:r w:rsidRPr="00F860D4">
              <w:rPr>
                <w:rFonts w:ascii="Calibri" w:eastAsia="Arial" w:hAnsi="Calibri" w:cs="Times New Roman"/>
                <w:b/>
                <w:sz w:val="24"/>
                <w:szCs w:val="24"/>
              </w:rPr>
              <w:t>Appendices</w:t>
            </w:r>
            <w:r w:rsidRPr="00F860D4">
              <w:rPr>
                <w:rFonts w:ascii="Calibri" w:eastAsia="Arial" w:hAnsi="Calibri" w:cs="Times New Roman"/>
                <w:sz w:val="24"/>
                <w:szCs w:val="24"/>
              </w:rPr>
              <w:t xml:space="preserve">: </w:t>
            </w:r>
          </w:p>
        </w:tc>
        <w:tc>
          <w:tcPr>
            <w:tcW w:w="6469" w:type="dxa"/>
          </w:tcPr>
          <w:p w14:paraId="62E25F1D" w14:textId="4598475D" w:rsidR="00F860D4" w:rsidRPr="00F860D4" w:rsidRDefault="00F860D4" w:rsidP="00F860D4">
            <w:pPr>
              <w:spacing w:after="200" w:line="276" w:lineRule="auto"/>
              <w:contextualSpacing/>
              <w:rPr>
                <w:rFonts w:ascii="Calibri" w:eastAsia="Arial" w:hAnsi="Calibri" w:cs="Times New Roman"/>
                <w:sz w:val="24"/>
                <w:szCs w:val="24"/>
              </w:rPr>
            </w:pPr>
            <w:r>
              <w:rPr>
                <w:rFonts w:cstheme="minorHAnsi"/>
                <w:sz w:val="24"/>
                <w:szCs w:val="24"/>
              </w:rPr>
              <w:t xml:space="preserve">Annex 1 - </w:t>
            </w:r>
            <w:r w:rsidR="008F50FE">
              <w:rPr>
                <w:rFonts w:cstheme="minorHAnsi"/>
                <w:sz w:val="24"/>
                <w:szCs w:val="24"/>
              </w:rPr>
              <w:t>202</w:t>
            </w:r>
            <w:r w:rsidR="00E66115">
              <w:rPr>
                <w:rFonts w:cstheme="minorHAnsi"/>
                <w:sz w:val="24"/>
                <w:szCs w:val="24"/>
              </w:rPr>
              <w:t>3</w:t>
            </w:r>
            <w:r w:rsidR="008F50FE">
              <w:rPr>
                <w:rFonts w:cstheme="minorHAnsi"/>
                <w:sz w:val="24"/>
                <w:szCs w:val="24"/>
              </w:rPr>
              <w:t>/2</w:t>
            </w:r>
            <w:r w:rsidR="00E66115">
              <w:rPr>
                <w:rFonts w:cstheme="minorHAnsi"/>
                <w:sz w:val="24"/>
                <w:szCs w:val="24"/>
              </w:rPr>
              <w:t>4</w:t>
            </w:r>
            <w:r w:rsidRPr="00F860D4">
              <w:rPr>
                <w:rFonts w:cstheme="minorHAnsi"/>
                <w:sz w:val="24"/>
                <w:szCs w:val="24"/>
              </w:rPr>
              <w:t xml:space="preserve"> Internal Audit Plan</w:t>
            </w:r>
          </w:p>
        </w:tc>
      </w:tr>
    </w:tbl>
    <w:p w14:paraId="7DFE5514" w14:textId="3AFFF275" w:rsidR="004A7FBF" w:rsidRPr="00451C94" w:rsidRDefault="00DB76FD" w:rsidP="00451C94">
      <w:pPr>
        <w:pStyle w:val="Heading1"/>
        <w:rPr>
          <w:rFonts w:asciiTheme="minorHAnsi" w:hAnsiTheme="minorHAnsi" w:cstheme="minorHAnsi"/>
          <w:sz w:val="24"/>
          <w:szCs w:val="24"/>
        </w:rPr>
      </w:pPr>
      <w:r w:rsidRPr="00451C94">
        <w:rPr>
          <w:rFonts w:asciiTheme="minorHAnsi" w:hAnsiTheme="minorHAnsi" w:cstheme="minorHAnsi"/>
          <w:sz w:val="24"/>
          <w:szCs w:val="24"/>
        </w:rPr>
        <w:lastRenderedPageBreak/>
        <w:t>Purpose</w:t>
      </w:r>
    </w:p>
    <w:p w14:paraId="79670912" w14:textId="77777777" w:rsidR="00FD0A8A" w:rsidRPr="00FD0A8A" w:rsidRDefault="00FD0A8A" w:rsidP="00FD0A8A">
      <w:pPr>
        <w:spacing w:after="0"/>
        <w:ind w:left="357" w:hanging="357"/>
      </w:pPr>
    </w:p>
    <w:p w14:paraId="69C12E72" w14:textId="4935B0CF" w:rsidR="00DB76FD" w:rsidRPr="00DB76FD" w:rsidRDefault="00DB76FD" w:rsidP="00FD0A8A">
      <w:pPr>
        <w:ind w:left="374" w:hanging="374"/>
        <w:rPr>
          <w:rFonts w:cstheme="minorHAnsi"/>
          <w:sz w:val="24"/>
          <w:szCs w:val="24"/>
        </w:rPr>
      </w:pPr>
      <w:r>
        <w:rPr>
          <w:rFonts w:ascii="Arial" w:hAnsi="Arial" w:cs="Arial"/>
          <w:sz w:val="24"/>
          <w:szCs w:val="24"/>
        </w:rPr>
        <w:t>1.</w:t>
      </w:r>
      <w:r>
        <w:rPr>
          <w:rFonts w:ascii="Arial" w:hAnsi="Arial" w:cs="Arial"/>
          <w:sz w:val="24"/>
          <w:szCs w:val="24"/>
        </w:rPr>
        <w:tab/>
      </w:r>
      <w:r w:rsidRPr="00DB76FD">
        <w:rPr>
          <w:rFonts w:cstheme="minorHAnsi"/>
          <w:sz w:val="24"/>
          <w:szCs w:val="24"/>
        </w:rPr>
        <w:t>This report summarises the main work of the Audit and Risk Committee during t</w:t>
      </w:r>
      <w:r w:rsidR="00E94E5C">
        <w:rPr>
          <w:rFonts w:cstheme="minorHAnsi"/>
          <w:sz w:val="24"/>
          <w:szCs w:val="24"/>
        </w:rPr>
        <w:t>he reporting period 1 April 202</w:t>
      </w:r>
      <w:r w:rsidR="00E66115">
        <w:rPr>
          <w:rFonts w:cstheme="minorHAnsi"/>
          <w:sz w:val="24"/>
          <w:szCs w:val="24"/>
        </w:rPr>
        <w:t>3</w:t>
      </w:r>
      <w:r w:rsidR="00E94E5C">
        <w:rPr>
          <w:rFonts w:cstheme="minorHAnsi"/>
          <w:sz w:val="24"/>
          <w:szCs w:val="24"/>
        </w:rPr>
        <w:t xml:space="preserve"> to 31 March 202</w:t>
      </w:r>
      <w:r w:rsidR="00E66115">
        <w:rPr>
          <w:rFonts w:cstheme="minorHAnsi"/>
          <w:sz w:val="24"/>
          <w:szCs w:val="24"/>
        </w:rPr>
        <w:t>4</w:t>
      </w:r>
      <w:r w:rsidRPr="00DB76FD">
        <w:rPr>
          <w:rFonts w:cstheme="minorHAnsi"/>
          <w:sz w:val="24"/>
          <w:szCs w:val="24"/>
        </w:rPr>
        <w:t xml:space="preserve">. </w:t>
      </w:r>
    </w:p>
    <w:p w14:paraId="331FB045" w14:textId="26F8068F" w:rsidR="00DB76FD" w:rsidRPr="00DB76FD" w:rsidRDefault="00DB76FD" w:rsidP="00FD0A8A">
      <w:pPr>
        <w:ind w:left="374" w:hanging="374"/>
        <w:rPr>
          <w:rFonts w:cstheme="minorHAnsi"/>
          <w:sz w:val="24"/>
          <w:szCs w:val="24"/>
        </w:rPr>
      </w:pPr>
      <w:r w:rsidRPr="00DB76FD">
        <w:rPr>
          <w:rFonts w:cstheme="minorHAnsi"/>
          <w:sz w:val="24"/>
          <w:szCs w:val="24"/>
        </w:rPr>
        <w:t>2.</w:t>
      </w:r>
      <w:r w:rsidRPr="00DB76FD">
        <w:rPr>
          <w:rFonts w:cstheme="minorHAnsi"/>
          <w:sz w:val="24"/>
          <w:szCs w:val="24"/>
        </w:rPr>
        <w:tab/>
        <w:t>The report has been p</w:t>
      </w:r>
      <w:r w:rsidR="00FD0A8A">
        <w:rPr>
          <w:rFonts w:cstheme="minorHAnsi"/>
          <w:sz w:val="24"/>
          <w:szCs w:val="24"/>
        </w:rPr>
        <w:t>roduced</w:t>
      </w:r>
      <w:r>
        <w:rPr>
          <w:rFonts w:cstheme="minorHAnsi"/>
          <w:sz w:val="24"/>
          <w:szCs w:val="24"/>
        </w:rPr>
        <w:t xml:space="preserve"> to </w:t>
      </w:r>
      <w:r w:rsidR="00FD0A8A">
        <w:rPr>
          <w:rFonts w:cstheme="minorHAnsi"/>
          <w:sz w:val="24"/>
          <w:szCs w:val="24"/>
        </w:rPr>
        <w:t xml:space="preserve">summarise the work of the ARC in </w:t>
      </w:r>
      <w:r>
        <w:rPr>
          <w:rFonts w:cstheme="minorHAnsi"/>
          <w:sz w:val="24"/>
          <w:szCs w:val="24"/>
        </w:rPr>
        <w:t>support</w:t>
      </w:r>
      <w:r w:rsidR="00FD0A8A">
        <w:rPr>
          <w:rFonts w:cstheme="minorHAnsi"/>
          <w:sz w:val="24"/>
          <w:szCs w:val="24"/>
        </w:rPr>
        <w:t xml:space="preserve"> of</w:t>
      </w:r>
      <w:r>
        <w:rPr>
          <w:rFonts w:cstheme="minorHAnsi"/>
          <w:sz w:val="24"/>
          <w:szCs w:val="24"/>
        </w:rPr>
        <w:t xml:space="preserve"> the </w:t>
      </w:r>
      <w:r w:rsidRPr="00DB76FD">
        <w:rPr>
          <w:rFonts w:cstheme="minorHAnsi"/>
          <w:sz w:val="24"/>
          <w:szCs w:val="24"/>
        </w:rPr>
        <w:t>Board</w:t>
      </w:r>
      <w:r>
        <w:rPr>
          <w:rFonts w:cstheme="minorHAnsi"/>
          <w:sz w:val="24"/>
          <w:szCs w:val="24"/>
        </w:rPr>
        <w:t xml:space="preserve"> of NatureScot</w:t>
      </w:r>
      <w:r w:rsidR="00E94E5C">
        <w:rPr>
          <w:rFonts w:cstheme="minorHAnsi"/>
          <w:sz w:val="24"/>
          <w:szCs w:val="24"/>
        </w:rPr>
        <w:t xml:space="preserve"> in its governance role.</w:t>
      </w:r>
      <w:r w:rsidRPr="00DB76FD">
        <w:rPr>
          <w:rFonts w:cstheme="minorHAnsi"/>
          <w:sz w:val="24"/>
          <w:szCs w:val="24"/>
        </w:rPr>
        <w:t xml:space="preserve"> </w:t>
      </w:r>
    </w:p>
    <w:p w14:paraId="399C17D6" w14:textId="14FB0519" w:rsidR="00366E4B" w:rsidRPr="00451C94" w:rsidRDefault="00451C94" w:rsidP="00451C94">
      <w:pPr>
        <w:pStyle w:val="Heading1"/>
        <w:rPr>
          <w:rFonts w:asciiTheme="minorHAnsi" w:hAnsiTheme="minorHAnsi" w:cstheme="minorHAnsi"/>
          <w:sz w:val="24"/>
          <w:szCs w:val="24"/>
        </w:rPr>
      </w:pPr>
      <w:r w:rsidRPr="00451C94">
        <w:rPr>
          <w:rFonts w:asciiTheme="minorHAnsi" w:hAnsiTheme="minorHAnsi" w:cstheme="minorHAnsi"/>
          <w:sz w:val="24"/>
          <w:szCs w:val="24"/>
        </w:rPr>
        <w:t>Background</w:t>
      </w:r>
    </w:p>
    <w:p w14:paraId="7CFF3CF6" w14:textId="7861F051" w:rsidR="00451C94" w:rsidRDefault="00451C94" w:rsidP="00FD0A8A">
      <w:pPr>
        <w:spacing w:after="0"/>
        <w:rPr>
          <w:rFonts w:cstheme="minorHAnsi"/>
          <w:b/>
          <w:sz w:val="24"/>
          <w:szCs w:val="24"/>
        </w:rPr>
      </w:pPr>
    </w:p>
    <w:p w14:paraId="33F0E962" w14:textId="77777777" w:rsidR="00451C94" w:rsidRPr="001D361C" w:rsidRDefault="00451C94" w:rsidP="00451C94">
      <w:pPr>
        <w:pStyle w:val="Heading2"/>
        <w:spacing w:line="276" w:lineRule="auto"/>
      </w:pPr>
      <w:r w:rsidRPr="001D361C">
        <w:t>AUDIT AND RISK COMMITTEE MEETINGS</w:t>
      </w:r>
    </w:p>
    <w:p w14:paraId="3C36235A" w14:textId="77777777" w:rsidR="00451C94" w:rsidRDefault="00451C94" w:rsidP="00451C94">
      <w:pPr>
        <w:spacing w:after="0"/>
        <w:ind w:left="357" w:hanging="357"/>
        <w:rPr>
          <w:rFonts w:cstheme="minorHAnsi"/>
          <w:color w:val="000000"/>
          <w:sz w:val="24"/>
          <w:szCs w:val="24"/>
        </w:rPr>
      </w:pPr>
    </w:p>
    <w:p w14:paraId="03F709DE" w14:textId="441E7434" w:rsidR="00451C94" w:rsidRDefault="00451C94" w:rsidP="00451C94">
      <w:pPr>
        <w:spacing w:after="0"/>
        <w:ind w:left="357" w:hanging="357"/>
        <w:rPr>
          <w:rFonts w:cstheme="minorHAnsi"/>
          <w:color w:val="000000"/>
          <w:sz w:val="24"/>
          <w:szCs w:val="24"/>
        </w:rPr>
      </w:pPr>
      <w:r>
        <w:rPr>
          <w:rFonts w:cstheme="minorHAnsi"/>
          <w:color w:val="000000"/>
          <w:sz w:val="24"/>
          <w:szCs w:val="24"/>
        </w:rPr>
        <w:t>3.</w:t>
      </w:r>
      <w:r>
        <w:rPr>
          <w:rFonts w:cstheme="minorHAnsi"/>
          <w:color w:val="000000"/>
          <w:sz w:val="24"/>
          <w:szCs w:val="24"/>
        </w:rPr>
        <w:tab/>
        <w:t>The ARC holds</w:t>
      </w:r>
      <w:r w:rsidRPr="001D361C">
        <w:rPr>
          <w:rFonts w:cstheme="minorHAnsi"/>
          <w:color w:val="000000"/>
          <w:sz w:val="24"/>
          <w:szCs w:val="24"/>
        </w:rPr>
        <w:t xml:space="preserve"> four co</w:t>
      </w:r>
      <w:r>
        <w:rPr>
          <w:rFonts w:cstheme="minorHAnsi"/>
          <w:color w:val="000000"/>
          <w:sz w:val="24"/>
          <w:szCs w:val="24"/>
        </w:rPr>
        <w:t>re business meetings per financial year, with a</w:t>
      </w:r>
      <w:r w:rsidRPr="001D361C">
        <w:rPr>
          <w:rFonts w:cstheme="minorHAnsi"/>
          <w:color w:val="000000"/>
          <w:sz w:val="24"/>
          <w:szCs w:val="24"/>
        </w:rPr>
        <w:t xml:space="preserve"> separate meeti</w:t>
      </w:r>
      <w:r>
        <w:rPr>
          <w:rFonts w:cstheme="minorHAnsi"/>
          <w:color w:val="000000"/>
          <w:sz w:val="24"/>
          <w:szCs w:val="24"/>
        </w:rPr>
        <w:t>ng</w:t>
      </w:r>
      <w:r w:rsidR="00E66115">
        <w:rPr>
          <w:rFonts w:cstheme="minorHAnsi"/>
          <w:color w:val="000000"/>
          <w:sz w:val="24"/>
          <w:szCs w:val="24"/>
        </w:rPr>
        <w:t xml:space="preserve"> </w:t>
      </w:r>
      <w:r w:rsidRPr="001D361C">
        <w:rPr>
          <w:rFonts w:cstheme="minorHAnsi"/>
          <w:color w:val="000000"/>
          <w:sz w:val="24"/>
          <w:szCs w:val="24"/>
        </w:rPr>
        <w:t xml:space="preserve">for the review of the Annual </w:t>
      </w:r>
      <w:r w:rsidR="00EB3531">
        <w:rPr>
          <w:rFonts w:cstheme="minorHAnsi"/>
          <w:color w:val="000000"/>
          <w:sz w:val="24"/>
          <w:szCs w:val="24"/>
        </w:rPr>
        <w:t xml:space="preserve">Report &amp; </w:t>
      </w:r>
      <w:r w:rsidRPr="001D361C">
        <w:rPr>
          <w:rFonts w:cstheme="minorHAnsi"/>
          <w:color w:val="000000"/>
          <w:sz w:val="24"/>
          <w:szCs w:val="24"/>
        </w:rPr>
        <w:t>Accounts</w:t>
      </w:r>
      <w:r w:rsidR="00E66115">
        <w:rPr>
          <w:rFonts w:cstheme="minorHAnsi"/>
          <w:color w:val="000000"/>
          <w:sz w:val="24"/>
          <w:szCs w:val="24"/>
        </w:rPr>
        <w:t xml:space="preserve"> when required. This year the review took place at the November meeting</w:t>
      </w:r>
      <w:r w:rsidRPr="001D361C">
        <w:rPr>
          <w:rFonts w:cstheme="minorHAnsi"/>
          <w:color w:val="000000"/>
          <w:sz w:val="24"/>
          <w:szCs w:val="24"/>
        </w:rPr>
        <w:t>.</w:t>
      </w:r>
      <w:r>
        <w:rPr>
          <w:rFonts w:cstheme="minorHAnsi"/>
          <w:color w:val="000000"/>
          <w:sz w:val="24"/>
          <w:szCs w:val="24"/>
        </w:rPr>
        <w:t xml:space="preserve"> The key leads attending are:</w:t>
      </w:r>
    </w:p>
    <w:p w14:paraId="374238C7" w14:textId="77777777" w:rsidR="00451C94" w:rsidRDefault="00451C94" w:rsidP="00451C94">
      <w:pPr>
        <w:pStyle w:val="ListParagraph"/>
        <w:numPr>
          <w:ilvl w:val="0"/>
          <w:numId w:val="21"/>
        </w:numPr>
        <w:spacing w:after="0"/>
        <w:rPr>
          <w:rFonts w:cstheme="minorHAnsi"/>
          <w:color w:val="000000"/>
          <w:sz w:val="24"/>
          <w:szCs w:val="24"/>
        </w:rPr>
      </w:pPr>
      <w:r w:rsidRPr="001D361C">
        <w:rPr>
          <w:rFonts w:cstheme="minorHAnsi"/>
          <w:color w:val="000000"/>
          <w:sz w:val="24"/>
          <w:szCs w:val="24"/>
        </w:rPr>
        <w:t>Accountable Officer</w:t>
      </w:r>
    </w:p>
    <w:p w14:paraId="02890DCD" w14:textId="77777777" w:rsidR="00451C94" w:rsidRDefault="00451C94" w:rsidP="00451C94">
      <w:pPr>
        <w:pStyle w:val="ListParagraph"/>
        <w:numPr>
          <w:ilvl w:val="0"/>
          <w:numId w:val="21"/>
        </w:numPr>
        <w:spacing w:after="0"/>
        <w:rPr>
          <w:rFonts w:cstheme="minorHAnsi"/>
          <w:color w:val="000000"/>
          <w:sz w:val="24"/>
          <w:szCs w:val="24"/>
        </w:rPr>
      </w:pPr>
      <w:r w:rsidRPr="001D361C">
        <w:rPr>
          <w:rFonts w:cstheme="minorHAnsi"/>
          <w:color w:val="000000"/>
          <w:sz w:val="24"/>
          <w:szCs w:val="24"/>
        </w:rPr>
        <w:t>Director of Business Services and Transformation</w:t>
      </w:r>
    </w:p>
    <w:p w14:paraId="5EE32D57" w14:textId="77777777" w:rsidR="00451C94" w:rsidRDefault="00451C94" w:rsidP="00451C94">
      <w:pPr>
        <w:pStyle w:val="ListParagraph"/>
        <w:numPr>
          <w:ilvl w:val="0"/>
          <w:numId w:val="21"/>
        </w:numPr>
        <w:spacing w:after="0"/>
        <w:rPr>
          <w:rFonts w:cstheme="minorHAnsi"/>
          <w:color w:val="000000"/>
          <w:sz w:val="24"/>
          <w:szCs w:val="24"/>
        </w:rPr>
      </w:pPr>
      <w:r w:rsidRPr="001D361C">
        <w:rPr>
          <w:rFonts w:cstheme="minorHAnsi"/>
          <w:color w:val="000000"/>
          <w:sz w:val="24"/>
          <w:szCs w:val="24"/>
        </w:rPr>
        <w:t>Head of Finance, Planning and Performance</w:t>
      </w:r>
    </w:p>
    <w:p w14:paraId="4C4F4177" w14:textId="77777777" w:rsidR="00451C94" w:rsidRDefault="00451C94" w:rsidP="00451C94">
      <w:pPr>
        <w:pStyle w:val="ListParagraph"/>
        <w:numPr>
          <w:ilvl w:val="0"/>
          <w:numId w:val="21"/>
        </w:numPr>
        <w:spacing w:after="0"/>
        <w:rPr>
          <w:rFonts w:cstheme="minorHAnsi"/>
          <w:color w:val="000000"/>
          <w:sz w:val="24"/>
          <w:szCs w:val="24"/>
        </w:rPr>
      </w:pPr>
      <w:r w:rsidRPr="001D361C">
        <w:rPr>
          <w:rFonts w:cstheme="minorHAnsi"/>
          <w:color w:val="000000"/>
          <w:sz w:val="24"/>
          <w:szCs w:val="24"/>
        </w:rPr>
        <w:t>Head of Internal Audit</w:t>
      </w:r>
    </w:p>
    <w:p w14:paraId="178F616D" w14:textId="77777777" w:rsidR="00451C94" w:rsidRPr="005E2ECC" w:rsidRDefault="00451C94" w:rsidP="00451C94">
      <w:pPr>
        <w:pStyle w:val="ListParagraph"/>
        <w:numPr>
          <w:ilvl w:val="0"/>
          <w:numId w:val="21"/>
        </w:numPr>
        <w:spacing w:after="0"/>
        <w:rPr>
          <w:rFonts w:cstheme="minorHAnsi"/>
          <w:color w:val="000000"/>
          <w:sz w:val="24"/>
          <w:szCs w:val="24"/>
        </w:rPr>
      </w:pPr>
      <w:r w:rsidRPr="001D361C">
        <w:rPr>
          <w:rFonts w:cstheme="minorHAnsi"/>
          <w:color w:val="000000"/>
          <w:sz w:val="24"/>
          <w:szCs w:val="24"/>
        </w:rPr>
        <w:t>Planning and Performance Manager</w:t>
      </w:r>
    </w:p>
    <w:p w14:paraId="72995B5A" w14:textId="77777777" w:rsidR="00451C94" w:rsidRDefault="00451C94" w:rsidP="00451C94">
      <w:pPr>
        <w:spacing w:after="0"/>
        <w:ind w:left="374" w:hanging="374"/>
        <w:rPr>
          <w:rFonts w:cstheme="minorHAnsi"/>
          <w:color w:val="000000"/>
          <w:sz w:val="24"/>
          <w:szCs w:val="24"/>
        </w:rPr>
      </w:pPr>
    </w:p>
    <w:p w14:paraId="005273DA" w14:textId="25810EA8" w:rsidR="00451C94" w:rsidRDefault="00451C94" w:rsidP="00451C94">
      <w:pPr>
        <w:spacing w:after="0"/>
        <w:ind w:left="374" w:hanging="357"/>
        <w:rPr>
          <w:rFonts w:cstheme="minorHAnsi"/>
          <w:color w:val="000000"/>
          <w:sz w:val="24"/>
          <w:szCs w:val="24"/>
        </w:rPr>
      </w:pPr>
      <w:r>
        <w:rPr>
          <w:rFonts w:cstheme="minorHAnsi"/>
          <w:color w:val="000000"/>
          <w:sz w:val="24"/>
          <w:szCs w:val="24"/>
        </w:rPr>
        <w:t>4.</w:t>
      </w:r>
      <w:r>
        <w:rPr>
          <w:rFonts w:cstheme="minorHAnsi"/>
          <w:color w:val="000000"/>
          <w:sz w:val="24"/>
          <w:szCs w:val="24"/>
        </w:rPr>
        <w:tab/>
      </w:r>
      <w:r w:rsidRPr="001D361C">
        <w:rPr>
          <w:rFonts w:cstheme="minorHAnsi"/>
          <w:color w:val="000000"/>
          <w:sz w:val="24"/>
          <w:szCs w:val="24"/>
        </w:rPr>
        <w:t>Representatives of</w:t>
      </w:r>
      <w:r w:rsidR="00FE4C40">
        <w:rPr>
          <w:rFonts w:cstheme="minorHAnsi"/>
          <w:color w:val="000000"/>
          <w:sz w:val="24"/>
          <w:szCs w:val="24"/>
        </w:rPr>
        <w:t xml:space="preserve"> </w:t>
      </w:r>
      <w:r w:rsidR="00E66115">
        <w:rPr>
          <w:rFonts w:cstheme="minorHAnsi"/>
          <w:color w:val="000000"/>
          <w:sz w:val="24"/>
          <w:szCs w:val="24"/>
        </w:rPr>
        <w:t>our external auditor</w:t>
      </w:r>
      <w:r w:rsidRPr="001D361C">
        <w:rPr>
          <w:rFonts w:cstheme="minorHAnsi"/>
          <w:color w:val="000000"/>
          <w:sz w:val="24"/>
          <w:szCs w:val="24"/>
        </w:rPr>
        <w:t xml:space="preserve"> </w:t>
      </w:r>
      <w:r w:rsidR="00FE4C40">
        <w:rPr>
          <w:rFonts w:cstheme="minorHAnsi"/>
          <w:color w:val="000000"/>
          <w:sz w:val="24"/>
          <w:szCs w:val="24"/>
        </w:rPr>
        <w:t>Mazars</w:t>
      </w:r>
      <w:r w:rsidRPr="001D361C">
        <w:rPr>
          <w:rFonts w:cstheme="minorHAnsi"/>
          <w:color w:val="000000"/>
          <w:sz w:val="24"/>
          <w:szCs w:val="24"/>
        </w:rPr>
        <w:t xml:space="preserve"> have a standing invitation to attend all ARC Meetings, a</w:t>
      </w:r>
      <w:r>
        <w:rPr>
          <w:rFonts w:cstheme="minorHAnsi"/>
          <w:color w:val="000000"/>
          <w:sz w:val="24"/>
          <w:szCs w:val="24"/>
        </w:rPr>
        <w:t xml:space="preserve">nd have attended </w:t>
      </w:r>
      <w:r w:rsidR="00E66115">
        <w:rPr>
          <w:rFonts w:cstheme="minorHAnsi"/>
          <w:color w:val="000000"/>
          <w:sz w:val="24"/>
          <w:szCs w:val="24"/>
        </w:rPr>
        <w:t>most</w:t>
      </w:r>
      <w:r>
        <w:rPr>
          <w:rFonts w:cstheme="minorHAnsi"/>
          <w:color w:val="000000"/>
          <w:sz w:val="24"/>
          <w:szCs w:val="24"/>
        </w:rPr>
        <w:t xml:space="preserve"> during 202</w:t>
      </w:r>
      <w:r w:rsidR="00FE4C40">
        <w:rPr>
          <w:rFonts w:cstheme="minorHAnsi"/>
          <w:color w:val="000000"/>
          <w:sz w:val="24"/>
          <w:szCs w:val="24"/>
        </w:rPr>
        <w:t>2</w:t>
      </w:r>
      <w:r>
        <w:rPr>
          <w:rFonts w:cstheme="minorHAnsi"/>
          <w:color w:val="000000"/>
          <w:sz w:val="24"/>
          <w:szCs w:val="24"/>
        </w:rPr>
        <w:t>/2</w:t>
      </w:r>
      <w:r w:rsidR="00FE4C40">
        <w:rPr>
          <w:rFonts w:cstheme="minorHAnsi"/>
          <w:color w:val="000000"/>
          <w:sz w:val="24"/>
          <w:szCs w:val="24"/>
        </w:rPr>
        <w:t>3</w:t>
      </w:r>
      <w:r w:rsidR="00E66115">
        <w:rPr>
          <w:rFonts w:cstheme="minorHAnsi"/>
          <w:color w:val="000000"/>
          <w:sz w:val="24"/>
          <w:szCs w:val="24"/>
        </w:rPr>
        <w:t>, except for the February 2024 meeting.</w:t>
      </w:r>
    </w:p>
    <w:p w14:paraId="604D42D8" w14:textId="50A58AE2" w:rsidR="00451C94" w:rsidRDefault="00451C94" w:rsidP="00FD0A8A">
      <w:pPr>
        <w:spacing w:after="0"/>
        <w:rPr>
          <w:rFonts w:cstheme="minorHAnsi"/>
          <w:b/>
          <w:sz w:val="24"/>
          <w:szCs w:val="24"/>
        </w:rPr>
      </w:pPr>
    </w:p>
    <w:p w14:paraId="79CDEBB2" w14:textId="30D47756" w:rsidR="00E14225" w:rsidRPr="00E14225" w:rsidRDefault="00E14225" w:rsidP="00E14225">
      <w:pPr>
        <w:spacing w:after="0"/>
        <w:ind w:left="374" w:hanging="357"/>
        <w:rPr>
          <w:rFonts w:cstheme="minorHAnsi"/>
          <w:sz w:val="24"/>
          <w:szCs w:val="24"/>
        </w:rPr>
      </w:pPr>
      <w:r w:rsidRPr="00E14225">
        <w:rPr>
          <w:rFonts w:cstheme="minorHAnsi"/>
          <w:sz w:val="24"/>
          <w:szCs w:val="24"/>
        </w:rPr>
        <w:t>5.</w:t>
      </w:r>
      <w:r w:rsidRPr="00E14225">
        <w:rPr>
          <w:rFonts w:cstheme="minorHAnsi"/>
          <w:sz w:val="24"/>
          <w:szCs w:val="24"/>
        </w:rPr>
        <w:tab/>
      </w:r>
      <w:r w:rsidR="004433E5">
        <w:rPr>
          <w:rFonts w:cstheme="minorHAnsi"/>
          <w:sz w:val="24"/>
          <w:szCs w:val="24"/>
        </w:rPr>
        <w:t xml:space="preserve">Ian Gambles </w:t>
      </w:r>
      <w:r w:rsidR="00E66115">
        <w:rPr>
          <w:rFonts w:cstheme="minorHAnsi"/>
          <w:sz w:val="24"/>
          <w:szCs w:val="24"/>
        </w:rPr>
        <w:t>is the</w:t>
      </w:r>
      <w:r w:rsidR="004433E5">
        <w:rPr>
          <w:rFonts w:cstheme="minorHAnsi"/>
          <w:sz w:val="24"/>
          <w:szCs w:val="24"/>
        </w:rPr>
        <w:t xml:space="preserve"> ARC Chair</w:t>
      </w:r>
      <w:r w:rsidR="00E66115">
        <w:rPr>
          <w:rFonts w:cstheme="minorHAnsi"/>
          <w:sz w:val="24"/>
          <w:szCs w:val="24"/>
        </w:rPr>
        <w:t>.</w:t>
      </w:r>
      <w:r>
        <w:rPr>
          <w:rFonts w:cstheme="minorHAnsi"/>
          <w:sz w:val="24"/>
          <w:szCs w:val="24"/>
        </w:rPr>
        <w:t xml:space="preserve"> </w:t>
      </w:r>
      <w:r w:rsidR="00C4414A">
        <w:rPr>
          <w:rFonts w:cstheme="minorHAnsi"/>
          <w:sz w:val="24"/>
          <w:szCs w:val="24"/>
        </w:rPr>
        <w:t>M</w:t>
      </w:r>
      <w:r>
        <w:rPr>
          <w:rFonts w:cstheme="minorHAnsi"/>
          <w:sz w:val="24"/>
          <w:szCs w:val="24"/>
        </w:rPr>
        <w:t>embers</w:t>
      </w:r>
      <w:r w:rsidR="00C4414A">
        <w:rPr>
          <w:rFonts w:cstheme="minorHAnsi"/>
          <w:sz w:val="24"/>
          <w:szCs w:val="24"/>
        </w:rPr>
        <w:t xml:space="preserve"> are</w:t>
      </w:r>
      <w:r>
        <w:rPr>
          <w:rFonts w:cstheme="minorHAnsi"/>
          <w:sz w:val="24"/>
          <w:szCs w:val="24"/>
        </w:rPr>
        <w:t xml:space="preserve"> </w:t>
      </w:r>
      <w:r w:rsidR="004433E5">
        <w:rPr>
          <w:rFonts w:cstheme="minorHAnsi"/>
          <w:sz w:val="24"/>
          <w:szCs w:val="24"/>
        </w:rPr>
        <w:t>Nikki Yoxall, Colin MacPhail</w:t>
      </w:r>
      <w:r w:rsidR="00CB670E">
        <w:rPr>
          <w:rFonts w:cstheme="minorHAnsi"/>
          <w:sz w:val="24"/>
          <w:szCs w:val="24"/>
        </w:rPr>
        <w:t>,</w:t>
      </w:r>
      <w:r w:rsidR="004433E5">
        <w:rPr>
          <w:rFonts w:cstheme="minorHAnsi"/>
          <w:sz w:val="24"/>
          <w:szCs w:val="24"/>
        </w:rPr>
        <w:t xml:space="preserve"> Heather Reid</w:t>
      </w:r>
      <w:r w:rsidR="00CB670E">
        <w:rPr>
          <w:rFonts w:cstheme="minorHAnsi"/>
          <w:sz w:val="24"/>
          <w:szCs w:val="24"/>
        </w:rPr>
        <w:t>,</w:t>
      </w:r>
      <w:r w:rsidR="004433E5">
        <w:rPr>
          <w:rFonts w:cstheme="minorHAnsi"/>
          <w:sz w:val="24"/>
          <w:szCs w:val="24"/>
        </w:rPr>
        <w:t xml:space="preserve"> and Margaret Davidson.</w:t>
      </w:r>
    </w:p>
    <w:p w14:paraId="595AA042" w14:textId="77777777" w:rsidR="00E14225" w:rsidRDefault="00E14225" w:rsidP="00FD0A8A">
      <w:pPr>
        <w:spacing w:after="0"/>
        <w:rPr>
          <w:rFonts w:cstheme="minorHAnsi"/>
          <w:b/>
          <w:sz w:val="24"/>
          <w:szCs w:val="24"/>
        </w:rPr>
      </w:pPr>
    </w:p>
    <w:p w14:paraId="33DE524D" w14:textId="55A6A0FF" w:rsidR="00565C9A" w:rsidRPr="00F860D4" w:rsidRDefault="004E3E79" w:rsidP="00FD0A8A">
      <w:pPr>
        <w:pStyle w:val="Heading2"/>
        <w:spacing w:line="276" w:lineRule="auto"/>
      </w:pPr>
      <w:r>
        <w:t>NA</w:t>
      </w:r>
      <w:r w:rsidR="00AF1E17" w:rsidRPr="00F860D4">
        <w:t>TURESCOT</w:t>
      </w:r>
      <w:r w:rsidR="00565C9A" w:rsidRPr="00F860D4">
        <w:t xml:space="preserve"> INTERNAL AUDIT SERVICES </w:t>
      </w:r>
    </w:p>
    <w:p w14:paraId="7308166E" w14:textId="77777777" w:rsidR="00565C9A" w:rsidRPr="00565C9A" w:rsidRDefault="00565C9A" w:rsidP="00FD0A8A">
      <w:pPr>
        <w:spacing w:after="0"/>
        <w:ind w:left="357" w:hanging="357"/>
        <w:rPr>
          <w:rFonts w:cstheme="minorHAnsi"/>
          <w:sz w:val="24"/>
          <w:szCs w:val="24"/>
        </w:rPr>
      </w:pPr>
    </w:p>
    <w:p w14:paraId="397F38A5" w14:textId="3FAE6B6A" w:rsidR="00FD0A8A" w:rsidRPr="00565C9A" w:rsidRDefault="00E14225" w:rsidP="00FD0A8A">
      <w:pPr>
        <w:spacing w:after="0"/>
        <w:ind w:left="357" w:hanging="357"/>
        <w:rPr>
          <w:rFonts w:cstheme="minorHAnsi"/>
          <w:sz w:val="24"/>
          <w:szCs w:val="24"/>
        </w:rPr>
      </w:pPr>
      <w:r>
        <w:rPr>
          <w:rFonts w:cstheme="minorHAnsi"/>
          <w:sz w:val="24"/>
          <w:szCs w:val="24"/>
        </w:rPr>
        <w:t>6</w:t>
      </w:r>
      <w:r w:rsidR="00565C9A" w:rsidRPr="00565C9A">
        <w:rPr>
          <w:rFonts w:cstheme="minorHAnsi"/>
          <w:sz w:val="24"/>
          <w:szCs w:val="24"/>
        </w:rPr>
        <w:t>.</w:t>
      </w:r>
      <w:r w:rsidR="00565C9A" w:rsidRPr="00565C9A">
        <w:rPr>
          <w:rFonts w:cstheme="minorHAnsi"/>
          <w:sz w:val="24"/>
          <w:szCs w:val="24"/>
        </w:rPr>
        <w:tab/>
        <w:t xml:space="preserve">The substantive </w:t>
      </w:r>
      <w:r w:rsidR="00AF1E17">
        <w:rPr>
          <w:rFonts w:cstheme="minorHAnsi"/>
          <w:sz w:val="24"/>
          <w:szCs w:val="24"/>
        </w:rPr>
        <w:t>NatureScot</w:t>
      </w:r>
      <w:r w:rsidR="00565C9A" w:rsidRPr="00565C9A">
        <w:rPr>
          <w:rFonts w:cstheme="minorHAnsi"/>
          <w:sz w:val="24"/>
          <w:szCs w:val="24"/>
        </w:rPr>
        <w:t xml:space="preserve"> in-house complement for the Internal Audit function is 1.7</w:t>
      </w:r>
      <w:r w:rsidR="004E3E79">
        <w:rPr>
          <w:rFonts w:cstheme="minorHAnsi"/>
          <w:sz w:val="24"/>
          <w:szCs w:val="24"/>
        </w:rPr>
        <w:t>3 full time equivalents (FTE)</w:t>
      </w:r>
    </w:p>
    <w:p w14:paraId="09720774" w14:textId="6190561B" w:rsidR="00565C9A" w:rsidRPr="00565C9A" w:rsidRDefault="00565C9A" w:rsidP="00FD0A8A">
      <w:pPr>
        <w:spacing w:after="0"/>
        <w:ind w:left="357" w:hanging="357"/>
        <w:rPr>
          <w:rFonts w:cstheme="minorHAnsi"/>
          <w:sz w:val="24"/>
          <w:szCs w:val="24"/>
        </w:rPr>
      </w:pPr>
      <w:r w:rsidRPr="00565C9A">
        <w:rPr>
          <w:rFonts w:cstheme="minorHAnsi"/>
          <w:sz w:val="24"/>
          <w:szCs w:val="24"/>
        </w:rPr>
        <w:t>•</w:t>
      </w:r>
      <w:r w:rsidRPr="00565C9A">
        <w:rPr>
          <w:rFonts w:cstheme="minorHAnsi"/>
          <w:sz w:val="24"/>
          <w:szCs w:val="24"/>
        </w:rPr>
        <w:tab/>
        <w:t xml:space="preserve">0.73 F grade Head of Internal </w:t>
      </w:r>
      <w:r w:rsidR="007A4643" w:rsidRPr="00565C9A">
        <w:rPr>
          <w:rFonts w:cstheme="minorHAnsi"/>
          <w:sz w:val="24"/>
          <w:szCs w:val="24"/>
        </w:rPr>
        <w:t>Audit.</w:t>
      </w:r>
    </w:p>
    <w:p w14:paraId="7694A123" w14:textId="29D59BAA" w:rsidR="00565C9A" w:rsidRPr="00565C9A" w:rsidRDefault="00E94E5C" w:rsidP="00FD0A8A">
      <w:pPr>
        <w:spacing w:after="0"/>
        <w:ind w:left="357" w:hanging="357"/>
        <w:rPr>
          <w:rFonts w:cstheme="minorHAnsi"/>
          <w:sz w:val="24"/>
          <w:szCs w:val="24"/>
        </w:rPr>
      </w:pPr>
      <w:r>
        <w:rPr>
          <w:rFonts w:cstheme="minorHAnsi"/>
          <w:sz w:val="24"/>
          <w:szCs w:val="24"/>
        </w:rPr>
        <w:t>•</w:t>
      </w:r>
      <w:r>
        <w:rPr>
          <w:rFonts w:cstheme="minorHAnsi"/>
          <w:sz w:val="24"/>
          <w:szCs w:val="24"/>
        </w:rPr>
        <w:tab/>
        <w:t>1 D grade auditor.</w:t>
      </w:r>
    </w:p>
    <w:p w14:paraId="3EF6BE2A" w14:textId="77777777" w:rsidR="00565C9A" w:rsidRPr="00565C9A" w:rsidRDefault="00565C9A" w:rsidP="00FD0A8A">
      <w:pPr>
        <w:spacing w:after="0"/>
        <w:ind w:left="357" w:hanging="357"/>
        <w:rPr>
          <w:rFonts w:cstheme="minorHAnsi"/>
          <w:sz w:val="24"/>
          <w:szCs w:val="24"/>
        </w:rPr>
      </w:pPr>
    </w:p>
    <w:p w14:paraId="1AEA343E" w14:textId="4EFA2890" w:rsidR="004E3E79" w:rsidRDefault="00E14225" w:rsidP="00FD0A8A">
      <w:pPr>
        <w:spacing w:after="0"/>
        <w:ind w:left="357" w:hanging="357"/>
        <w:rPr>
          <w:rFonts w:cstheme="minorHAnsi"/>
          <w:sz w:val="24"/>
          <w:szCs w:val="24"/>
        </w:rPr>
      </w:pPr>
      <w:r>
        <w:rPr>
          <w:rFonts w:cstheme="minorHAnsi"/>
          <w:sz w:val="24"/>
          <w:szCs w:val="24"/>
        </w:rPr>
        <w:t>7</w:t>
      </w:r>
      <w:r w:rsidR="00E94E5C">
        <w:rPr>
          <w:rFonts w:cstheme="minorHAnsi"/>
          <w:sz w:val="24"/>
          <w:szCs w:val="24"/>
        </w:rPr>
        <w:t>.</w:t>
      </w:r>
      <w:r w:rsidR="00E94E5C">
        <w:rPr>
          <w:rFonts w:cstheme="minorHAnsi"/>
          <w:sz w:val="24"/>
          <w:szCs w:val="24"/>
        </w:rPr>
        <w:tab/>
        <w:t>During 202</w:t>
      </w:r>
      <w:r w:rsidR="00CB670E">
        <w:rPr>
          <w:rFonts w:cstheme="minorHAnsi"/>
          <w:sz w:val="24"/>
          <w:szCs w:val="24"/>
        </w:rPr>
        <w:t>3</w:t>
      </w:r>
      <w:r w:rsidR="00E94E5C">
        <w:rPr>
          <w:rFonts w:cstheme="minorHAnsi"/>
          <w:sz w:val="24"/>
          <w:szCs w:val="24"/>
        </w:rPr>
        <w:t>/2</w:t>
      </w:r>
      <w:r w:rsidR="00CB670E">
        <w:rPr>
          <w:rFonts w:cstheme="minorHAnsi"/>
          <w:sz w:val="24"/>
          <w:szCs w:val="24"/>
        </w:rPr>
        <w:t>4</w:t>
      </w:r>
      <w:r w:rsidR="00565C9A" w:rsidRPr="00565C9A">
        <w:rPr>
          <w:rFonts w:cstheme="minorHAnsi"/>
          <w:sz w:val="24"/>
          <w:szCs w:val="24"/>
        </w:rPr>
        <w:t xml:space="preserve"> the in-house team </w:t>
      </w:r>
      <w:r w:rsidR="007A241D">
        <w:rPr>
          <w:rFonts w:cstheme="minorHAnsi"/>
          <w:sz w:val="24"/>
          <w:szCs w:val="24"/>
        </w:rPr>
        <w:t>was</w:t>
      </w:r>
      <w:r w:rsidR="00565C9A" w:rsidRPr="00565C9A">
        <w:rPr>
          <w:rFonts w:cstheme="minorHAnsi"/>
          <w:sz w:val="24"/>
          <w:szCs w:val="24"/>
        </w:rPr>
        <w:t xml:space="preserve"> supplemented by</w:t>
      </w:r>
      <w:r w:rsidR="00565C9A">
        <w:rPr>
          <w:rFonts w:cstheme="minorHAnsi"/>
          <w:sz w:val="24"/>
          <w:szCs w:val="24"/>
        </w:rPr>
        <w:t xml:space="preserve"> a co-sourcing contract with Azets</w:t>
      </w:r>
      <w:r w:rsidR="00765F02">
        <w:rPr>
          <w:rFonts w:cstheme="minorHAnsi"/>
          <w:sz w:val="24"/>
          <w:szCs w:val="24"/>
        </w:rPr>
        <w:t xml:space="preserve">.  </w:t>
      </w:r>
      <w:r w:rsidR="00565C9A" w:rsidRPr="00565C9A">
        <w:rPr>
          <w:rFonts w:cstheme="minorHAnsi"/>
          <w:sz w:val="24"/>
          <w:szCs w:val="24"/>
        </w:rPr>
        <w:t>This provides additional and flexible audit resources when required, including access to specialists such as co</w:t>
      </w:r>
      <w:r w:rsidR="00565C9A">
        <w:rPr>
          <w:rFonts w:cstheme="minorHAnsi"/>
          <w:sz w:val="24"/>
          <w:szCs w:val="24"/>
        </w:rPr>
        <w:t>mputer and financial auditors.</w:t>
      </w:r>
    </w:p>
    <w:p w14:paraId="7E80C62A" w14:textId="77777777" w:rsidR="004E3E79" w:rsidRDefault="004E3E79">
      <w:pPr>
        <w:rPr>
          <w:rFonts w:cstheme="minorHAnsi"/>
          <w:sz w:val="24"/>
          <w:szCs w:val="24"/>
        </w:rPr>
      </w:pPr>
      <w:r>
        <w:rPr>
          <w:rFonts w:cstheme="minorHAnsi"/>
          <w:sz w:val="24"/>
          <w:szCs w:val="24"/>
        </w:rPr>
        <w:br w:type="page"/>
      </w:r>
    </w:p>
    <w:p w14:paraId="07962089" w14:textId="77777777" w:rsidR="008160AD" w:rsidRPr="008160AD" w:rsidRDefault="008160AD" w:rsidP="00FD0A8A">
      <w:pPr>
        <w:pStyle w:val="Heading2"/>
        <w:spacing w:line="276" w:lineRule="auto"/>
      </w:pPr>
      <w:r w:rsidRPr="008160AD">
        <w:lastRenderedPageBreak/>
        <w:t xml:space="preserve">AUDIT SCOTLAND EXTERNAL AUDIT SERVICES </w:t>
      </w:r>
    </w:p>
    <w:p w14:paraId="256AD614" w14:textId="77777777" w:rsidR="008160AD" w:rsidRPr="008160AD" w:rsidRDefault="008160AD" w:rsidP="00FD0A8A">
      <w:pPr>
        <w:spacing w:after="0"/>
        <w:ind w:left="357" w:hanging="357"/>
        <w:rPr>
          <w:rFonts w:cstheme="minorHAnsi"/>
          <w:sz w:val="24"/>
          <w:szCs w:val="24"/>
        </w:rPr>
      </w:pPr>
    </w:p>
    <w:p w14:paraId="0EA37A7C" w14:textId="4C68AB0D" w:rsidR="008160AD" w:rsidRPr="008160AD" w:rsidRDefault="00E14225" w:rsidP="00FD0A8A">
      <w:pPr>
        <w:spacing w:after="0"/>
        <w:ind w:left="357" w:hanging="357"/>
        <w:rPr>
          <w:rFonts w:cstheme="minorHAnsi"/>
          <w:sz w:val="24"/>
          <w:szCs w:val="24"/>
        </w:rPr>
      </w:pPr>
      <w:r>
        <w:rPr>
          <w:rFonts w:cstheme="minorHAnsi"/>
          <w:sz w:val="24"/>
          <w:szCs w:val="24"/>
        </w:rPr>
        <w:t>8</w:t>
      </w:r>
      <w:r w:rsidR="008160AD">
        <w:rPr>
          <w:rFonts w:cstheme="minorHAnsi"/>
          <w:sz w:val="24"/>
          <w:szCs w:val="24"/>
        </w:rPr>
        <w:t>.</w:t>
      </w:r>
      <w:r w:rsidR="008160AD">
        <w:rPr>
          <w:rFonts w:cstheme="minorHAnsi"/>
          <w:sz w:val="24"/>
          <w:szCs w:val="24"/>
        </w:rPr>
        <w:tab/>
        <w:t>NatureScot</w:t>
      </w:r>
      <w:r w:rsidR="008160AD" w:rsidRPr="008160AD">
        <w:rPr>
          <w:rFonts w:cstheme="minorHAnsi"/>
          <w:sz w:val="24"/>
          <w:szCs w:val="24"/>
        </w:rPr>
        <w:t xml:space="preserve"> receive</w:t>
      </w:r>
      <w:r w:rsidR="004433E5">
        <w:rPr>
          <w:rFonts w:cstheme="minorHAnsi"/>
          <w:sz w:val="24"/>
          <w:szCs w:val="24"/>
        </w:rPr>
        <w:t>d</w:t>
      </w:r>
      <w:r w:rsidR="008160AD" w:rsidRPr="008160AD">
        <w:rPr>
          <w:rFonts w:cstheme="minorHAnsi"/>
          <w:sz w:val="24"/>
          <w:szCs w:val="24"/>
        </w:rPr>
        <w:t xml:space="preserve"> the services and advi</w:t>
      </w:r>
      <w:r w:rsidR="00E94E5C">
        <w:rPr>
          <w:rFonts w:cstheme="minorHAnsi"/>
          <w:sz w:val="24"/>
          <w:szCs w:val="24"/>
        </w:rPr>
        <w:t xml:space="preserve">ce of </w:t>
      </w:r>
      <w:r w:rsidR="004433E5">
        <w:rPr>
          <w:rFonts w:cstheme="minorHAnsi"/>
          <w:sz w:val="24"/>
          <w:szCs w:val="24"/>
        </w:rPr>
        <w:t>Mazars during 202</w:t>
      </w:r>
      <w:r w:rsidR="00CB670E">
        <w:rPr>
          <w:rFonts w:cstheme="minorHAnsi"/>
          <w:sz w:val="24"/>
          <w:szCs w:val="24"/>
        </w:rPr>
        <w:t>3</w:t>
      </w:r>
      <w:r w:rsidR="004433E5">
        <w:rPr>
          <w:rFonts w:cstheme="minorHAnsi"/>
          <w:sz w:val="24"/>
          <w:szCs w:val="24"/>
        </w:rPr>
        <w:t>/2</w:t>
      </w:r>
      <w:r w:rsidR="00CB670E">
        <w:rPr>
          <w:rFonts w:cstheme="minorHAnsi"/>
          <w:sz w:val="24"/>
          <w:szCs w:val="24"/>
        </w:rPr>
        <w:t>4.</w:t>
      </w:r>
      <w:r w:rsidR="006F3E87">
        <w:rPr>
          <w:rFonts w:cstheme="minorHAnsi"/>
          <w:sz w:val="24"/>
          <w:szCs w:val="24"/>
        </w:rPr>
        <w:t xml:space="preserve"> </w:t>
      </w:r>
    </w:p>
    <w:p w14:paraId="309EA9E2" w14:textId="77777777" w:rsidR="008160AD" w:rsidRPr="008160AD" w:rsidRDefault="008160AD" w:rsidP="00FD0A8A">
      <w:pPr>
        <w:spacing w:after="0"/>
        <w:ind w:left="357" w:hanging="357"/>
        <w:rPr>
          <w:rFonts w:cstheme="minorHAnsi"/>
          <w:sz w:val="24"/>
          <w:szCs w:val="24"/>
        </w:rPr>
      </w:pPr>
    </w:p>
    <w:p w14:paraId="51E81DD7" w14:textId="28E46DC9" w:rsidR="008160AD" w:rsidRPr="008160AD" w:rsidRDefault="00E14225" w:rsidP="00FD0A8A">
      <w:pPr>
        <w:spacing w:after="0"/>
        <w:ind w:left="357" w:hanging="357"/>
        <w:rPr>
          <w:rFonts w:cstheme="minorHAnsi"/>
          <w:sz w:val="24"/>
          <w:szCs w:val="24"/>
        </w:rPr>
      </w:pPr>
      <w:r>
        <w:rPr>
          <w:rFonts w:cstheme="minorHAnsi"/>
          <w:sz w:val="24"/>
          <w:szCs w:val="24"/>
        </w:rPr>
        <w:t>9</w:t>
      </w:r>
      <w:r w:rsidR="00E94E5C">
        <w:rPr>
          <w:rFonts w:cstheme="minorHAnsi"/>
          <w:sz w:val="24"/>
          <w:szCs w:val="24"/>
        </w:rPr>
        <w:t>.</w:t>
      </w:r>
      <w:r w:rsidR="00E94E5C">
        <w:rPr>
          <w:rFonts w:cstheme="minorHAnsi"/>
          <w:sz w:val="24"/>
          <w:szCs w:val="24"/>
        </w:rPr>
        <w:tab/>
        <w:t>T</w:t>
      </w:r>
      <w:r w:rsidR="008160AD" w:rsidRPr="008160AD">
        <w:rPr>
          <w:rFonts w:cstheme="minorHAnsi"/>
          <w:sz w:val="24"/>
          <w:szCs w:val="24"/>
        </w:rPr>
        <w:t xml:space="preserve">he work of </w:t>
      </w:r>
      <w:r w:rsidR="002C5E50">
        <w:rPr>
          <w:rFonts w:cstheme="minorHAnsi"/>
          <w:sz w:val="24"/>
          <w:szCs w:val="24"/>
        </w:rPr>
        <w:t>Mazars</w:t>
      </w:r>
      <w:r w:rsidR="008160AD" w:rsidRPr="008160AD">
        <w:rPr>
          <w:rFonts w:cstheme="minorHAnsi"/>
          <w:sz w:val="24"/>
          <w:szCs w:val="24"/>
        </w:rPr>
        <w:t xml:space="preserve"> </w:t>
      </w:r>
      <w:r w:rsidR="00270DC3">
        <w:rPr>
          <w:rFonts w:cstheme="minorHAnsi"/>
          <w:sz w:val="24"/>
          <w:szCs w:val="24"/>
        </w:rPr>
        <w:t>for the 202</w:t>
      </w:r>
      <w:r w:rsidR="00CB670E">
        <w:rPr>
          <w:rFonts w:cstheme="minorHAnsi"/>
          <w:sz w:val="24"/>
          <w:szCs w:val="24"/>
        </w:rPr>
        <w:t>3</w:t>
      </w:r>
      <w:r w:rsidR="00270DC3">
        <w:rPr>
          <w:rFonts w:cstheme="minorHAnsi"/>
          <w:sz w:val="24"/>
          <w:szCs w:val="24"/>
        </w:rPr>
        <w:t>/2</w:t>
      </w:r>
      <w:r w:rsidR="00CB670E">
        <w:rPr>
          <w:rFonts w:cstheme="minorHAnsi"/>
          <w:sz w:val="24"/>
          <w:szCs w:val="24"/>
        </w:rPr>
        <w:t>4</w:t>
      </w:r>
      <w:r w:rsidR="00270DC3">
        <w:rPr>
          <w:rFonts w:cstheme="minorHAnsi"/>
          <w:sz w:val="24"/>
          <w:szCs w:val="24"/>
        </w:rPr>
        <w:t xml:space="preserve"> financial year </w:t>
      </w:r>
      <w:r w:rsidR="008160AD" w:rsidRPr="008160AD">
        <w:rPr>
          <w:rFonts w:cstheme="minorHAnsi"/>
          <w:sz w:val="24"/>
          <w:szCs w:val="24"/>
        </w:rPr>
        <w:t>will</w:t>
      </w:r>
      <w:r w:rsidR="00E94E5C">
        <w:rPr>
          <w:rFonts w:cstheme="minorHAnsi"/>
          <w:sz w:val="24"/>
          <w:szCs w:val="24"/>
        </w:rPr>
        <w:t xml:space="preserve"> </w:t>
      </w:r>
      <w:r w:rsidR="008160AD" w:rsidRPr="008160AD">
        <w:rPr>
          <w:rFonts w:cstheme="minorHAnsi"/>
          <w:sz w:val="24"/>
          <w:szCs w:val="24"/>
        </w:rPr>
        <w:t>include an independent opinion on the Financial Statements and additional information within t</w:t>
      </w:r>
      <w:r w:rsidR="006F3E87">
        <w:rPr>
          <w:rFonts w:cstheme="minorHAnsi"/>
          <w:sz w:val="24"/>
          <w:szCs w:val="24"/>
        </w:rPr>
        <w:t xml:space="preserve">he Annual Reports and Accounts.  </w:t>
      </w:r>
      <w:r w:rsidR="002C5E50">
        <w:rPr>
          <w:rFonts w:cstheme="minorHAnsi"/>
          <w:sz w:val="24"/>
          <w:szCs w:val="24"/>
        </w:rPr>
        <w:t>Mazars</w:t>
      </w:r>
      <w:r w:rsidR="008160AD" w:rsidRPr="008160AD">
        <w:rPr>
          <w:rFonts w:cstheme="minorHAnsi"/>
          <w:sz w:val="24"/>
          <w:szCs w:val="24"/>
        </w:rPr>
        <w:t xml:space="preserve"> will also review and repor</w:t>
      </w:r>
      <w:r w:rsidR="008160AD">
        <w:rPr>
          <w:rFonts w:cstheme="minorHAnsi"/>
          <w:sz w:val="24"/>
          <w:szCs w:val="24"/>
        </w:rPr>
        <w:t>t on the arrangements within NatureScot</w:t>
      </w:r>
      <w:r w:rsidR="008160AD" w:rsidRPr="008160AD">
        <w:rPr>
          <w:rFonts w:cstheme="minorHAnsi"/>
          <w:sz w:val="24"/>
          <w:szCs w:val="24"/>
        </w:rPr>
        <w:t xml:space="preserve"> to manage performance, </w:t>
      </w:r>
      <w:r w:rsidR="004B2CD5">
        <w:rPr>
          <w:rFonts w:cstheme="minorHAnsi"/>
          <w:sz w:val="24"/>
          <w:szCs w:val="24"/>
        </w:rPr>
        <w:t xml:space="preserve">and regularity. </w:t>
      </w:r>
    </w:p>
    <w:p w14:paraId="10FB3A0C" w14:textId="2EB01C83" w:rsidR="00451C94" w:rsidRPr="00451C94" w:rsidRDefault="00451C94" w:rsidP="00451C94">
      <w:pPr>
        <w:pStyle w:val="Heading1"/>
        <w:rPr>
          <w:rFonts w:asciiTheme="minorHAnsi" w:hAnsiTheme="minorHAnsi" w:cstheme="minorHAnsi"/>
          <w:sz w:val="24"/>
          <w:szCs w:val="24"/>
        </w:rPr>
      </w:pPr>
      <w:r w:rsidRPr="00451C94">
        <w:rPr>
          <w:rFonts w:asciiTheme="minorHAnsi" w:hAnsiTheme="minorHAnsi" w:cstheme="minorHAnsi"/>
          <w:sz w:val="24"/>
          <w:szCs w:val="24"/>
        </w:rPr>
        <w:t>202</w:t>
      </w:r>
      <w:r w:rsidR="00CB670E">
        <w:rPr>
          <w:rFonts w:asciiTheme="minorHAnsi" w:hAnsiTheme="minorHAnsi" w:cstheme="minorHAnsi"/>
          <w:sz w:val="24"/>
          <w:szCs w:val="24"/>
        </w:rPr>
        <w:t>3</w:t>
      </w:r>
      <w:r w:rsidRPr="00451C94">
        <w:rPr>
          <w:rFonts w:asciiTheme="minorHAnsi" w:hAnsiTheme="minorHAnsi" w:cstheme="minorHAnsi"/>
          <w:sz w:val="24"/>
          <w:szCs w:val="24"/>
        </w:rPr>
        <w:t>/2</w:t>
      </w:r>
      <w:r w:rsidR="00CB670E">
        <w:rPr>
          <w:rFonts w:asciiTheme="minorHAnsi" w:hAnsiTheme="minorHAnsi" w:cstheme="minorHAnsi"/>
          <w:sz w:val="24"/>
          <w:szCs w:val="24"/>
        </w:rPr>
        <w:t>4</w:t>
      </w:r>
      <w:r>
        <w:rPr>
          <w:rFonts w:asciiTheme="minorHAnsi" w:hAnsiTheme="minorHAnsi" w:cstheme="minorHAnsi"/>
          <w:sz w:val="24"/>
          <w:szCs w:val="24"/>
        </w:rPr>
        <w:t xml:space="preserve"> Summary</w:t>
      </w:r>
    </w:p>
    <w:p w14:paraId="2AF8F4F1" w14:textId="77777777" w:rsidR="00451C94" w:rsidRPr="008160AD" w:rsidRDefault="00451C94" w:rsidP="00FD0A8A">
      <w:pPr>
        <w:spacing w:after="0"/>
        <w:ind w:left="357" w:hanging="357"/>
        <w:rPr>
          <w:rFonts w:cstheme="minorHAnsi"/>
          <w:sz w:val="24"/>
          <w:szCs w:val="24"/>
        </w:rPr>
      </w:pPr>
    </w:p>
    <w:p w14:paraId="60A2FEE1" w14:textId="2042CAFE" w:rsidR="008160AD" w:rsidRPr="008160AD" w:rsidRDefault="008160AD" w:rsidP="00FD0A8A">
      <w:pPr>
        <w:pStyle w:val="Heading2"/>
        <w:spacing w:line="276" w:lineRule="auto"/>
      </w:pPr>
      <w:r>
        <w:t>NATURESCOT</w:t>
      </w:r>
      <w:r w:rsidRPr="008160AD">
        <w:t xml:space="preserve"> ANN</w:t>
      </w:r>
      <w:r w:rsidR="00B8388F">
        <w:t>UAL INTERNAL AUDIT PLAN FOR 202</w:t>
      </w:r>
      <w:r w:rsidR="00A6106E">
        <w:t>3</w:t>
      </w:r>
      <w:r w:rsidR="00B8388F">
        <w:t>/2</w:t>
      </w:r>
      <w:r w:rsidR="00A6106E">
        <w:t>4</w:t>
      </w:r>
    </w:p>
    <w:p w14:paraId="6818DEFE" w14:textId="77777777" w:rsidR="008160AD" w:rsidRPr="008160AD" w:rsidRDefault="008160AD" w:rsidP="00FD0A8A">
      <w:pPr>
        <w:spacing w:after="0"/>
        <w:rPr>
          <w:rFonts w:cstheme="minorHAnsi"/>
          <w:sz w:val="24"/>
          <w:szCs w:val="24"/>
        </w:rPr>
      </w:pPr>
    </w:p>
    <w:p w14:paraId="6A3A440E" w14:textId="69A21C25" w:rsidR="00CF1332" w:rsidRDefault="00E14225" w:rsidP="00FD0A8A">
      <w:pPr>
        <w:spacing w:after="0"/>
        <w:ind w:left="357" w:hanging="357"/>
        <w:rPr>
          <w:rFonts w:cstheme="minorHAnsi"/>
          <w:sz w:val="24"/>
          <w:szCs w:val="24"/>
        </w:rPr>
      </w:pPr>
      <w:r>
        <w:rPr>
          <w:rFonts w:cstheme="minorHAnsi"/>
          <w:sz w:val="24"/>
          <w:szCs w:val="24"/>
        </w:rPr>
        <w:t>10</w:t>
      </w:r>
      <w:r w:rsidR="008160AD" w:rsidRPr="008160AD">
        <w:rPr>
          <w:rFonts w:cstheme="minorHAnsi"/>
          <w:sz w:val="24"/>
          <w:szCs w:val="24"/>
        </w:rPr>
        <w:t>.</w:t>
      </w:r>
      <w:r w:rsidR="008160AD" w:rsidRPr="008160AD">
        <w:rPr>
          <w:rFonts w:cstheme="minorHAnsi"/>
          <w:sz w:val="24"/>
          <w:szCs w:val="24"/>
        </w:rPr>
        <w:tab/>
        <w:t>Annex A summ</w:t>
      </w:r>
      <w:r w:rsidR="00B8388F">
        <w:rPr>
          <w:rFonts w:cstheme="minorHAnsi"/>
          <w:sz w:val="24"/>
          <w:szCs w:val="24"/>
        </w:rPr>
        <w:t>arises the 202</w:t>
      </w:r>
      <w:r w:rsidR="00A6106E">
        <w:rPr>
          <w:rFonts w:cstheme="minorHAnsi"/>
          <w:sz w:val="24"/>
          <w:szCs w:val="24"/>
        </w:rPr>
        <w:t>3</w:t>
      </w:r>
      <w:r w:rsidR="00B8388F">
        <w:rPr>
          <w:rFonts w:cstheme="minorHAnsi"/>
          <w:sz w:val="24"/>
          <w:szCs w:val="24"/>
        </w:rPr>
        <w:t>/2</w:t>
      </w:r>
      <w:r w:rsidR="00A6106E">
        <w:rPr>
          <w:rFonts w:cstheme="minorHAnsi"/>
          <w:sz w:val="24"/>
          <w:szCs w:val="24"/>
        </w:rPr>
        <w:t>4</w:t>
      </w:r>
      <w:r w:rsidR="008160AD" w:rsidRPr="008160AD">
        <w:rPr>
          <w:rFonts w:cstheme="minorHAnsi"/>
          <w:sz w:val="24"/>
          <w:szCs w:val="24"/>
        </w:rPr>
        <w:t xml:space="preserve"> Internal Audit Plan</w:t>
      </w:r>
      <w:r w:rsidR="00A05591">
        <w:rPr>
          <w:rFonts w:cstheme="minorHAnsi"/>
          <w:sz w:val="24"/>
          <w:szCs w:val="24"/>
        </w:rPr>
        <w:t xml:space="preserve"> and the control assessments of the areas reviewed</w:t>
      </w:r>
      <w:r w:rsidR="007A241D">
        <w:rPr>
          <w:rFonts w:cstheme="minorHAnsi"/>
          <w:sz w:val="24"/>
          <w:szCs w:val="24"/>
        </w:rPr>
        <w:t xml:space="preserve">. All audits were completed as well as agreed consultancy input to a range of project boards or ongoing </w:t>
      </w:r>
      <w:r w:rsidR="004B2CD5">
        <w:rPr>
          <w:rFonts w:cstheme="minorHAnsi"/>
          <w:sz w:val="24"/>
          <w:szCs w:val="24"/>
        </w:rPr>
        <w:t>governance</w:t>
      </w:r>
      <w:r w:rsidR="007A241D">
        <w:rPr>
          <w:rFonts w:cstheme="minorHAnsi"/>
          <w:sz w:val="24"/>
          <w:szCs w:val="24"/>
        </w:rPr>
        <w:t xml:space="preserve"> groups. </w:t>
      </w:r>
      <w:r w:rsidR="00B8388F">
        <w:rPr>
          <w:rFonts w:cstheme="minorHAnsi"/>
          <w:sz w:val="24"/>
          <w:szCs w:val="24"/>
        </w:rPr>
        <w:t>The 202</w:t>
      </w:r>
      <w:r w:rsidR="00EA36FF">
        <w:rPr>
          <w:rFonts w:cstheme="minorHAnsi"/>
          <w:sz w:val="24"/>
          <w:szCs w:val="24"/>
        </w:rPr>
        <w:t>3</w:t>
      </w:r>
      <w:r w:rsidR="00B8388F">
        <w:rPr>
          <w:rFonts w:cstheme="minorHAnsi"/>
          <w:sz w:val="24"/>
          <w:szCs w:val="24"/>
        </w:rPr>
        <w:t>/2</w:t>
      </w:r>
      <w:r w:rsidR="00EA36FF">
        <w:rPr>
          <w:rFonts w:cstheme="minorHAnsi"/>
          <w:sz w:val="24"/>
          <w:szCs w:val="24"/>
        </w:rPr>
        <w:t>4</w:t>
      </w:r>
      <w:r w:rsidR="00843666">
        <w:rPr>
          <w:rFonts w:cstheme="minorHAnsi"/>
          <w:sz w:val="24"/>
          <w:szCs w:val="24"/>
        </w:rPr>
        <w:t xml:space="preserve"> Annual Internal Audit Report, including the Head of Internal Audit’s annual assurance on the organisation’s internal control, </w:t>
      </w:r>
      <w:r w:rsidR="00451C94">
        <w:rPr>
          <w:rFonts w:cstheme="minorHAnsi"/>
          <w:sz w:val="24"/>
          <w:szCs w:val="24"/>
        </w:rPr>
        <w:t>risk and governance framework was</w:t>
      </w:r>
      <w:r w:rsidR="00B8388F">
        <w:rPr>
          <w:rFonts w:cstheme="minorHAnsi"/>
          <w:sz w:val="24"/>
          <w:szCs w:val="24"/>
        </w:rPr>
        <w:t xml:space="preserve"> presented to the ARC on </w:t>
      </w:r>
      <w:r w:rsidR="00EA36FF">
        <w:rPr>
          <w:rFonts w:cstheme="minorHAnsi"/>
          <w:sz w:val="24"/>
          <w:szCs w:val="24"/>
        </w:rPr>
        <w:t>09</w:t>
      </w:r>
      <w:r w:rsidR="00843666">
        <w:rPr>
          <w:rFonts w:cstheme="minorHAnsi"/>
          <w:sz w:val="24"/>
          <w:szCs w:val="24"/>
        </w:rPr>
        <w:t xml:space="preserve"> May 20</w:t>
      </w:r>
      <w:r w:rsidR="00FD0A8A">
        <w:rPr>
          <w:rFonts w:cstheme="minorHAnsi"/>
          <w:sz w:val="24"/>
          <w:szCs w:val="24"/>
        </w:rPr>
        <w:t>2</w:t>
      </w:r>
      <w:r w:rsidR="00EA36FF">
        <w:rPr>
          <w:rFonts w:cstheme="minorHAnsi"/>
          <w:sz w:val="24"/>
          <w:szCs w:val="24"/>
        </w:rPr>
        <w:t>4</w:t>
      </w:r>
      <w:r w:rsidR="00843666">
        <w:rPr>
          <w:rFonts w:cstheme="minorHAnsi"/>
          <w:sz w:val="24"/>
          <w:szCs w:val="24"/>
        </w:rPr>
        <w:t>.</w:t>
      </w:r>
      <w:r w:rsidR="0038596E">
        <w:rPr>
          <w:rFonts w:cstheme="minorHAnsi"/>
          <w:sz w:val="24"/>
          <w:szCs w:val="24"/>
        </w:rPr>
        <w:t xml:space="preserve"> </w:t>
      </w:r>
    </w:p>
    <w:p w14:paraId="5174AD23" w14:textId="77777777" w:rsidR="00CF1332" w:rsidRDefault="00CF1332" w:rsidP="00FD0A8A">
      <w:pPr>
        <w:spacing w:after="0"/>
        <w:ind w:left="357" w:hanging="357"/>
        <w:rPr>
          <w:rFonts w:cstheme="minorHAnsi"/>
          <w:sz w:val="24"/>
          <w:szCs w:val="24"/>
        </w:rPr>
      </w:pPr>
    </w:p>
    <w:p w14:paraId="14D018C3" w14:textId="0F283ED8" w:rsidR="00474D07" w:rsidRDefault="00A05591" w:rsidP="00FD0A8A">
      <w:pPr>
        <w:spacing w:after="0"/>
        <w:ind w:left="357" w:hanging="357"/>
        <w:rPr>
          <w:rFonts w:cstheme="minorHAnsi"/>
          <w:sz w:val="24"/>
          <w:szCs w:val="24"/>
        </w:rPr>
      </w:pPr>
      <w:r>
        <w:rPr>
          <w:rFonts w:cstheme="minorHAnsi"/>
          <w:sz w:val="24"/>
          <w:szCs w:val="24"/>
        </w:rPr>
        <w:t xml:space="preserve">11. </w:t>
      </w:r>
      <w:r w:rsidR="0038596E">
        <w:rPr>
          <w:rFonts w:cstheme="minorHAnsi"/>
          <w:sz w:val="24"/>
          <w:szCs w:val="24"/>
        </w:rPr>
        <w:t xml:space="preserve">This report </w:t>
      </w:r>
      <w:r>
        <w:rPr>
          <w:rFonts w:cstheme="minorHAnsi"/>
          <w:sz w:val="24"/>
          <w:szCs w:val="24"/>
        </w:rPr>
        <w:t>showed that NatureScot’s framework for internal control, risk management and corporate governance is broadly sound, with a number of well controlled areas.  However, there were some areas that needed strengthening, including</w:t>
      </w:r>
      <w:r w:rsidR="0038596E">
        <w:rPr>
          <w:rFonts w:cstheme="minorHAnsi"/>
          <w:sz w:val="24"/>
          <w:szCs w:val="24"/>
        </w:rPr>
        <w:t>:</w:t>
      </w:r>
    </w:p>
    <w:p w14:paraId="29DD2D25" w14:textId="22BA7893" w:rsidR="00D62155" w:rsidRPr="00D62155" w:rsidRDefault="00D62155" w:rsidP="00D62155">
      <w:pPr>
        <w:pStyle w:val="ListParagraph"/>
        <w:numPr>
          <w:ilvl w:val="0"/>
          <w:numId w:val="36"/>
        </w:numPr>
        <w:spacing w:after="0"/>
        <w:contextualSpacing w:val="0"/>
        <w:rPr>
          <w:rFonts w:ascii="Calibri" w:hAnsi="Calibri" w:cs="Calibri"/>
          <w:sz w:val="24"/>
          <w:szCs w:val="24"/>
        </w:rPr>
      </w:pPr>
      <w:r>
        <w:rPr>
          <w:rFonts w:ascii="Calibri" w:hAnsi="Calibri" w:cs="Calibri"/>
          <w:sz w:val="24"/>
          <w:szCs w:val="24"/>
        </w:rPr>
        <w:t>Management of Complex Projects (Licensing and Deerline Stocktake, Review of CivTech Processes).</w:t>
      </w:r>
    </w:p>
    <w:p w14:paraId="5E1CCC33" w14:textId="50650627" w:rsidR="001A010B" w:rsidRDefault="005B39A9" w:rsidP="001A010B">
      <w:pPr>
        <w:pStyle w:val="ListParagraph"/>
        <w:numPr>
          <w:ilvl w:val="0"/>
          <w:numId w:val="36"/>
        </w:numPr>
        <w:spacing w:after="0"/>
        <w:contextualSpacing w:val="0"/>
        <w:rPr>
          <w:rFonts w:ascii="Calibri" w:hAnsi="Calibri" w:cs="Calibri"/>
          <w:sz w:val="24"/>
          <w:szCs w:val="24"/>
        </w:rPr>
      </w:pPr>
      <w:r>
        <w:rPr>
          <w:rFonts w:ascii="Calibri" w:hAnsi="Calibri" w:cs="Calibri"/>
          <w:sz w:val="24"/>
          <w:szCs w:val="24"/>
        </w:rPr>
        <w:t>Recruitment Framework</w:t>
      </w:r>
      <w:r w:rsidR="00C82687">
        <w:rPr>
          <w:rFonts w:ascii="Calibri" w:hAnsi="Calibri" w:cs="Calibri"/>
          <w:sz w:val="24"/>
          <w:szCs w:val="24"/>
        </w:rPr>
        <w:t>.</w:t>
      </w:r>
    </w:p>
    <w:p w14:paraId="11D2B173" w14:textId="002ED312" w:rsidR="001A010B" w:rsidRDefault="005B39A9" w:rsidP="001A010B">
      <w:pPr>
        <w:pStyle w:val="ListParagraph"/>
        <w:numPr>
          <w:ilvl w:val="0"/>
          <w:numId w:val="36"/>
        </w:numPr>
        <w:spacing w:after="0"/>
        <w:contextualSpacing w:val="0"/>
        <w:rPr>
          <w:rFonts w:ascii="Calibri" w:hAnsi="Calibri" w:cs="Calibri"/>
          <w:sz w:val="24"/>
          <w:szCs w:val="24"/>
        </w:rPr>
      </w:pPr>
      <w:r>
        <w:rPr>
          <w:rFonts w:ascii="Calibri" w:hAnsi="Calibri" w:cs="Calibri"/>
          <w:sz w:val="24"/>
          <w:szCs w:val="24"/>
        </w:rPr>
        <w:t>Learning and Development Framework</w:t>
      </w:r>
      <w:r w:rsidR="001A010B">
        <w:rPr>
          <w:rFonts w:ascii="Calibri" w:hAnsi="Calibri" w:cs="Calibri"/>
          <w:sz w:val="24"/>
          <w:szCs w:val="24"/>
        </w:rPr>
        <w:t>.</w:t>
      </w:r>
    </w:p>
    <w:p w14:paraId="55AC4500" w14:textId="76CCF573" w:rsidR="001A010B" w:rsidRDefault="001A010B" w:rsidP="00FD0A8A">
      <w:pPr>
        <w:spacing w:after="0"/>
        <w:ind w:left="357" w:hanging="357"/>
        <w:rPr>
          <w:rFonts w:cstheme="minorHAnsi"/>
          <w:sz w:val="24"/>
          <w:szCs w:val="24"/>
        </w:rPr>
      </w:pPr>
    </w:p>
    <w:p w14:paraId="72266411" w14:textId="71F7E599" w:rsidR="00D62155" w:rsidRDefault="001A010B" w:rsidP="00D62155">
      <w:pPr>
        <w:spacing w:after="0"/>
        <w:ind w:left="357" w:hanging="357"/>
        <w:rPr>
          <w:rFonts w:cstheme="minorHAnsi"/>
          <w:sz w:val="24"/>
          <w:szCs w:val="24"/>
        </w:rPr>
      </w:pPr>
      <w:r>
        <w:rPr>
          <w:rFonts w:cstheme="minorHAnsi"/>
          <w:sz w:val="24"/>
          <w:szCs w:val="24"/>
        </w:rPr>
        <w:t>1</w:t>
      </w:r>
      <w:r w:rsidR="00A05591">
        <w:rPr>
          <w:rFonts w:cstheme="minorHAnsi"/>
          <w:sz w:val="24"/>
          <w:szCs w:val="24"/>
        </w:rPr>
        <w:t>2</w:t>
      </w:r>
      <w:r>
        <w:rPr>
          <w:rFonts w:cstheme="minorHAnsi"/>
          <w:sz w:val="24"/>
          <w:szCs w:val="24"/>
        </w:rPr>
        <w:t>.</w:t>
      </w:r>
      <w:r>
        <w:rPr>
          <w:rFonts w:cstheme="minorHAnsi"/>
          <w:sz w:val="24"/>
          <w:szCs w:val="24"/>
        </w:rPr>
        <w:tab/>
      </w:r>
      <w:r w:rsidR="00A05591">
        <w:rPr>
          <w:rFonts w:cstheme="minorHAnsi"/>
          <w:sz w:val="24"/>
          <w:szCs w:val="24"/>
        </w:rPr>
        <w:t xml:space="preserve"> </w:t>
      </w:r>
      <w:r w:rsidR="00D62155">
        <w:rPr>
          <w:rFonts w:cstheme="minorHAnsi"/>
          <w:sz w:val="24"/>
          <w:szCs w:val="24"/>
        </w:rPr>
        <w:t xml:space="preserve">In relation to complex projects, the Transformation and Resourcing Sponsor Group and a Project Management Office have been set-up.  These will help to ensure strategic oversight of key transformation programmes and projects, clear business-led leadership </w:t>
      </w:r>
      <w:r w:rsidR="00D205EF">
        <w:rPr>
          <w:rFonts w:cstheme="minorHAnsi"/>
          <w:sz w:val="24"/>
          <w:szCs w:val="24"/>
        </w:rPr>
        <w:t>and</w:t>
      </w:r>
      <w:r w:rsidR="00D62155">
        <w:rPr>
          <w:rFonts w:cstheme="minorHAnsi"/>
          <w:sz w:val="24"/>
          <w:szCs w:val="24"/>
        </w:rPr>
        <w:t xml:space="preserve"> dedicated project management support from skilled staff</w:t>
      </w:r>
      <w:r w:rsidR="00A05591">
        <w:rPr>
          <w:rFonts w:cstheme="minorHAnsi"/>
          <w:sz w:val="24"/>
          <w:szCs w:val="24"/>
        </w:rPr>
        <w:t>.</w:t>
      </w:r>
      <w:r w:rsidR="00D62155">
        <w:rPr>
          <w:rFonts w:cstheme="minorHAnsi"/>
          <w:sz w:val="24"/>
          <w:szCs w:val="24"/>
        </w:rPr>
        <w:t xml:space="preserve">  The 2024/25 internal audit plan includes an audit looking at how the new framework is operating in practice.</w:t>
      </w:r>
    </w:p>
    <w:p w14:paraId="250BB677" w14:textId="77777777" w:rsidR="00D62155" w:rsidRDefault="00D62155" w:rsidP="00A05591">
      <w:pPr>
        <w:spacing w:after="0"/>
        <w:ind w:left="357" w:hanging="357"/>
        <w:rPr>
          <w:rFonts w:cstheme="minorHAnsi"/>
          <w:sz w:val="24"/>
          <w:szCs w:val="24"/>
        </w:rPr>
      </w:pPr>
    </w:p>
    <w:p w14:paraId="2F7E1D40" w14:textId="3414E32A" w:rsidR="00D205EF" w:rsidRDefault="006D678B" w:rsidP="00D205EF">
      <w:pPr>
        <w:spacing w:after="0"/>
        <w:ind w:left="357" w:hanging="357"/>
        <w:rPr>
          <w:rFonts w:cstheme="minorHAnsi"/>
          <w:sz w:val="24"/>
          <w:szCs w:val="24"/>
        </w:rPr>
      </w:pPr>
      <w:r>
        <w:rPr>
          <w:rFonts w:cstheme="minorHAnsi"/>
          <w:sz w:val="24"/>
          <w:szCs w:val="24"/>
        </w:rPr>
        <w:t xml:space="preserve">13. For Recruitment, </w:t>
      </w:r>
      <w:r>
        <w:rPr>
          <w:rFonts w:ascii="Calibri" w:hAnsi="Calibri" w:cs="Calibri"/>
          <w:sz w:val="24"/>
          <w:szCs w:val="24"/>
        </w:rPr>
        <w:t>w</w:t>
      </w:r>
      <w:r w:rsidRPr="00725DFE">
        <w:rPr>
          <w:rFonts w:ascii="Calibri" w:hAnsi="Calibri" w:cs="Calibri"/>
          <w:sz w:val="24"/>
          <w:szCs w:val="24"/>
        </w:rPr>
        <w:t xml:space="preserve">hilst there is regular monitoring of staff </w:t>
      </w:r>
      <w:r w:rsidRPr="00725DFE">
        <w:rPr>
          <w:rFonts w:ascii="Calibri" w:hAnsi="Calibri" w:cs="Calibri"/>
          <w:color w:val="000000"/>
          <w:sz w:val="24"/>
          <w:szCs w:val="24"/>
        </w:rPr>
        <w:t xml:space="preserve">turnover, internal churn and failed recruitments, plus salary benchmarking exercises, more analysis </w:t>
      </w:r>
      <w:r>
        <w:rPr>
          <w:rFonts w:ascii="Calibri" w:hAnsi="Calibri" w:cs="Calibri"/>
          <w:color w:val="000000"/>
          <w:sz w:val="24"/>
          <w:szCs w:val="24"/>
        </w:rPr>
        <w:t>i</w:t>
      </w:r>
      <w:r w:rsidRPr="00725DFE">
        <w:rPr>
          <w:rFonts w:ascii="Calibri" w:hAnsi="Calibri" w:cs="Calibri"/>
          <w:color w:val="000000"/>
          <w:sz w:val="24"/>
          <w:szCs w:val="24"/>
        </w:rPr>
        <w:t>s needed around which advertising approach and which assessment techniques work best</w:t>
      </w:r>
      <w:r>
        <w:rPr>
          <w:rFonts w:ascii="Calibri" w:hAnsi="Calibri" w:cs="Calibri"/>
          <w:color w:val="000000"/>
          <w:sz w:val="24"/>
          <w:szCs w:val="24"/>
        </w:rPr>
        <w:t xml:space="preserve">, </w:t>
      </w:r>
      <w:r w:rsidRPr="00725DFE">
        <w:rPr>
          <w:rFonts w:ascii="Calibri" w:hAnsi="Calibri" w:cs="Calibri"/>
          <w:color w:val="000000"/>
          <w:sz w:val="24"/>
          <w:szCs w:val="24"/>
        </w:rPr>
        <w:t xml:space="preserve">why candidates turn down offers as well as getting feedback on the overall recruitment processes and experience. </w:t>
      </w:r>
      <w:r>
        <w:rPr>
          <w:rFonts w:ascii="Calibri" w:hAnsi="Calibri" w:cs="Calibri"/>
          <w:color w:val="000000"/>
          <w:sz w:val="24"/>
          <w:szCs w:val="24"/>
        </w:rPr>
        <w:t xml:space="preserve"> </w:t>
      </w:r>
      <w:r w:rsidRPr="00725DFE">
        <w:rPr>
          <w:rFonts w:ascii="Calibri" w:hAnsi="Calibri" w:cs="Calibri"/>
          <w:color w:val="000000"/>
          <w:sz w:val="24"/>
          <w:szCs w:val="24"/>
        </w:rPr>
        <w:t xml:space="preserve">Some of these areas </w:t>
      </w:r>
      <w:r>
        <w:rPr>
          <w:rFonts w:ascii="Calibri" w:hAnsi="Calibri" w:cs="Calibri"/>
          <w:color w:val="000000"/>
          <w:sz w:val="24"/>
          <w:szCs w:val="24"/>
        </w:rPr>
        <w:t>were included in the</w:t>
      </w:r>
      <w:r w:rsidRPr="00725DFE">
        <w:rPr>
          <w:rFonts w:ascii="Calibri" w:hAnsi="Calibri" w:cs="Calibri"/>
          <w:color w:val="000000"/>
          <w:sz w:val="24"/>
          <w:szCs w:val="24"/>
        </w:rPr>
        <w:t xml:space="preserve"> People Strategy but </w:t>
      </w:r>
      <w:r>
        <w:rPr>
          <w:rFonts w:ascii="Calibri" w:hAnsi="Calibri" w:cs="Calibri"/>
          <w:color w:val="000000"/>
          <w:sz w:val="24"/>
          <w:szCs w:val="24"/>
        </w:rPr>
        <w:t xml:space="preserve">lacked detailed work plans.  The People Programme is </w:t>
      </w:r>
      <w:r w:rsidR="00D205EF">
        <w:rPr>
          <w:rFonts w:ascii="Calibri" w:hAnsi="Calibri" w:cs="Calibri"/>
          <w:color w:val="000000"/>
          <w:sz w:val="24"/>
          <w:szCs w:val="24"/>
        </w:rPr>
        <w:t xml:space="preserve">now </w:t>
      </w:r>
      <w:r>
        <w:rPr>
          <w:rFonts w:ascii="Calibri" w:hAnsi="Calibri" w:cs="Calibri"/>
          <w:color w:val="000000"/>
          <w:sz w:val="24"/>
          <w:szCs w:val="24"/>
        </w:rPr>
        <w:t xml:space="preserve">coordinating the work, </w:t>
      </w:r>
      <w:r>
        <w:rPr>
          <w:rFonts w:ascii="Calibri" w:hAnsi="Calibri" w:cs="Calibri"/>
          <w:color w:val="000000"/>
          <w:sz w:val="24"/>
          <w:szCs w:val="24"/>
        </w:rPr>
        <w:lastRenderedPageBreak/>
        <w:t>and de</w:t>
      </w:r>
      <w:r w:rsidR="00D205EF">
        <w:rPr>
          <w:rFonts w:ascii="Calibri" w:hAnsi="Calibri" w:cs="Calibri"/>
          <w:color w:val="000000"/>
          <w:sz w:val="24"/>
          <w:szCs w:val="24"/>
        </w:rPr>
        <w:t>tailed plans with measures of success are being developed.  A follow-up exercise is included in the 2024/25 internal audit plan.</w:t>
      </w:r>
    </w:p>
    <w:p w14:paraId="4B9F81BD" w14:textId="77777777" w:rsidR="00D205EF" w:rsidRDefault="00D205EF" w:rsidP="00D205EF">
      <w:pPr>
        <w:spacing w:after="0"/>
        <w:ind w:left="357" w:hanging="357"/>
        <w:rPr>
          <w:rFonts w:cstheme="minorHAnsi"/>
          <w:sz w:val="24"/>
          <w:szCs w:val="24"/>
        </w:rPr>
      </w:pPr>
    </w:p>
    <w:p w14:paraId="473CA27E" w14:textId="0AE5808D" w:rsidR="006D678B" w:rsidRPr="00D205EF" w:rsidRDefault="00D205EF" w:rsidP="00D205EF">
      <w:pPr>
        <w:spacing w:after="0"/>
        <w:ind w:left="357" w:hanging="357"/>
        <w:rPr>
          <w:rFonts w:cstheme="minorHAnsi"/>
          <w:sz w:val="24"/>
          <w:szCs w:val="24"/>
        </w:rPr>
      </w:pPr>
      <w:r>
        <w:rPr>
          <w:rFonts w:cstheme="minorHAnsi"/>
          <w:sz w:val="24"/>
          <w:szCs w:val="24"/>
        </w:rPr>
        <w:t xml:space="preserve">14. </w:t>
      </w:r>
      <w:r w:rsidR="006D678B">
        <w:rPr>
          <w:rFonts w:ascii="Calibri" w:hAnsi="Calibri" w:cs="Calibri"/>
          <w:sz w:val="24"/>
          <w:szCs w:val="24"/>
        </w:rPr>
        <w:t>With respect to Learning and Development, areas for strengthening include</w:t>
      </w:r>
      <w:r>
        <w:rPr>
          <w:rFonts w:ascii="Calibri" w:hAnsi="Calibri" w:cs="Calibri"/>
          <w:sz w:val="24"/>
          <w:szCs w:val="24"/>
        </w:rPr>
        <w:t>d</w:t>
      </w:r>
      <w:r w:rsidR="006D678B">
        <w:rPr>
          <w:rFonts w:ascii="Calibri" w:hAnsi="Calibri" w:cs="Calibri"/>
          <w:sz w:val="24"/>
          <w:szCs w:val="24"/>
        </w:rPr>
        <w:t xml:space="preserve"> ensuring alignment of skills identification work with the Corporate Plan cycle and reviewing uptake and effectiveness of training at </w:t>
      </w:r>
      <w:r w:rsidR="006D678B" w:rsidRPr="006D678B">
        <w:rPr>
          <w:rFonts w:ascii="Calibri" w:hAnsi="Calibri" w:cs="Calibri"/>
          <w:sz w:val="24"/>
          <w:szCs w:val="24"/>
        </w:rPr>
        <w:t>the organisational, team or working-preference level</w:t>
      </w:r>
      <w:r w:rsidR="006D678B">
        <w:rPr>
          <w:rFonts w:ascii="Calibri" w:hAnsi="Calibri" w:cs="Calibri"/>
          <w:sz w:val="24"/>
          <w:szCs w:val="24"/>
        </w:rPr>
        <w:t>.</w:t>
      </w:r>
      <w:r>
        <w:rPr>
          <w:rFonts w:ascii="Calibri" w:hAnsi="Calibri" w:cs="Calibri"/>
          <w:sz w:val="24"/>
          <w:szCs w:val="24"/>
        </w:rPr>
        <w:t xml:space="preserve">  Again, this work is being taken forward though the People Programme and </w:t>
      </w:r>
      <w:r>
        <w:rPr>
          <w:rFonts w:ascii="Calibri" w:hAnsi="Calibri" w:cs="Calibri"/>
          <w:color w:val="000000"/>
          <w:sz w:val="24"/>
          <w:szCs w:val="24"/>
        </w:rPr>
        <w:t>a follow-up exercise is included in the 2024/25 internal audit plan</w:t>
      </w:r>
      <w:r>
        <w:rPr>
          <w:rFonts w:ascii="Calibri" w:hAnsi="Calibri" w:cs="Calibri"/>
          <w:sz w:val="24"/>
          <w:szCs w:val="24"/>
        </w:rPr>
        <w:t>.</w:t>
      </w:r>
    </w:p>
    <w:p w14:paraId="092B5420" w14:textId="77777777" w:rsidR="006D678B" w:rsidRDefault="006D678B" w:rsidP="00FD0A8A">
      <w:pPr>
        <w:spacing w:after="0"/>
        <w:ind w:left="357" w:hanging="357"/>
        <w:rPr>
          <w:rFonts w:cstheme="minorHAnsi"/>
          <w:sz w:val="24"/>
          <w:szCs w:val="24"/>
        </w:rPr>
      </w:pPr>
    </w:p>
    <w:p w14:paraId="139067F0" w14:textId="59A0EE2C" w:rsidR="008160AD" w:rsidRPr="008160AD" w:rsidRDefault="00843666" w:rsidP="00FD0A8A">
      <w:pPr>
        <w:pStyle w:val="Heading2"/>
        <w:spacing w:line="276" w:lineRule="auto"/>
      </w:pPr>
      <w:r>
        <w:t xml:space="preserve">INTERNAL AUDIT </w:t>
      </w:r>
      <w:r w:rsidR="0001320C">
        <w:t xml:space="preserve">AND FOLLOW-UP </w:t>
      </w:r>
      <w:r w:rsidR="008160AD" w:rsidRPr="008160AD">
        <w:t xml:space="preserve">PERFORMANCE INDICATORS </w:t>
      </w:r>
    </w:p>
    <w:p w14:paraId="25F0167D" w14:textId="77777777" w:rsidR="008160AD" w:rsidRPr="008160AD" w:rsidRDefault="008160AD" w:rsidP="00FD0A8A">
      <w:pPr>
        <w:spacing w:after="0"/>
        <w:rPr>
          <w:rFonts w:cstheme="minorHAnsi"/>
          <w:b/>
          <w:sz w:val="24"/>
          <w:szCs w:val="24"/>
        </w:rPr>
      </w:pPr>
    </w:p>
    <w:p w14:paraId="069B8B03" w14:textId="0B5A6FBC" w:rsidR="008160AD" w:rsidRDefault="00E14225" w:rsidP="00FD0A8A">
      <w:pPr>
        <w:spacing w:after="0"/>
        <w:ind w:left="357" w:hanging="357"/>
        <w:rPr>
          <w:rFonts w:cstheme="minorHAnsi"/>
          <w:sz w:val="24"/>
          <w:szCs w:val="24"/>
        </w:rPr>
      </w:pPr>
      <w:r>
        <w:rPr>
          <w:rFonts w:cstheme="minorHAnsi"/>
          <w:sz w:val="24"/>
          <w:szCs w:val="24"/>
        </w:rPr>
        <w:t>13</w:t>
      </w:r>
      <w:r w:rsidR="008160AD" w:rsidRPr="008160AD">
        <w:rPr>
          <w:rFonts w:cstheme="minorHAnsi"/>
          <w:sz w:val="24"/>
          <w:szCs w:val="24"/>
        </w:rPr>
        <w:t>.</w:t>
      </w:r>
      <w:r w:rsidR="008160AD" w:rsidRPr="008160AD">
        <w:rPr>
          <w:rFonts w:cstheme="minorHAnsi"/>
          <w:sz w:val="24"/>
          <w:szCs w:val="24"/>
        </w:rPr>
        <w:tab/>
        <w:t>The</w:t>
      </w:r>
      <w:r w:rsidR="008160AD">
        <w:rPr>
          <w:rFonts w:cstheme="minorHAnsi"/>
          <w:sz w:val="24"/>
          <w:szCs w:val="24"/>
        </w:rPr>
        <w:t xml:space="preserve"> </w:t>
      </w:r>
      <w:r w:rsidR="00843666">
        <w:rPr>
          <w:rFonts w:cstheme="minorHAnsi"/>
          <w:sz w:val="24"/>
          <w:szCs w:val="24"/>
        </w:rPr>
        <w:t xml:space="preserve">internal audit </w:t>
      </w:r>
      <w:r w:rsidR="00B8388F">
        <w:rPr>
          <w:rFonts w:cstheme="minorHAnsi"/>
          <w:sz w:val="24"/>
          <w:szCs w:val="24"/>
        </w:rPr>
        <w:t>performance indicators for 202</w:t>
      </w:r>
      <w:r w:rsidR="00EA36FF">
        <w:rPr>
          <w:rFonts w:cstheme="minorHAnsi"/>
          <w:sz w:val="24"/>
          <w:szCs w:val="24"/>
        </w:rPr>
        <w:t>3</w:t>
      </w:r>
      <w:r w:rsidR="00B8388F">
        <w:rPr>
          <w:rFonts w:cstheme="minorHAnsi"/>
          <w:sz w:val="24"/>
          <w:szCs w:val="24"/>
        </w:rPr>
        <w:t>/2</w:t>
      </w:r>
      <w:r w:rsidR="00EA36FF">
        <w:rPr>
          <w:rFonts w:cstheme="minorHAnsi"/>
          <w:sz w:val="24"/>
          <w:szCs w:val="24"/>
        </w:rPr>
        <w:t>4</w:t>
      </w:r>
      <w:r w:rsidR="008160AD" w:rsidRPr="008160AD">
        <w:rPr>
          <w:rFonts w:cstheme="minorHAnsi"/>
          <w:sz w:val="24"/>
          <w:szCs w:val="24"/>
        </w:rPr>
        <w:t xml:space="preserve"> are set out in </w:t>
      </w:r>
      <w:r w:rsidR="008160AD" w:rsidRPr="008160AD">
        <w:rPr>
          <w:rFonts w:cstheme="minorHAnsi"/>
          <w:b/>
          <w:sz w:val="24"/>
          <w:szCs w:val="24"/>
        </w:rPr>
        <w:t>Table 1</w:t>
      </w:r>
      <w:r w:rsidR="008160AD" w:rsidRPr="008160AD">
        <w:rPr>
          <w:rFonts w:cstheme="minorHAnsi"/>
          <w:sz w:val="24"/>
          <w:szCs w:val="24"/>
        </w:rPr>
        <w:t xml:space="preserve">. </w:t>
      </w:r>
      <w:r w:rsidR="006F3E87">
        <w:rPr>
          <w:rFonts w:cstheme="minorHAnsi"/>
          <w:sz w:val="24"/>
          <w:szCs w:val="24"/>
        </w:rPr>
        <w:t xml:space="preserve"> </w:t>
      </w:r>
      <w:r w:rsidR="0001320C" w:rsidRPr="0001320C">
        <w:rPr>
          <w:rFonts w:ascii="Calibri" w:hAnsi="Calibri" w:cs="Calibri"/>
          <w:sz w:val="24"/>
          <w:szCs w:val="24"/>
        </w:rPr>
        <w:t xml:space="preserve">All internal audit performance indicators were met.  The follow-up Priority 1 implementation rate KPI was also met and at the end of 2023/24 there was only one delayed Priority 1 recommendation.  Whilst the overall implementation rate for all recommendations was not met (outturn 70%; target 75%), at the end of the year, there were only five </w:t>
      </w:r>
      <w:r w:rsidR="0050611F">
        <w:rPr>
          <w:rFonts w:ascii="Calibri" w:hAnsi="Calibri" w:cs="Calibri"/>
          <w:sz w:val="24"/>
          <w:szCs w:val="24"/>
        </w:rPr>
        <w:t xml:space="preserve">reportable </w:t>
      </w:r>
      <w:r w:rsidR="0001320C" w:rsidRPr="0001320C">
        <w:rPr>
          <w:rFonts w:ascii="Calibri" w:hAnsi="Calibri" w:cs="Calibri"/>
          <w:sz w:val="24"/>
          <w:szCs w:val="24"/>
        </w:rPr>
        <w:t>delayed recommendations – one delayed Priority 1, and four delayed Priority 2 actions</w:t>
      </w:r>
      <w:r w:rsidR="0001320C">
        <w:rPr>
          <w:rFonts w:ascii="Calibri" w:hAnsi="Calibri" w:cs="Calibri"/>
          <w:sz w:val="24"/>
          <w:szCs w:val="24"/>
        </w:rPr>
        <w:t>.  Detailed quarterly reports are provided to the ARC on delayed recommendations</w:t>
      </w:r>
      <w:r w:rsidR="007A241D" w:rsidRPr="0001320C">
        <w:rPr>
          <w:rFonts w:cstheme="minorHAnsi"/>
          <w:sz w:val="24"/>
          <w:szCs w:val="24"/>
        </w:rPr>
        <w:t>.</w:t>
      </w:r>
    </w:p>
    <w:p w14:paraId="4EED8096" w14:textId="61ED1F09" w:rsidR="009A4C74" w:rsidRDefault="009A4C74" w:rsidP="00FD0A8A">
      <w:pPr>
        <w:spacing w:after="0"/>
        <w:ind w:left="357" w:hanging="357"/>
        <w:rPr>
          <w:rFonts w:cstheme="minorHAnsi"/>
          <w:sz w:val="24"/>
          <w:szCs w:val="24"/>
        </w:rPr>
      </w:pPr>
    </w:p>
    <w:p w14:paraId="1C2FEA27" w14:textId="263FA823" w:rsidR="008160AD" w:rsidRPr="008160AD" w:rsidRDefault="008160AD" w:rsidP="00FD0A8A">
      <w:pPr>
        <w:rPr>
          <w:rFonts w:cstheme="minorHAnsi"/>
          <w:b/>
          <w:sz w:val="24"/>
          <w:szCs w:val="24"/>
        </w:rPr>
      </w:pPr>
      <w:r w:rsidRPr="008160AD">
        <w:rPr>
          <w:rFonts w:cstheme="minorHAnsi"/>
          <w:b/>
          <w:sz w:val="24"/>
          <w:szCs w:val="24"/>
        </w:rPr>
        <w:t>Tabl</w:t>
      </w:r>
      <w:r w:rsidR="00B8388F">
        <w:rPr>
          <w:rFonts w:cstheme="minorHAnsi"/>
          <w:b/>
          <w:sz w:val="24"/>
          <w:szCs w:val="24"/>
        </w:rPr>
        <w:t>e 1: Performance Indicators 202</w:t>
      </w:r>
      <w:r w:rsidR="00EA36FF">
        <w:rPr>
          <w:rFonts w:cstheme="minorHAnsi"/>
          <w:b/>
          <w:sz w:val="24"/>
          <w:szCs w:val="24"/>
        </w:rPr>
        <w:t>3</w:t>
      </w:r>
      <w:r w:rsidR="00B8388F">
        <w:rPr>
          <w:rFonts w:cstheme="minorHAnsi"/>
          <w:b/>
          <w:sz w:val="24"/>
          <w:szCs w:val="24"/>
        </w:rPr>
        <w:t>/2</w:t>
      </w:r>
      <w:r w:rsidR="00EA36FF">
        <w:rPr>
          <w:rFonts w:cstheme="minorHAnsi"/>
          <w:b/>
          <w:sz w:val="24"/>
          <w:szCs w:val="24"/>
        </w:rPr>
        <w:t>4</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1275"/>
        <w:gridCol w:w="2835"/>
      </w:tblGrid>
      <w:tr w:rsidR="001A010B" w:rsidRPr="001A010B" w14:paraId="03B69D9F" w14:textId="77777777" w:rsidTr="00631FC2">
        <w:trPr>
          <w:tblHeader/>
        </w:trPr>
        <w:tc>
          <w:tcPr>
            <w:tcW w:w="4962" w:type="dxa"/>
            <w:shd w:val="clear" w:color="auto" w:fill="D9D9D9"/>
          </w:tcPr>
          <w:p w14:paraId="55CEA32A" w14:textId="77777777" w:rsidR="001A010B" w:rsidRPr="001A010B" w:rsidRDefault="001A010B" w:rsidP="001A010B">
            <w:pPr>
              <w:spacing w:after="0"/>
              <w:ind w:left="540" w:hanging="540"/>
              <w:jc w:val="center"/>
              <w:rPr>
                <w:rFonts w:ascii="Calibri" w:eastAsia="Times New Roman" w:hAnsi="Calibri" w:cs="Calibri"/>
                <w:b/>
                <w:sz w:val="24"/>
                <w:szCs w:val="24"/>
              </w:rPr>
            </w:pPr>
            <w:r w:rsidRPr="001A010B">
              <w:rPr>
                <w:rFonts w:ascii="Calibri" w:eastAsia="Times New Roman" w:hAnsi="Calibri" w:cs="Calibri"/>
                <w:b/>
                <w:sz w:val="24"/>
                <w:szCs w:val="24"/>
              </w:rPr>
              <w:t>Audit Team Performance Indicator</w:t>
            </w:r>
          </w:p>
          <w:p w14:paraId="73566130" w14:textId="77777777" w:rsidR="001A010B" w:rsidRPr="001A010B" w:rsidRDefault="001A010B" w:rsidP="001A010B">
            <w:pPr>
              <w:tabs>
                <w:tab w:val="left" w:pos="3949"/>
              </w:tabs>
              <w:spacing w:after="0"/>
              <w:ind w:left="540" w:hanging="540"/>
              <w:jc w:val="both"/>
              <w:rPr>
                <w:rFonts w:ascii="Calibri" w:eastAsia="Times New Roman" w:hAnsi="Calibri" w:cs="Calibri"/>
                <w:b/>
                <w:sz w:val="24"/>
                <w:szCs w:val="24"/>
              </w:rPr>
            </w:pPr>
            <w:r w:rsidRPr="001A010B">
              <w:rPr>
                <w:rFonts w:ascii="Calibri" w:eastAsia="Times New Roman" w:hAnsi="Calibri" w:cs="Calibri"/>
                <w:b/>
                <w:sz w:val="24"/>
                <w:szCs w:val="24"/>
              </w:rPr>
              <w:tab/>
            </w:r>
            <w:r w:rsidRPr="001A010B">
              <w:rPr>
                <w:rFonts w:ascii="Calibri" w:eastAsia="Times New Roman" w:hAnsi="Calibri" w:cs="Calibri"/>
                <w:b/>
                <w:sz w:val="24"/>
                <w:szCs w:val="24"/>
              </w:rPr>
              <w:tab/>
            </w:r>
          </w:p>
        </w:tc>
        <w:tc>
          <w:tcPr>
            <w:tcW w:w="1275" w:type="dxa"/>
            <w:shd w:val="clear" w:color="auto" w:fill="D9D9D9"/>
          </w:tcPr>
          <w:p w14:paraId="53DB73F5" w14:textId="77777777" w:rsidR="001A010B" w:rsidRPr="001A010B" w:rsidRDefault="001A010B" w:rsidP="001A010B">
            <w:pPr>
              <w:spacing w:after="0"/>
              <w:ind w:left="540" w:hanging="540"/>
              <w:jc w:val="center"/>
              <w:rPr>
                <w:rFonts w:ascii="Calibri" w:eastAsia="Times New Roman" w:hAnsi="Calibri" w:cs="Calibri"/>
                <w:b/>
                <w:sz w:val="24"/>
                <w:szCs w:val="24"/>
              </w:rPr>
            </w:pPr>
            <w:r w:rsidRPr="001A010B">
              <w:rPr>
                <w:rFonts w:ascii="Calibri" w:eastAsia="Times New Roman" w:hAnsi="Calibri" w:cs="Calibri"/>
                <w:b/>
                <w:sz w:val="24"/>
                <w:szCs w:val="24"/>
              </w:rPr>
              <w:t>Target</w:t>
            </w:r>
          </w:p>
        </w:tc>
        <w:tc>
          <w:tcPr>
            <w:tcW w:w="2835" w:type="dxa"/>
            <w:shd w:val="clear" w:color="auto" w:fill="D9D9D9"/>
          </w:tcPr>
          <w:p w14:paraId="24FC7238" w14:textId="77777777" w:rsidR="001A010B" w:rsidRPr="001A010B" w:rsidRDefault="001A010B" w:rsidP="001A010B">
            <w:pPr>
              <w:spacing w:after="0"/>
              <w:ind w:left="540" w:hanging="540"/>
              <w:jc w:val="center"/>
              <w:rPr>
                <w:rFonts w:ascii="Calibri" w:eastAsia="Times New Roman" w:hAnsi="Calibri" w:cs="Calibri"/>
                <w:b/>
                <w:sz w:val="24"/>
                <w:szCs w:val="24"/>
              </w:rPr>
            </w:pPr>
            <w:r w:rsidRPr="001A010B">
              <w:rPr>
                <w:rFonts w:ascii="Calibri" w:eastAsia="Times New Roman" w:hAnsi="Calibri" w:cs="Calibri"/>
                <w:b/>
                <w:sz w:val="24"/>
                <w:szCs w:val="24"/>
              </w:rPr>
              <w:t>Progress</w:t>
            </w:r>
          </w:p>
        </w:tc>
      </w:tr>
      <w:tr w:rsidR="001A010B" w:rsidRPr="001A010B" w14:paraId="4F9752B5" w14:textId="77777777" w:rsidTr="00631FC2">
        <w:trPr>
          <w:trHeight w:val="428"/>
        </w:trPr>
        <w:tc>
          <w:tcPr>
            <w:tcW w:w="4962" w:type="dxa"/>
            <w:shd w:val="clear" w:color="auto" w:fill="auto"/>
          </w:tcPr>
          <w:p w14:paraId="0FC996FC" w14:textId="77777777" w:rsidR="001A010B" w:rsidRPr="001A010B" w:rsidRDefault="001A010B" w:rsidP="001A010B">
            <w:pPr>
              <w:spacing w:after="0"/>
              <w:jc w:val="both"/>
              <w:rPr>
                <w:rFonts w:ascii="Calibri" w:eastAsia="Times New Roman" w:hAnsi="Calibri" w:cs="Calibri"/>
                <w:sz w:val="24"/>
                <w:szCs w:val="24"/>
              </w:rPr>
            </w:pPr>
            <w:r w:rsidRPr="001A010B">
              <w:rPr>
                <w:rFonts w:ascii="Calibri" w:eastAsia="Times New Roman" w:hAnsi="Calibri" w:cs="Calibri"/>
                <w:sz w:val="24"/>
                <w:szCs w:val="24"/>
              </w:rPr>
              <w:t>Staff Adequately Qualified</w:t>
            </w:r>
          </w:p>
          <w:p w14:paraId="43B1FA31" w14:textId="77777777" w:rsidR="001A010B" w:rsidRPr="001A010B" w:rsidRDefault="001A010B" w:rsidP="001A010B">
            <w:pPr>
              <w:spacing w:after="0"/>
              <w:jc w:val="both"/>
              <w:rPr>
                <w:rFonts w:ascii="Calibri" w:eastAsia="Times New Roman" w:hAnsi="Calibri" w:cs="Calibri"/>
                <w:sz w:val="24"/>
                <w:szCs w:val="24"/>
              </w:rPr>
            </w:pPr>
          </w:p>
        </w:tc>
        <w:tc>
          <w:tcPr>
            <w:tcW w:w="1275" w:type="dxa"/>
            <w:shd w:val="clear" w:color="auto" w:fill="auto"/>
          </w:tcPr>
          <w:p w14:paraId="1DD80FEE" w14:textId="77777777" w:rsidR="001A010B" w:rsidRPr="001A010B" w:rsidRDefault="001A010B" w:rsidP="001A010B">
            <w:pPr>
              <w:tabs>
                <w:tab w:val="left" w:pos="720"/>
                <w:tab w:val="center" w:pos="4153"/>
                <w:tab w:val="right" w:pos="8306"/>
              </w:tabs>
              <w:spacing w:after="0"/>
              <w:jc w:val="center"/>
              <w:rPr>
                <w:rFonts w:ascii="Calibri" w:eastAsia="Times New Roman" w:hAnsi="Calibri" w:cs="Calibri"/>
                <w:sz w:val="24"/>
                <w:szCs w:val="24"/>
              </w:rPr>
            </w:pPr>
            <w:r w:rsidRPr="001A010B">
              <w:rPr>
                <w:rFonts w:ascii="Calibri" w:eastAsia="Times New Roman" w:hAnsi="Calibri" w:cs="Calibri"/>
                <w:sz w:val="24"/>
                <w:szCs w:val="24"/>
              </w:rPr>
              <w:t>100%</w:t>
            </w:r>
          </w:p>
        </w:tc>
        <w:tc>
          <w:tcPr>
            <w:tcW w:w="2835" w:type="dxa"/>
            <w:shd w:val="clear" w:color="auto" w:fill="auto"/>
          </w:tcPr>
          <w:p w14:paraId="04E7E70B" w14:textId="77777777" w:rsidR="001A010B" w:rsidRPr="001A010B" w:rsidRDefault="001A010B" w:rsidP="001A010B">
            <w:pPr>
              <w:tabs>
                <w:tab w:val="left" w:pos="720"/>
                <w:tab w:val="center" w:pos="4153"/>
                <w:tab w:val="right" w:pos="8306"/>
              </w:tabs>
              <w:spacing w:after="0"/>
              <w:jc w:val="center"/>
              <w:rPr>
                <w:rFonts w:ascii="Calibri" w:eastAsia="Times New Roman" w:hAnsi="Calibri" w:cs="Calibri"/>
                <w:sz w:val="24"/>
                <w:szCs w:val="24"/>
              </w:rPr>
            </w:pPr>
            <w:r w:rsidRPr="001A010B">
              <w:rPr>
                <w:rFonts w:ascii="Calibri" w:eastAsia="Times New Roman" w:hAnsi="Calibri" w:cs="Calibri"/>
                <w:sz w:val="24"/>
                <w:szCs w:val="24"/>
              </w:rPr>
              <w:t>100%</w:t>
            </w:r>
          </w:p>
        </w:tc>
      </w:tr>
      <w:tr w:rsidR="001A010B" w:rsidRPr="001A010B" w14:paraId="10194724" w14:textId="77777777" w:rsidTr="00631FC2">
        <w:trPr>
          <w:trHeight w:val="830"/>
        </w:trPr>
        <w:tc>
          <w:tcPr>
            <w:tcW w:w="4962" w:type="dxa"/>
            <w:shd w:val="clear" w:color="auto" w:fill="auto"/>
          </w:tcPr>
          <w:p w14:paraId="7B4CCF0E" w14:textId="77777777" w:rsidR="001A010B" w:rsidRPr="001A010B" w:rsidRDefault="001A010B" w:rsidP="001A010B">
            <w:pPr>
              <w:spacing w:after="0"/>
              <w:jc w:val="both"/>
              <w:rPr>
                <w:rFonts w:ascii="Calibri" w:eastAsia="Times New Roman" w:hAnsi="Calibri" w:cs="Calibri"/>
                <w:sz w:val="24"/>
                <w:szCs w:val="24"/>
              </w:rPr>
            </w:pPr>
            <w:r w:rsidRPr="001A010B">
              <w:rPr>
                <w:rFonts w:ascii="Calibri" w:eastAsia="Times New Roman" w:hAnsi="Calibri" w:cs="Calibri"/>
                <w:sz w:val="24"/>
                <w:szCs w:val="24"/>
              </w:rPr>
              <w:t>Management of Closure Process – draft reports to HIA by agreed deadline.</w:t>
            </w:r>
          </w:p>
          <w:p w14:paraId="4CB03C1A" w14:textId="77777777" w:rsidR="001A010B" w:rsidRPr="001A010B" w:rsidRDefault="001A010B" w:rsidP="001A010B">
            <w:pPr>
              <w:spacing w:after="0"/>
              <w:jc w:val="both"/>
              <w:rPr>
                <w:rFonts w:ascii="Calibri" w:eastAsia="Times New Roman" w:hAnsi="Calibri" w:cs="Calibri"/>
                <w:sz w:val="24"/>
                <w:szCs w:val="24"/>
              </w:rPr>
            </w:pPr>
          </w:p>
        </w:tc>
        <w:tc>
          <w:tcPr>
            <w:tcW w:w="1275" w:type="dxa"/>
            <w:shd w:val="clear" w:color="auto" w:fill="auto"/>
          </w:tcPr>
          <w:p w14:paraId="1FFEA091" w14:textId="77777777" w:rsidR="001A010B" w:rsidRPr="001A010B" w:rsidRDefault="001A010B" w:rsidP="001A010B">
            <w:pPr>
              <w:spacing w:after="0"/>
              <w:ind w:left="540" w:hanging="540"/>
              <w:jc w:val="center"/>
              <w:rPr>
                <w:rFonts w:ascii="Calibri" w:eastAsia="Times New Roman" w:hAnsi="Calibri" w:cs="Calibri"/>
                <w:sz w:val="24"/>
                <w:szCs w:val="24"/>
              </w:rPr>
            </w:pPr>
            <w:r w:rsidRPr="001A010B">
              <w:rPr>
                <w:rFonts w:ascii="Calibri" w:eastAsia="Times New Roman" w:hAnsi="Calibri" w:cs="Calibri"/>
                <w:sz w:val="24"/>
                <w:szCs w:val="24"/>
              </w:rPr>
              <w:t>100%</w:t>
            </w:r>
          </w:p>
        </w:tc>
        <w:tc>
          <w:tcPr>
            <w:tcW w:w="2835" w:type="dxa"/>
            <w:shd w:val="clear" w:color="auto" w:fill="auto"/>
          </w:tcPr>
          <w:p w14:paraId="06629C77" w14:textId="77777777" w:rsidR="001A010B" w:rsidRPr="001A010B" w:rsidRDefault="001A010B" w:rsidP="001A010B">
            <w:pPr>
              <w:spacing w:after="0"/>
              <w:ind w:left="540" w:hanging="540"/>
              <w:jc w:val="center"/>
              <w:rPr>
                <w:rFonts w:ascii="Calibri" w:eastAsia="Times New Roman" w:hAnsi="Calibri" w:cs="Calibri"/>
                <w:sz w:val="24"/>
                <w:szCs w:val="24"/>
              </w:rPr>
            </w:pPr>
            <w:r w:rsidRPr="001A010B">
              <w:rPr>
                <w:rFonts w:ascii="Calibri" w:eastAsia="Times New Roman" w:hAnsi="Calibri" w:cs="Calibri"/>
                <w:sz w:val="24"/>
                <w:szCs w:val="24"/>
              </w:rPr>
              <w:t>100%</w:t>
            </w:r>
          </w:p>
        </w:tc>
      </w:tr>
      <w:tr w:rsidR="001A010B" w:rsidRPr="001A010B" w14:paraId="21B0F7A2" w14:textId="77777777" w:rsidTr="00631FC2">
        <w:tc>
          <w:tcPr>
            <w:tcW w:w="4962" w:type="dxa"/>
            <w:shd w:val="clear" w:color="auto" w:fill="auto"/>
          </w:tcPr>
          <w:p w14:paraId="34CAF59D" w14:textId="77777777" w:rsidR="001A010B" w:rsidRPr="001A010B" w:rsidRDefault="001A010B" w:rsidP="001A010B">
            <w:pPr>
              <w:spacing w:after="0"/>
              <w:jc w:val="both"/>
              <w:rPr>
                <w:rFonts w:ascii="Calibri" w:eastAsia="Times New Roman" w:hAnsi="Calibri" w:cs="Calibri"/>
                <w:sz w:val="24"/>
                <w:szCs w:val="24"/>
              </w:rPr>
            </w:pPr>
            <w:r w:rsidRPr="001A010B">
              <w:rPr>
                <w:rFonts w:ascii="Calibri" w:eastAsia="Times New Roman" w:hAnsi="Calibri" w:cs="Calibri"/>
                <w:sz w:val="24"/>
                <w:szCs w:val="24"/>
              </w:rPr>
              <w:t>Customer Satisfaction – average overall score out of 5 (1 = poor, 5 = excellent).</w:t>
            </w:r>
          </w:p>
          <w:p w14:paraId="693D5117" w14:textId="77777777" w:rsidR="001A010B" w:rsidRPr="001A010B" w:rsidRDefault="001A010B" w:rsidP="001A010B">
            <w:pPr>
              <w:spacing w:after="0"/>
              <w:jc w:val="both"/>
              <w:rPr>
                <w:rFonts w:ascii="Calibri" w:eastAsia="Times New Roman" w:hAnsi="Calibri" w:cs="Calibri"/>
                <w:sz w:val="24"/>
                <w:szCs w:val="24"/>
              </w:rPr>
            </w:pPr>
          </w:p>
        </w:tc>
        <w:tc>
          <w:tcPr>
            <w:tcW w:w="1275" w:type="dxa"/>
            <w:shd w:val="clear" w:color="auto" w:fill="auto"/>
          </w:tcPr>
          <w:p w14:paraId="705CBD03" w14:textId="77777777" w:rsidR="001A010B" w:rsidRPr="001A010B" w:rsidRDefault="001A010B" w:rsidP="001A010B">
            <w:pPr>
              <w:spacing w:after="0"/>
              <w:ind w:left="540" w:hanging="540"/>
              <w:jc w:val="center"/>
              <w:rPr>
                <w:rFonts w:ascii="Calibri" w:eastAsia="Times New Roman" w:hAnsi="Calibri" w:cs="Calibri"/>
                <w:sz w:val="24"/>
                <w:szCs w:val="24"/>
              </w:rPr>
            </w:pPr>
            <w:r w:rsidRPr="001A010B">
              <w:rPr>
                <w:rFonts w:ascii="Calibri" w:eastAsia="Times New Roman" w:hAnsi="Calibri" w:cs="Calibri"/>
                <w:sz w:val="24"/>
                <w:szCs w:val="24"/>
              </w:rPr>
              <w:t>4</w:t>
            </w:r>
          </w:p>
        </w:tc>
        <w:tc>
          <w:tcPr>
            <w:tcW w:w="2835" w:type="dxa"/>
            <w:shd w:val="clear" w:color="auto" w:fill="auto"/>
          </w:tcPr>
          <w:p w14:paraId="30CC1E3E" w14:textId="5A13F3C2" w:rsidR="001A010B" w:rsidRPr="001A010B" w:rsidRDefault="0001320C" w:rsidP="001A010B">
            <w:pPr>
              <w:spacing w:after="0"/>
              <w:ind w:left="540" w:hanging="540"/>
              <w:jc w:val="center"/>
              <w:rPr>
                <w:rFonts w:ascii="Calibri" w:eastAsia="Times New Roman" w:hAnsi="Calibri" w:cs="Calibri"/>
                <w:sz w:val="24"/>
                <w:szCs w:val="24"/>
              </w:rPr>
            </w:pPr>
            <w:r>
              <w:rPr>
                <w:rFonts w:ascii="Calibri" w:eastAsia="Times New Roman" w:hAnsi="Calibri" w:cs="Calibri"/>
                <w:sz w:val="24"/>
                <w:szCs w:val="24"/>
              </w:rPr>
              <w:t>4.25</w:t>
            </w:r>
          </w:p>
        </w:tc>
      </w:tr>
      <w:tr w:rsidR="001A010B" w:rsidRPr="001A010B" w14:paraId="06378292" w14:textId="77777777" w:rsidTr="00631FC2">
        <w:tc>
          <w:tcPr>
            <w:tcW w:w="4962" w:type="dxa"/>
            <w:shd w:val="clear" w:color="auto" w:fill="D9D9D9"/>
          </w:tcPr>
          <w:p w14:paraId="1D18C3CA" w14:textId="77777777" w:rsidR="001A010B" w:rsidRPr="001A010B" w:rsidRDefault="001A010B" w:rsidP="001A010B">
            <w:pPr>
              <w:spacing w:after="0"/>
              <w:ind w:left="540" w:hanging="540"/>
              <w:jc w:val="center"/>
              <w:rPr>
                <w:rFonts w:ascii="Calibri" w:eastAsia="Times New Roman" w:hAnsi="Calibri" w:cs="Calibri"/>
                <w:b/>
                <w:sz w:val="24"/>
                <w:szCs w:val="24"/>
              </w:rPr>
            </w:pPr>
            <w:r w:rsidRPr="001A010B">
              <w:rPr>
                <w:rFonts w:ascii="Calibri" w:eastAsia="Times New Roman" w:hAnsi="Calibri" w:cs="Calibri"/>
                <w:b/>
                <w:sz w:val="24"/>
                <w:szCs w:val="24"/>
              </w:rPr>
              <w:t>Follow-up Performance Indicator</w:t>
            </w:r>
          </w:p>
          <w:p w14:paraId="5A1BF03A" w14:textId="77777777" w:rsidR="001A010B" w:rsidRPr="001A010B" w:rsidRDefault="001A010B" w:rsidP="001A010B">
            <w:pPr>
              <w:spacing w:after="0"/>
              <w:ind w:left="540" w:hanging="540"/>
              <w:jc w:val="both"/>
              <w:rPr>
                <w:rFonts w:ascii="Calibri" w:eastAsia="Times New Roman" w:hAnsi="Calibri" w:cs="Calibri"/>
                <w:b/>
                <w:sz w:val="24"/>
                <w:szCs w:val="24"/>
              </w:rPr>
            </w:pPr>
          </w:p>
        </w:tc>
        <w:tc>
          <w:tcPr>
            <w:tcW w:w="1275" w:type="dxa"/>
            <w:shd w:val="clear" w:color="auto" w:fill="D9D9D9"/>
          </w:tcPr>
          <w:p w14:paraId="7CDBC4B9" w14:textId="77777777" w:rsidR="001A010B" w:rsidRPr="001A010B" w:rsidRDefault="001A010B" w:rsidP="001A010B">
            <w:pPr>
              <w:spacing w:after="0"/>
              <w:ind w:left="540" w:hanging="540"/>
              <w:jc w:val="center"/>
              <w:rPr>
                <w:rFonts w:ascii="Calibri" w:eastAsia="Times New Roman" w:hAnsi="Calibri" w:cs="Calibri"/>
                <w:b/>
                <w:sz w:val="24"/>
                <w:szCs w:val="24"/>
              </w:rPr>
            </w:pPr>
            <w:r w:rsidRPr="001A010B">
              <w:rPr>
                <w:rFonts w:ascii="Calibri" w:eastAsia="Times New Roman" w:hAnsi="Calibri" w:cs="Calibri"/>
                <w:b/>
                <w:sz w:val="24"/>
                <w:szCs w:val="24"/>
              </w:rPr>
              <w:t>Target</w:t>
            </w:r>
          </w:p>
        </w:tc>
        <w:tc>
          <w:tcPr>
            <w:tcW w:w="2835" w:type="dxa"/>
            <w:shd w:val="clear" w:color="auto" w:fill="D9D9D9"/>
          </w:tcPr>
          <w:p w14:paraId="1616DD61" w14:textId="77777777" w:rsidR="001A010B" w:rsidRPr="001A010B" w:rsidRDefault="001A010B" w:rsidP="001A010B">
            <w:pPr>
              <w:spacing w:after="0"/>
              <w:ind w:left="540" w:hanging="540"/>
              <w:jc w:val="center"/>
              <w:rPr>
                <w:rFonts w:ascii="Calibri" w:eastAsia="Times New Roman" w:hAnsi="Calibri" w:cs="Calibri"/>
                <w:b/>
                <w:sz w:val="24"/>
                <w:szCs w:val="24"/>
              </w:rPr>
            </w:pPr>
            <w:r w:rsidRPr="001A010B">
              <w:rPr>
                <w:rFonts w:ascii="Calibri" w:eastAsia="Times New Roman" w:hAnsi="Calibri" w:cs="Calibri"/>
                <w:b/>
                <w:sz w:val="24"/>
                <w:szCs w:val="24"/>
              </w:rPr>
              <w:t>Progress</w:t>
            </w:r>
          </w:p>
        </w:tc>
      </w:tr>
      <w:tr w:rsidR="001A010B" w:rsidRPr="001A010B" w14:paraId="5B1C1469" w14:textId="77777777" w:rsidTr="00631FC2">
        <w:tc>
          <w:tcPr>
            <w:tcW w:w="4962" w:type="dxa"/>
            <w:shd w:val="clear" w:color="auto" w:fill="auto"/>
          </w:tcPr>
          <w:p w14:paraId="1A98D496" w14:textId="77777777" w:rsidR="001A010B" w:rsidRPr="001A010B" w:rsidRDefault="001A010B" w:rsidP="001A010B">
            <w:pPr>
              <w:spacing w:after="0"/>
              <w:jc w:val="both"/>
              <w:rPr>
                <w:rFonts w:ascii="Calibri" w:eastAsia="Times New Roman" w:hAnsi="Calibri" w:cs="Calibri"/>
                <w:sz w:val="24"/>
                <w:szCs w:val="24"/>
              </w:rPr>
            </w:pPr>
            <w:r w:rsidRPr="001A010B">
              <w:rPr>
                <w:rFonts w:ascii="Calibri" w:eastAsia="Times New Roman" w:hAnsi="Calibri" w:cs="Calibri"/>
                <w:sz w:val="24"/>
                <w:szCs w:val="24"/>
              </w:rPr>
              <w:t>Priority 1 Recommendations – rolling average implementation rate.</w:t>
            </w:r>
          </w:p>
        </w:tc>
        <w:tc>
          <w:tcPr>
            <w:tcW w:w="1275" w:type="dxa"/>
            <w:shd w:val="clear" w:color="auto" w:fill="auto"/>
          </w:tcPr>
          <w:p w14:paraId="74204526" w14:textId="77777777" w:rsidR="001A010B" w:rsidRPr="001A010B" w:rsidRDefault="001A010B" w:rsidP="001A010B">
            <w:pPr>
              <w:spacing w:after="0"/>
              <w:ind w:left="540" w:hanging="540"/>
              <w:jc w:val="center"/>
              <w:rPr>
                <w:rFonts w:ascii="Calibri" w:eastAsia="Times New Roman" w:hAnsi="Calibri" w:cs="Calibri"/>
                <w:sz w:val="24"/>
                <w:szCs w:val="24"/>
              </w:rPr>
            </w:pPr>
            <w:r w:rsidRPr="001A010B">
              <w:rPr>
                <w:rFonts w:ascii="Calibri" w:eastAsia="Times New Roman" w:hAnsi="Calibri" w:cs="Calibri"/>
                <w:sz w:val="24"/>
                <w:szCs w:val="24"/>
              </w:rPr>
              <w:t>85%</w:t>
            </w:r>
          </w:p>
        </w:tc>
        <w:tc>
          <w:tcPr>
            <w:tcW w:w="2835" w:type="dxa"/>
            <w:shd w:val="clear" w:color="auto" w:fill="auto"/>
          </w:tcPr>
          <w:p w14:paraId="1509A7A9" w14:textId="142E0F89" w:rsidR="001A010B" w:rsidRPr="001A010B" w:rsidRDefault="0001320C" w:rsidP="001A010B">
            <w:pPr>
              <w:spacing w:after="0"/>
              <w:ind w:left="34"/>
              <w:jc w:val="center"/>
              <w:rPr>
                <w:rFonts w:ascii="Calibri" w:eastAsia="Times New Roman" w:hAnsi="Calibri" w:cs="Calibri"/>
                <w:sz w:val="24"/>
                <w:szCs w:val="24"/>
              </w:rPr>
            </w:pPr>
            <w:r>
              <w:rPr>
                <w:rFonts w:ascii="Calibri" w:eastAsia="Times New Roman" w:hAnsi="Calibri" w:cs="Calibri"/>
                <w:sz w:val="24"/>
                <w:szCs w:val="24"/>
              </w:rPr>
              <w:t>97</w:t>
            </w:r>
            <w:r w:rsidR="001A010B" w:rsidRPr="001A010B">
              <w:rPr>
                <w:rFonts w:ascii="Calibri" w:eastAsia="Times New Roman" w:hAnsi="Calibri" w:cs="Calibri"/>
                <w:sz w:val="24"/>
                <w:szCs w:val="24"/>
              </w:rPr>
              <w:t xml:space="preserve">% </w:t>
            </w:r>
          </w:p>
          <w:p w14:paraId="2E71C4C1" w14:textId="27D45B9A" w:rsidR="001A010B" w:rsidRPr="001A010B" w:rsidRDefault="001A010B" w:rsidP="001A010B">
            <w:pPr>
              <w:spacing w:after="0"/>
              <w:ind w:left="34"/>
              <w:jc w:val="center"/>
              <w:rPr>
                <w:rFonts w:ascii="Calibri" w:eastAsia="Times New Roman" w:hAnsi="Calibri" w:cs="Calibri"/>
                <w:sz w:val="24"/>
                <w:szCs w:val="24"/>
              </w:rPr>
            </w:pPr>
            <w:r w:rsidRPr="001A010B">
              <w:rPr>
                <w:rFonts w:ascii="Calibri" w:eastAsia="Times New Roman" w:hAnsi="Calibri" w:cs="Calibri"/>
                <w:sz w:val="24"/>
                <w:szCs w:val="24"/>
              </w:rPr>
              <w:t>(at end of Q4 202</w:t>
            </w:r>
            <w:r w:rsidR="00D62155">
              <w:rPr>
                <w:rFonts w:ascii="Calibri" w:eastAsia="Times New Roman" w:hAnsi="Calibri" w:cs="Calibri"/>
                <w:sz w:val="24"/>
                <w:szCs w:val="24"/>
              </w:rPr>
              <w:t>3</w:t>
            </w:r>
            <w:r w:rsidRPr="001A010B">
              <w:rPr>
                <w:rFonts w:ascii="Calibri" w:eastAsia="Times New Roman" w:hAnsi="Calibri" w:cs="Calibri"/>
                <w:sz w:val="24"/>
                <w:szCs w:val="24"/>
              </w:rPr>
              <w:t>/2</w:t>
            </w:r>
            <w:r w:rsidR="00D62155">
              <w:rPr>
                <w:rFonts w:ascii="Calibri" w:eastAsia="Times New Roman" w:hAnsi="Calibri" w:cs="Calibri"/>
                <w:sz w:val="24"/>
                <w:szCs w:val="24"/>
              </w:rPr>
              <w:t>4</w:t>
            </w:r>
            <w:r w:rsidRPr="001A010B">
              <w:rPr>
                <w:rFonts w:ascii="Calibri" w:eastAsia="Times New Roman" w:hAnsi="Calibri" w:cs="Calibri"/>
                <w:sz w:val="24"/>
                <w:szCs w:val="24"/>
              </w:rPr>
              <w:t>)</w:t>
            </w:r>
          </w:p>
          <w:p w14:paraId="5D95E918" w14:textId="77777777" w:rsidR="001A010B" w:rsidRPr="001A010B" w:rsidRDefault="001A010B" w:rsidP="001A010B">
            <w:pPr>
              <w:spacing w:after="0"/>
              <w:ind w:left="34"/>
              <w:jc w:val="center"/>
              <w:rPr>
                <w:rFonts w:ascii="Calibri" w:eastAsia="Times New Roman" w:hAnsi="Calibri" w:cs="Calibri"/>
                <w:sz w:val="24"/>
                <w:szCs w:val="24"/>
              </w:rPr>
            </w:pPr>
          </w:p>
        </w:tc>
      </w:tr>
      <w:tr w:rsidR="001A010B" w:rsidRPr="001A010B" w14:paraId="6498FEB9" w14:textId="77777777" w:rsidTr="00631FC2">
        <w:tc>
          <w:tcPr>
            <w:tcW w:w="4962" w:type="dxa"/>
            <w:shd w:val="clear" w:color="auto" w:fill="auto"/>
          </w:tcPr>
          <w:p w14:paraId="5F47E00D" w14:textId="77777777" w:rsidR="001A010B" w:rsidRPr="001A010B" w:rsidRDefault="001A010B" w:rsidP="001A010B">
            <w:pPr>
              <w:spacing w:after="0"/>
              <w:jc w:val="both"/>
              <w:rPr>
                <w:rFonts w:ascii="Calibri" w:eastAsia="Times New Roman" w:hAnsi="Calibri" w:cs="Calibri"/>
                <w:sz w:val="24"/>
                <w:szCs w:val="24"/>
              </w:rPr>
            </w:pPr>
            <w:r w:rsidRPr="001A010B">
              <w:rPr>
                <w:rFonts w:ascii="Calibri" w:eastAsia="Times New Roman" w:hAnsi="Calibri" w:cs="Calibri"/>
                <w:sz w:val="24"/>
                <w:szCs w:val="24"/>
              </w:rPr>
              <w:t>All Recommendations – rolling average implementation rate.</w:t>
            </w:r>
          </w:p>
        </w:tc>
        <w:tc>
          <w:tcPr>
            <w:tcW w:w="1275" w:type="dxa"/>
            <w:shd w:val="clear" w:color="auto" w:fill="auto"/>
          </w:tcPr>
          <w:p w14:paraId="636B3FBE" w14:textId="165CDE03" w:rsidR="001A010B" w:rsidRPr="001A010B" w:rsidRDefault="00D62155" w:rsidP="001A010B">
            <w:pPr>
              <w:spacing w:after="0"/>
              <w:ind w:left="540" w:hanging="540"/>
              <w:jc w:val="center"/>
              <w:rPr>
                <w:rFonts w:ascii="Calibri" w:eastAsia="Times New Roman" w:hAnsi="Calibri" w:cs="Calibri"/>
                <w:sz w:val="24"/>
                <w:szCs w:val="24"/>
              </w:rPr>
            </w:pPr>
            <w:r>
              <w:rPr>
                <w:rFonts w:ascii="Calibri" w:eastAsia="Times New Roman" w:hAnsi="Calibri" w:cs="Calibri"/>
                <w:sz w:val="24"/>
                <w:szCs w:val="24"/>
              </w:rPr>
              <w:t>75%</w:t>
            </w:r>
          </w:p>
        </w:tc>
        <w:tc>
          <w:tcPr>
            <w:tcW w:w="2835" w:type="dxa"/>
            <w:shd w:val="clear" w:color="auto" w:fill="auto"/>
          </w:tcPr>
          <w:p w14:paraId="247940E1" w14:textId="403F0B81" w:rsidR="001A010B" w:rsidRPr="001A010B" w:rsidRDefault="0001320C" w:rsidP="001A010B">
            <w:pPr>
              <w:spacing w:after="0"/>
              <w:ind w:left="34"/>
              <w:jc w:val="center"/>
              <w:rPr>
                <w:rFonts w:ascii="Calibri" w:eastAsia="Times New Roman" w:hAnsi="Calibri" w:cs="Calibri"/>
                <w:sz w:val="24"/>
                <w:szCs w:val="24"/>
              </w:rPr>
            </w:pPr>
            <w:r>
              <w:rPr>
                <w:rFonts w:ascii="Calibri" w:eastAsia="Times New Roman" w:hAnsi="Calibri" w:cs="Calibri"/>
                <w:sz w:val="24"/>
                <w:szCs w:val="24"/>
              </w:rPr>
              <w:t>70</w:t>
            </w:r>
            <w:r w:rsidR="001A010B" w:rsidRPr="001A010B">
              <w:rPr>
                <w:rFonts w:ascii="Calibri" w:eastAsia="Times New Roman" w:hAnsi="Calibri" w:cs="Calibri"/>
                <w:sz w:val="24"/>
                <w:szCs w:val="24"/>
              </w:rPr>
              <w:t xml:space="preserve">% </w:t>
            </w:r>
          </w:p>
          <w:p w14:paraId="5ABABDF2" w14:textId="4BE0F45E" w:rsidR="001A010B" w:rsidRPr="001A010B" w:rsidRDefault="001A010B" w:rsidP="001A010B">
            <w:pPr>
              <w:spacing w:after="0"/>
              <w:ind w:left="34"/>
              <w:jc w:val="center"/>
              <w:rPr>
                <w:rFonts w:ascii="Calibri" w:eastAsia="Times New Roman" w:hAnsi="Calibri" w:cs="Calibri"/>
                <w:sz w:val="24"/>
                <w:szCs w:val="24"/>
              </w:rPr>
            </w:pPr>
            <w:r w:rsidRPr="001A010B">
              <w:rPr>
                <w:rFonts w:ascii="Calibri" w:eastAsia="Times New Roman" w:hAnsi="Calibri" w:cs="Calibri"/>
                <w:sz w:val="24"/>
                <w:szCs w:val="24"/>
              </w:rPr>
              <w:t>(at end of Q4 202</w:t>
            </w:r>
            <w:r w:rsidR="00D62155">
              <w:rPr>
                <w:rFonts w:ascii="Calibri" w:eastAsia="Times New Roman" w:hAnsi="Calibri" w:cs="Calibri"/>
                <w:sz w:val="24"/>
                <w:szCs w:val="24"/>
              </w:rPr>
              <w:t>3</w:t>
            </w:r>
            <w:r w:rsidRPr="001A010B">
              <w:rPr>
                <w:rFonts w:ascii="Calibri" w:eastAsia="Times New Roman" w:hAnsi="Calibri" w:cs="Calibri"/>
                <w:sz w:val="24"/>
                <w:szCs w:val="24"/>
              </w:rPr>
              <w:t>/2</w:t>
            </w:r>
            <w:r w:rsidR="00D62155">
              <w:rPr>
                <w:rFonts w:ascii="Calibri" w:eastAsia="Times New Roman" w:hAnsi="Calibri" w:cs="Calibri"/>
                <w:sz w:val="24"/>
                <w:szCs w:val="24"/>
              </w:rPr>
              <w:t>4</w:t>
            </w:r>
            <w:r w:rsidRPr="001A010B">
              <w:rPr>
                <w:rFonts w:ascii="Calibri" w:eastAsia="Times New Roman" w:hAnsi="Calibri" w:cs="Calibri"/>
                <w:sz w:val="24"/>
                <w:szCs w:val="24"/>
              </w:rPr>
              <w:t>)</w:t>
            </w:r>
          </w:p>
          <w:p w14:paraId="4915CE52" w14:textId="77777777" w:rsidR="001A010B" w:rsidRPr="001A010B" w:rsidRDefault="001A010B" w:rsidP="001A010B">
            <w:pPr>
              <w:spacing w:after="0"/>
              <w:ind w:left="34"/>
              <w:jc w:val="center"/>
              <w:rPr>
                <w:rFonts w:ascii="Calibri" w:eastAsia="Times New Roman" w:hAnsi="Calibri" w:cs="Calibri"/>
                <w:sz w:val="24"/>
                <w:szCs w:val="24"/>
              </w:rPr>
            </w:pPr>
          </w:p>
        </w:tc>
      </w:tr>
    </w:tbl>
    <w:p w14:paraId="7A9D3F51" w14:textId="79AC2EF4" w:rsidR="008160AD" w:rsidRDefault="008160AD" w:rsidP="00FD0A8A">
      <w:pPr>
        <w:spacing w:after="0"/>
        <w:rPr>
          <w:rFonts w:cstheme="minorHAnsi"/>
          <w:sz w:val="24"/>
          <w:szCs w:val="24"/>
        </w:rPr>
      </w:pPr>
    </w:p>
    <w:p w14:paraId="7D9309EC" w14:textId="77777777" w:rsidR="008160AD" w:rsidRPr="008160AD" w:rsidRDefault="008160AD" w:rsidP="00FD0A8A">
      <w:pPr>
        <w:pStyle w:val="Heading2"/>
        <w:spacing w:line="276" w:lineRule="auto"/>
      </w:pPr>
      <w:r w:rsidRPr="008160AD">
        <w:lastRenderedPageBreak/>
        <w:t xml:space="preserve">ANNUAL REPORT AND ACCOUNTS </w:t>
      </w:r>
    </w:p>
    <w:p w14:paraId="0CF09A8C" w14:textId="77777777" w:rsidR="008160AD" w:rsidRPr="008160AD" w:rsidRDefault="008160AD" w:rsidP="00FD0A8A">
      <w:pPr>
        <w:spacing w:after="0"/>
        <w:rPr>
          <w:rFonts w:cstheme="minorHAnsi"/>
          <w:sz w:val="24"/>
          <w:szCs w:val="24"/>
        </w:rPr>
      </w:pPr>
    </w:p>
    <w:p w14:paraId="0565B16C" w14:textId="2F4C7C61" w:rsidR="008160AD" w:rsidRPr="008160AD" w:rsidRDefault="00E14225" w:rsidP="00FD0A8A">
      <w:pPr>
        <w:spacing w:after="0"/>
        <w:ind w:left="357" w:hanging="357"/>
        <w:rPr>
          <w:rFonts w:cstheme="minorHAnsi"/>
          <w:sz w:val="24"/>
          <w:szCs w:val="24"/>
        </w:rPr>
      </w:pPr>
      <w:r>
        <w:rPr>
          <w:rFonts w:cstheme="minorHAnsi"/>
          <w:sz w:val="24"/>
          <w:szCs w:val="24"/>
        </w:rPr>
        <w:t>14</w:t>
      </w:r>
      <w:r w:rsidR="008160AD" w:rsidRPr="008160AD">
        <w:rPr>
          <w:rFonts w:cstheme="minorHAnsi"/>
          <w:sz w:val="24"/>
          <w:szCs w:val="24"/>
        </w:rPr>
        <w:t>.</w:t>
      </w:r>
      <w:r w:rsidR="008160AD" w:rsidRPr="008160AD">
        <w:rPr>
          <w:rFonts w:cstheme="minorHAnsi"/>
          <w:sz w:val="24"/>
          <w:szCs w:val="24"/>
        </w:rPr>
        <w:tab/>
        <w:t>The Ann</w:t>
      </w:r>
      <w:r w:rsidR="00852AB5">
        <w:rPr>
          <w:rFonts w:cstheme="minorHAnsi"/>
          <w:sz w:val="24"/>
          <w:szCs w:val="24"/>
        </w:rPr>
        <w:t>ual Report and Accounts</w:t>
      </w:r>
      <w:r w:rsidR="008160AD">
        <w:rPr>
          <w:rFonts w:cstheme="minorHAnsi"/>
          <w:sz w:val="24"/>
          <w:szCs w:val="24"/>
        </w:rPr>
        <w:t xml:space="preserve"> </w:t>
      </w:r>
      <w:r w:rsidR="00852AB5">
        <w:rPr>
          <w:rFonts w:cstheme="minorHAnsi"/>
          <w:sz w:val="24"/>
          <w:szCs w:val="24"/>
        </w:rPr>
        <w:t>were</w:t>
      </w:r>
      <w:r w:rsidR="008160AD" w:rsidRPr="008160AD">
        <w:rPr>
          <w:rFonts w:cstheme="minorHAnsi"/>
          <w:sz w:val="24"/>
          <w:szCs w:val="24"/>
        </w:rPr>
        <w:t xml:space="preserve"> submitted to the Audit an</w:t>
      </w:r>
      <w:r w:rsidR="00852AB5">
        <w:rPr>
          <w:rFonts w:cstheme="minorHAnsi"/>
          <w:sz w:val="24"/>
          <w:szCs w:val="24"/>
        </w:rPr>
        <w:t xml:space="preserve">d Risk Committee in </w:t>
      </w:r>
      <w:r w:rsidR="00EA36FF">
        <w:rPr>
          <w:rFonts w:cstheme="minorHAnsi"/>
          <w:sz w:val="24"/>
          <w:szCs w:val="24"/>
        </w:rPr>
        <w:t xml:space="preserve">November </w:t>
      </w:r>
      <w:r w:rsidR="00852AB5">
        <w:rPr>
          <w:rFonts w:cstheme="minorHAnsi"/>
          <w:sz w:val="24"/>
          <w:szCs w:val="24"/>
        </w:rPr>
        <w:t>202</w:t>
      </w:r>
      <w:r w:rsidR="00EA36FF">
        <w:rPr>
          <w:rFonts w:cstheme="minorHAnsi"/>
          <w:sz w:val="24"/>
          <w:szCs w:val="24"/>
        </w:rPr>
        <w:t>3</w:t>
      </w:r>
      <w:r w:rsidR="00852AB5">
        <w:rPr>
          <w:rFonts w:cstheme="minorHAnsi"/>
          <w:sz w:val="24"/>
          <w:szCs w:val="24"/>
        </w:rPr>
        <w:t xml:space="preserve">. </w:t>
      </w:r>
      <w:r w:rsidR="008160AD" w:rsidRPr="008160AD">
        <w:rPr>
          <w:rFonts w:cstheme="minorHAnsi"/>
          <w:sz w:val="24"/>
          <w:szCs w:val="24"/>
        </w:rPr>
        <w:t>The Committee was assured by</w:t>
      </w:r>
      <w:r w:rsidR="008160AD">
        <w:rPr>
          <w:rFonts w:cstheme="minorHAnsi"/>
          <w:sz w:val="24"/>
          <w:szCs w:val="24"/>
        </w:rPr>
        <w:t xml:space="preserve"> the information provided by NatureScot</w:t>
      </w:r>
      <w:r w:rsidR="008160AD" w:rsidRPr="008160AD">
        <w:rPr>
          <w:rFonts w:cstheme="minorHAnsi"/>
          <w:sz w:val="24"/>
          <w:szCs w:val="24"/>
        </w:rPr>
        <w:t>’s Finance Team and Audit Scotland</w:t>
      </w:r>
      <w:r w:rsidR="007A4643">
        <w:rPr>
          <w:rFonts w:cstheme="minorHAnsi"/>
          <w:sz w:val="24"/>
          <w:szCs w:val="24"/>
        </w:rPr>
        <w:t>. It</w:t>
      </w:r>
      <w:r w:rsidR="008160AD" w:rsidRPr="008160AD">
        <w:rPr>
          <w:rFonts w:cstheme="minorHAnsi"/>
          <w:sz w:val="24"/>
          <w:szCs w:val="24"/>
        </w:rPr>
        <w:t xml:space="preserve"> was content to recommend approval of the ‘Draft’ Ann</w:t>
      </w:r>
      <w:r w:rsidR="00852AB5">
        <w:rPr>
          <w:rFonts w:cstheme="minorHAnsi"/>
          <w:sz w:val="24"/>
          <w:szCs w:val="24"/>
        </w:rPr>
        <w:t>ual Report and Accounts for 202</w:t>
      </w:r>
      <w:r w:rsidR="00EA36FF">
        <w:rPr>
          <w:rFonts w:cstheme="minorHAnsi"/>
          <w:sz w:val="24"/>
          <w:szCs w:val="24"/>
        </w:rPr>
        <w:t>2</w:t>
      </w:r>
      <w:r w:rsidR="00852AB5">
        <w:rPr>
          <w:rFonts w:cstheme="minorHAnsi"/>
          <w:sz w:val="24"/>
          <w:szCs w:val="24"/>
        </w:rPr>
        <w:t>/2</w:t>
      </w:r>
      <w:r w:rsidR="00EA36FF">
        <w:rPr>
          <w:rFonts w:cstheme="minorHAnsi"/>
          <w:sz w:val="24"/>
          <w:szCs w:val="24"/>
        </w:rPr>
        <w:t>3</w:t>
      </w:r>
      <w:r w:rsidR="008160AD">
        <w:rPr>
          <w:rFonts w:cstheme="minorHAnsi"/>
          <w:sz w:val="24"/>
          <w:szCs w:val="24"/>
        </w:rPr>
        <w:t xml:space="preserve"> by the Chief Executive as NatureScot</w:t>
      </w:r>
      <w:r w:rsidR="008160AD" w:rsidRPr="008160AD">
        <w:rPr>
          <w:rFonts w:cstheme="minorHAnsi"/>
          <w:sz w:val="24"/>
          <w:szCs w:val="24"/>
        </w:rPr>
        <w:t xml:space="preserve">’s Accountable Officer. </w:t>
      </w:r>
    </w:p>
    <w:p w14:paraId="2954376E" w14:textId="77777777" w:rsidR="008160AD" w:rsidRPr="008160AD" w:rsidRDefault="008160AD" w:rsidP="00FD0A8A">
      <w:pPr>
        <w:spacing w:after="0"/>
        <w:ind w:left="357" w:hanging="357"/>
        <w:rPr>
          <w:rFonts w:cstheme="minorHAnsi"/>
          <w:sz w:val="24"/>
          <w:szCs w:val="24"/>
        </w:rPr>
      </w:pPr>
    </w:p>
    <w:p w14:paraId="18CE9F0B" w14:textId="77777777" w:rsidR="008160AD" w:rsidRPr="008160AD" w:rsidRDefault="008160AD" w:rsidP="00FD0A8A">
      <w:pPr>
        <w:pStyle w:val="Heading2"/>
        <w:spacing w:line="276" w:lineRule="auto"/>
      </w:pPr>
      <w:r w:rsidRPr="008160AD">
        <w:t xml:space="preserve">GOVERNANCE STATEMENT </w:t>
      </w:r>
    </w:p>
    <w:p w14:paraId="49B8235D" w14:textId="77777777" w:rsidR="008160AD" w:rsidRPr="008160AD" w:rsidRDefault="008160AD" w:rsidP="00FD0A8A">
      <w:pPr>
        <w:spacing w:after="0"/>
        <w:rPr>
          <w:rFonts w:cstheme="minorHAnsi"/>
          <w:sz w:val="24"/>
          <w:szCs w:val="24"/>
        </w:rPr>
      </w:pPr>
    </w:p>
    <w:p w14:paraId="383193BB" w14:textId="2BCBC67D" w:rsidR="008160AD" w:rsidRDefault="00E14225" w:rsidP="00FD0A8A">
      <w:pPr>
        <w:spacing w:after="0"/>
        <w:ind w:left="357" w:hanging="357"/>
        <w:rPr>
          <w:rFonts w:cstheme="minorHAnsi"/>
          <w:sz w:val="24"/>
          <w:szCs w:val="24"/>
        </w:rPr>
      </w:pPr>
      <w:r>
        <w:rPr>
          <w:rFonts w:cstheme="minorHAnsi"/>
          <w:sz w:val="24"/>
          <w:szCs w:val="24"/>
        </w:rPr>
        <w:t>15</w:t>
      </w:r>
      <w:r w:rsidR="008160AD" w:rsidRPr="008160AD">
        <w:rPr>
          <w:rFonts w:cstheme="minorHAnsi"/>
          <w:sz w:val="24"/>
          <w:szCs w:val="24"/>
        </w:rPr>
        <w:t>.</w:t>
      </w:r>
      <w:r w:rsidR="008160AD" w:rsidRPr="008160AD">
        <w:rPr>
          <w:rFonts w:cstheme="minorHAnsi"/>
          <w:sz w:val="24"/>
          <w:szCs w:val="24"/>
        </w:rPr>
        <w:tab/>
        <w:t xml:space="preserve">The </w:t>
      </w:r>
      <w:r w:rsidR="00843666">
        <w:rPr>
          <w:rFonts w:cstheme="minorHAnsi"/>
          <w:sz w:val="24"/>
          <w:szCs w:val="24"/>
        </w:rPr>
        <w:t>d</w:t>
      </w:r>
      <w:r w:rsidR="008160AD" w:rsidRPr="008160AD">
        <w:rPr>
          <w:rFonts w:cstheme="minorHAnsi"/>
          <w:sz w:val="24"/>
          <w:szCs w:val="24"/>
        </w:rPr>
        <w:t>raf</w:t>
      </w:r>
      <w:r w:rsidR="00FD0A8A">
        <w:rPr>
          <w:rFonts w:cstheme="minorHAnsi"/>
          <w:sz w:val="24"/>
          <w:szCs w:val="24"/>
        </w:rPr>
        <w:t>t Governance Statement for 202</w:t>
      </w:r>
      <w:r w:rsidR="00EA36FF">
        <w:rPr>
          <w:rFonts w:cstheme="minorHAnsi"/>
          <w:sz w:val="24"/>
          <w:szCs w:val="24"/>
        </w:rPr>
        <w:t>2</w:t>
      </w:r>
      <w:r w:rsidR="00FD0A8A">
        <w:rPr>
          <w:rFonts w:cstheme="minorHAnsi"/>
          <w:sz w:val="24"/>
          <w:szCs w:val="24"/>
        </w:rPr>
        <w:t>/2</w:t>
      </w:r>
      <w:r w:rsidR="00EA36FF">
        <w:rPr>
          <w:rFonts w:cstheme="minorHAnsi"/>
          <w:sz w:val="24"/>
          <w:szCs w:val="24"/>
        </w:rPr>
        <w:t>3</w:t>
      </w:r>
      <w:r w:rsidR="008160AD" w:rsidRPr="008160AD">
        <w:rPr>
          <w:rFonts w:cstheme="minorHAnsi"/>
          <w:sz w:val="24"/>
          <w:szCs w:val="24"/>
        </w:rPr>
        <w:t xml:space="preserve"> was presented to th</w:t>
      </w:r>
      <w:r w:rsidR="00852AB5">
        <w:rPr>
          <w:rFonts w:cstheme="minorHAnsi"/>
          <w:sz w:val="24"/>
          <w:szCs w:val="24"/>
        </w:rPr>
        <w:t xml:space="preserve">e Audit and Risk Committee in </w:t>
      </w:r>
      <w:r w:rsidR="00EA36FF">
        <w:rPr>
          <w:rFonts w:cstheme="minorHAnsi"/>
          <w:sz w:val="24"/>
          <w:szCs w:val="24"/>
        </w:rPr>
        <w:t>August</w:t>
      </w:r>
      <w:r w:rsidR="00852AB5">
        <w:rPr>
          <w:rFonts w:cstheme="minorHAnsi"/>
          <w:sz w:val="24"/>
          <w:szCs w:val="24"/>
        </w:rPr>
        <w:t xml:space="preserve"> 202</w:t>
      </w:r>
      <w:r w:rsidR="00EA36FF">
        <w:rPr>
          <w:rFonts w:cstheme="minorHAnsi"/>
          <w:sz w:val="24"/>
          <w:szCs w:val="24"/>
        </w:rPr>
        <w:t>3</w:t>
      </w:r>
      <w:r w:rsidR="006F3E87">
        <w:rPr>
          <w:rFonts w:cstheme="minorHAnsi"/>
          <w:sz w:val="24"/>
          <w:szCs w:val="24"/>
        </w:rPr>
        <w:t xml:space="preserve">. </w:t>
      </w:r>
      <w:r w:rsidR="008160AD" w:rsidRPr="008160AD">
        <w:rPr>
          <w:rFonts w:cstheme="minorHAnsi"/>
          <w:sz w:val="24"/>
          <w:szCs w:val="24"/>
        </w:rPr>
        <w:t>The Committee was assured by the information provided and concluded that the evidence adequately reflected the organisation’s governance arrangem</w:t>
      </w:r>
      <w:r w:rsidR="00852AB5">
        <w:rPr>
          <w:rFonts w:cstheme="minorHAnsi"/>
          <w:sz w:val="24"/>
          <w:szCs w:val="24"/>
        </w:rPr>
        <w:t>ents during 202</w:t>
      </w:r>
      <w:r w:rsidR="00EA36FF">
        <w:rPr>
          <w:rFonts w:cstheme="minorHAnsi"/>
          <w:sz w:val="24"/>
          <w:szCs w:val="24"/>
        </w:rPr>
        <w:t>2</w:t>
      </w:r>
      <w:r w:rsidR="00852AB5">
        <w:rPr>
          <w:rFonts w:cstheme="minorHAnsi"/>
          <w:sz w:val="24"/>
          <w:szCs w:val="24"/>
        </w:rPr>
        <w:t>/2</w:t>
      </w:r>
      <w:r w:rsidR="00EA36FF">
        <w:rPr>
          <w:rFonts w:cstheme="minorHAnsi"/>
          <w:sz w:val="24"/>
          <w:szCs w:val="24"/>
        </w:rPr>
        <w:t>3</w:t>
      </w:r>
      <w:r w:rsidR="008160AD" w:rsidRPr="008160AD">
        <w:rPr>
          <w:rFonts w:cstheme="minorHAnsi"/>
          <w:sz w:val="24"/>
          <w:szCs w:val="24"/>
        </w:rPr>
        <w:t xml:space="preserve">. </w:t>
      </w:r>
    </w:p>
    <w:p w14:paraId="6B9D2478" w14:textId="77777777" w:rsidR="00E8227C" w:rsidRDefault="00E8227C" w:rsidP="00EA36FF">
      <w:pPr>
        <w:spacing w:after="0"/>
        <w:rPr>
          <w:rFonts w:cstheme="minorHAnsi"/>
          <w:sz w:val="24"/>
          <w:szCs w:val="24"/>
        </w:rPr>
      </w:pPr>
    </w:p>
    <w:p w14:paraId="6885A26E" w14:textId="77777777" w:rsidR="008160AD" w:rsidRPr="008160AD" w:rsidRDefault="008160AD" w:rsidP="00FD0A8A">
      <w:pPr>
        <w:pStyle w:val="Heading2"/>
        <w:spacing w:line="276" w:lineRule="auto"/>
      </w:pPr>
      <w:r w:rsidRPr="008160AD">
        <w:t>RISK MANAGEMENT</w:t>
      </w:r>
    </w:p>
    <w:p w14:paraId="69B5387D" w14:textId="77777777" w:rsidR="008160AD" w:rsidRPr="008160AD" w:rsidRDefault="008160AD" w:rsidP="00FD0A8A">
      <w:pPr>
        <w:spacing w:after="0"/>
        <w:rPr>
          <w:rFonts w:cstheme="minorHAnsi"/>
          <w:sz w:val="24"/>
          <w:szCs w:val="24"/>
        </w:rPr>
      </w:pPr>
    </w:p>
    <w:p w14:paraId="68450E24" w14:textId="633CE7B7" w:rsidR="008160AD" w:rsidRDefault="00E14225" w:rsidP="00FD0A8A">
      <w:pPr>
        <w:spacing w:after="0"/>
        <w:ind w:left="357" w:hanging="357"/>
        <w:rPr>
          <w:rFonts w:cstheme="minorHAnsi"/>
          <w:sz w:val="24"/>
          <w:szCs w:val="24"/>
        </w:rPr>
      </w:pPr>
      <w:r>
        <w:rPr>
          <w:rFonts w:cstheme="minorHAnsi"/>
          <w:sz w:val="24"/>
          <w:szCs w:val="24"/>
        </w:rPr>
        <w:t>16</w:t>
      </w:r>
      <w:r w:rsidR="008160AD" w:rsidRPr="008160AD">
        <w:rPr>
          <w:rFonts w:cstheme="minorHAnsi"/>
          <w:sz w:val="24"/>
          <w:szCs w:val="24"/>
        </w:rPr>
        <w:t>.</w:t>
      </w:r>
      <w:r w:rsidR="008160AD" w:rsidRPr="008160AD">
        <w:rPr>
          <w:rFonts w:cstheme="minorHAnsi"/>
          <w:sz w:val="24"/>
          <w:szCs w:val="24"/>
        </w:rPr>
        <w:tab/>
        <w:t xml:space="preserve">The Audit and Risk Committee </w:t>
      </w:r>
      <w:r w:rsidR="00FD0A8A">
        <w:rPr>
          <w:rFonts w:cstheme="minorHAnsi"/>
          <w:sz w:val="24"/>
          <w:szCs w:val="24"/>
        </w:rPr>
        <w:t>discussed</w:t>
      </w:r>
      <w:r w:rsidR="001A79D3">
        <w:rPr>
          <w:rFonts w:cstheme="minorHAnsi"/>
          <w:sz w:val="24"/>
          <w:szCs w:val="24"/>
        </w:rPr>
        <w:t xml:space="preserve"> the</w:t>
      </w:r>
      <w:r w:rsidR="008160AD" w:rsidRPr="008160AD">
        <w:rPr>
          <w:rFonts w:cstheme="minorHAnsi"/>
          <w:sz w:val="24"/>
          <w:szCs w:val="24"/>
        </w:rPr>
        <w:t xml:space="preserve"> corporate ri</w:t>
      </w:r>
      <w:r w:rsidR="006F3E87">
        <w:rPr>
          <w:rFonts w:cstheme="minorHAnsi"/>
          <w:sz w:val="24"/>
          <w:szCs w:val="24"/>
        </w:rPr>
        <w:t>s</w:t>
      </w:r>
      <w:r w:rsidR="001A79D3">
        <w:rPr>
          <w:rFonts w:cstheme="minorHAnsi"/>
          <w:sz w:val="24"/>
          <w:szCs w:val="24"/>
        </w:rPr>
        <w:t xml:space="preserve">ks at the end of each quarter. </w:t>
      </w:r>
      <w:r w:rsidR="008160AD" w:rsidRPr="008160AD">
        <w:rPr>
          <w:rFonts w:cstheme="minorHAnsi"/>
          <w:sz w:val="24"/>
          <w:szCs w:val="24"/>
        </w:rPr>
        <w:t>The ARC is satisfied with the overall mana</w:t>
      </w:r>
      <w:r w:rsidR="008160AD">
        <w:rPr>
          <w:rFonts w:cstheme="minorHAnsi"/>
          <w:sz w:val="24"/>
          <w:szCs w:val="24"/>
        </w:rPr>
        <w:t>gement of risk within NatureScot</w:t>
      </w:r>
      <w:r w:rsidR="007A4643">
        <w:rPr>
          <w:rFonts w:cstheme="minorHAnsi"/>
          <w:sz w:val="24"/>
          <w:szCs w:val="24"/>
        </w:rPr>
        <w:t>. It</w:t>
      </w:r>
      <w:r w:rsidR="008160AD" w:rsidRPr="008160AD">
        <w:rPr>
          <w:rFonts w:cstheme="minorHAnsi"/>
          <w:sz w:val="24"/>
          <w:szCs w:val="24"/>
        </w:rPr>
        <w:t xml:space="preserve"> has continued to consider ‘deep dives’ looking specifically at those risks that have been static for some time. </w:t>
      </w:r>
      <w:r w:rsidR="00EA36FF">
        <w:rPr>
          <w:rFonts w:cstheme="minorHAnsi"/>
          <w:sz w:val="24"/>
          <w:szCs w:val="24"/>
        </w:rPr>
        <w:t>Horizon scanning is undertaken by the Senior Leadership Team in order to identify future risks and offer mitigation.</w:t>
      </w:r>
    </w:p>
    <w:p w14:paraId="6FCFA6A4" w14:textId="77777777" w:rsidR="00FD0A8A" w:rsidRPr="008160AD" w:rsidRDefault="00FD0A8A" w:rsidP="00FD0A8A">
      <w:pPr>
        <w:spacing w:after="0"/>
        <w:ind w:left="357" w:hanging="357"/>
        <w:rPr>
          <w:rFonts w:cstheme="minorHAnsi"/>
          <w:sz w:val="24"/>
          <w:szCs w:val="24"/>
        </w:rPr>
      </w:pPr>
    </w:p>
    <w:p w14:paraId="5B8E14A9" w14:textId="6C20181F" w:rsidR="001A79D3" w:rsidRDefault="00E14225" w:rsidP="00FD0A8A">
      <w:pPr>
        <w:spacing w:after="0"/>
        <w:ind w:left="357" w:hanging="357"/>
        <w:rPr>
          <w:rFonts w:cstheme="minorHAnsi"/>
          <w:sz w:val="24"/>
          <w:szCs w:val="24"/>
        </w:rPr>
      </w:pPr>
      <w:r>
        <w:rPr>
          <w:rFonts w:cstheme="minorHAnsi"/>
          <w:sz w:val="24"/>
          <w:szCs w:val="24"/>
        </w:rPr>
        <w:t>17</w:t>
      </w:r>
      <w:r w:rsidR="008160AD" w:rsidRPr="008160AD">
        <w:rPr>
          <w:rFonts w:cstheme="minorHAnsi"/>
          <w:sz w:val="24"/>
          <w:szCs w:val="24"/>
        </w:rPr>
        <w:t>.</w:t>
      </w:r>
      <w:r w:rsidR="008160AD" w:rsidRPr="008160AD">
        <w:rPr>
          <w:rFonts w:cstheme="minorHAnsi"/>
          <w:sz w:val="24"/>
          <w:szCs w:val="24"/>
        </w:rPr>
        <w:tab/>
        <w:t>Deep dives c</w:t>
      </w:r>
      <w:r w:rsidR="008160AD">
        <w:rPr>
          <w:rFonts w:cstheme="minorHAnsi"/>
          <w:sz w:val="24"/>
          <w:szCs w:val="24"/>
        </w:rPr>
        <w:t xml:space="preserve">onsidered </w:t>
      </w:r>
      <w:r w:rsidR="001A79D3">
        <w:rPr>
          <w:rFonts w:cstheme="minorHAnsi"/>
          <w:sz w:val="24"/>
          <w:szCs w:val="24"/>
        </w:rPr>
        <w:t>during 202</w:t>
      </w:r>
      <w:r w:rsidR="00EA36FF">
        <w:rPr>
          <w:rFonts w:cstheme="minorHAnsi"/>
          <w:sz w:val="24"/>
          <w:szCs w:val="24"/>
        </w:rPr>
        <w:t>3</w:t>
      </w:r>
      <w:r w:rsidR="001A79D3">
        <w:rPr>
          <w:rFonts w:cstheme="minorHAnsi"/>
          <w:sz w:val="24"/>
          <w:szCs w:val="24"/>
        </w:rPr>
        <w:t>/2</w:t>
      </w:r>
      <w:r w:rsidR="00EA36FF">
        <w:rPr>
          <w:rFonts w:cstheme="minorHAnsi"/>
          <w:sz w:val="24"/>
          <w:szCs w:val="24"/>
        </w:rPr>
        <w:t>4</w:t>
      </w:r>
      <w:r w:rsidR="001A79D3">
        <w:rPr>
          <w:rFonts w:cstheme="minorHAnsi"/>
          <w:sz w:val="24"/>
          <w:szCs w:val="24"/>
        </w:rPr>
        <w:t>:</w:t>
      </w:r>
    </w:p>
    <w:p w14:paraId="5763CBEA" w14:textId="77777777" w:rsidR="001A79D3" w:rsidRDefault="001A79D3" w:rsidP="00FD0A8A">
      <w:pPr>
        <w:spacing w:after="0"/>
        <w:ind w:left="357" w:hanging="357"/>
        <w:rPr>
          <w:rFonts w:cstheme="minorHAnsi"/>
          <w:sz w:val="24"/>
          <w:szCs w:val="24"/>
        </w:rPr>
      </w:pPr>
    </w:p>
    <w:p w14:paraId="736C9CFC" w14:textId="3D4B8002" w:rsidR="003069FE" w:rsidRPr="00EA36FF" w:rsidRDefault="00EA36FF" w:rsidP="00451C94">
      <w:pPr>
        <w:pStyle w:val="ListParagraph"/>
        <w:numPr>
          <w:ilvl w:val="0"/>
          <w:numId w:val="18"/>
        </w:numPr>
        <w:spacing w:after="0"/>
        <w:rPr>
          <w:rFonts w:cstheme="minorHAnsi"/>
          <w:sz w:val="24"/>
          <w:szCs w:val="24"/>
        </w:rPr>
      </w:pPr>
      <w:r w:rsidRPr="00C2248E">
        <w:rPr>
          <w:rFonts w:ascii="Calibri" w:hAnsi="Calibri" w:cs="Calibri"/>
          <w:sz w:val="24"/>
          <w:szCs w:val="24"/>
        </w:rPr>
        <w:t xml:space="preserve">Risk </w:t>
      </w:r>
      <w:r>
        <w:rPr>
          <w:rFonts w:ascii="Calibri" w:hAnsi="Calibri" w:cs="Calibri"/>
          <w:sz w:val="24"/>
          <w:szCs w:val="24"/>
        </w:rPr>
        <w:t>393 – Future Funding of NatureScot</w:t>
      </w:r>
    </w:p>
    <w:p w14:paraId="43A50B62" w14:textId="4D7FB56C" w:rsidR="00EA36FF" w:rsidRDefault="00094F17" w:rsidP="00451C94">
      <w:pPr>
        <w:pStyle w:val="ListParagraph"/>
        <w:numPr>
          <w:ilvl w:val="0"/>
          <w:numId w:val="18"/>
        </w:numPr>
        <w:spacing w:after="0"/>
        <w:rPr>
          <w:rFonts w:cstheme="minorHAnsi"/>
          <w:sz w:val="24"/>
          <w:szCs w:val="24"/>
        </w:rPr>
      </w:pPr>
      <w:r>
        <w:rPr>
          <w:rFonts w:cstheme="minorHAnsi"/>
          <w:sz w:val="24"/>
          <w:szCs w:val="24"/>
        </w:rPr>
        <w:t>Nature Finance</w:t>
      </w:r>
    </w:p>
    <w:p w14:paraId="3C3FF552" w14:textId="77777777" w:rsidR="00094F17" w:rsidRDefault="00094F17" w:rsidP="00094F17">
      <w:pPr>
        <w:spacing w:after="0"/>
        <w:rPr>
          <w:rFonts w:cstheme="minorHAnsi"/>
          <w:sz w:val="24"/>
          <w:szCs w:val="24"/>
        </w:rPr>
      </w:pPr>
    </w:p>
    <w:p w14:paraId="78DA1D6C" w14:textId="72332F1E" w:rsidR="00094F17" w:rsidRDefault="00094F17" w:rsidP="00094F17">
      <w:pPr>
        <w:spacing w:after="0"/>
        <w:rPr>
          <w:rFonts w:cstheme="minorHAnsi"/>
          <w:sz w:val="24"/>
          <w:szCs w:val="24"/>
        </w:rPr>
      </w:pPr>
      <w:r>
        <w:rPr>
          <w:rFonts w:cstheme="minorHAnsi"/>
          <w:sz w:val="24"/>
          <w:szCs w:val="24"/>
        </w:rPr>
        <w:t>Forthcoming deep dives are as follows:</w:t>
      </w:r>
    </w:p>
    <w:p w14:paraId="0A434DFF" w14:textId="77777777" w:rsidR="00094F17" w:rsidRDefault="00094F17" w:rsidP="00094F17">
      <w:pPr>
        <w:spacing w:after="0"/>
        <w:rPr>
          <w:rFonts w:cstheme="minorHAnsi"/>
          <w:sz w:val="24"/>
          <w:szCs w:val="24"/>
        </w:rPr>
      </w:pPr>
    </w:p>
    <w:p w14:paraId="3E80AFC0" w14:textId="0AB75FFE" w:rsidR="00094F17" w:rsidRPr="00094F17" w:rsidRDefault="00094F17" w:rsidP="00094F17">
      <w:pPr>
        <w:spacing w:after="0"/>
        <w:rPr>
          <w:rFonts w:cstheme="minorHAnsi"/>
          <w:sz w:val="24"/>
          <w:szCs w:val="24"/>
        </w:rPr>
      </w:pPr>
      <w:r>
        <w:rPr>
          <w:noProof/>
        </w:rPr>
        <w:drawing>
          <wp:inline distT="0" distB="0" distL="0" distR="0" wp14:anchorId="37EA579C" wp14:editId="35F94D29">
            <wp:extent cx="5731510" cy="2251075"/>
            <wp:effectExtent l="0" t="0" r="2540" b="0"/>
            <wp:docPr id="199375158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751583" name="Picture 1" descr="A screenshot of a computer&#10;&#10;Description automatically generated"/>
                    <pic:cNvPicPr/>
                  </pic:nvPicPr>
                  <pic:blipFill>
                    <a:blip r:embed="rId10"/>
                    <a:stretch>
                      <a:fillRect/>
                    </a:stretch>
                  </pic:blipFill>
                  <pic:spPr>
                    <a:xfrm>
                      <a:off x="0" y="0"/>
                      <a:ext cx="5731510" cy="2251075"/>
                    </a:xfrm>
                    <a:prstGeom prst="rect">
                      <a:avLst/>
                    </a:prstGeom>
                  </pic:spPr>
                </pic:pic>
              </a:graphicData>
            </a:graphic>
          </wp:inline>
        </w:drawing>
      </w:r>
    </w:p>
    <w:p w14:paraId="6C7D66DD" w14:textId="794E83B1" w:rsidR="008160AD" w:rsidRDefault="00E60F15" w:rsidP="00E60F15">
      <w:pPr>
        <w:spacing w:after="0"/>
        <w:ind w:left="357" w:hanging="357"/>
        <w:rPr>
          <w:rFonts w:cstheme="minorHAnsi"/>
          <w:sz w:val="24"/>
          <w:szCs w:val="24"/>
        </w:rPr>
      </w:pPr>
      <w:r>
        <w:rPr>
          <w:rFonts w:cstheme="minorHAnsi"/>
          <w:sz w:val="24"/>
          <w:szCs w:val="24"/>
        </w:rPr>
        <w:lastRenderedPageBreak/>
        <w:t>18.</w:t>
      </w:r>
      <w:r>
        <w:rPr>
          <w:rFonts w:cstheme="minorHAnsi"/>
          <w:sz w:val="24"/>
          <w:szCs w:val="24"/>
        </w:rPr>
        <w:tab/>
      </w:r>
      <w:r w:rsidR="005A0568">
        <w:rPr>
          <w:rFonts w:cstheme="minorHAnsi"/>
          <w:sz w:val="24"/>
          <w:szCs w:val="24"/>
        </w:rPr>
        <w:t>Operational deep dives are also being undertaken by the Health, Safety and Wellbeing Manager for consideration by the Committee:</w:t>
      </w:r>
    </w:p>
    <w:p w14:paraId="27F5C79F" w14:textId="77777777" w:rsidR="005A0568" w:rsidRDefault="005A0568" w:rsidP="00FD0A8A">
      <w:pPr>
        <w:spacing w:after="0"/>
        <w:ind w:left="357" w:hanging="357"/>
        <w:rPr>
          <w:rFonts w:cstheme="minorHAnsi"/>
          <w:sz w:val="24"/>
          <w:szCs w:val="24"/>
        </w:rPr>
      </w:pPr>
    </w:p>
    <w:p w14:paraId="0DBAC1DC" w14:textId="2AEB92EC" w:rsidR="005A0568" w:rsidRDefault="005A0568" w:rsidP="005A0568">
      <w:pPr>
        <w:pStyle w:val="ListParagraph"/>
        <w:numPr>
          <w:ilvl w:val="0"/>
          <w:numId w:val="43"/>
        </w:numPr>
        <w:spacing w:after="0"/>
        <w:rPr>
          <w:rFonts w:cstheme="minorHAnsi"/>
          <w:sz w:val="24"/>
          <w:szCs w:val="24"/>
        </w:rPr>
      </w:pPr>
      <w:r>
        <w:rPr>
          <w:rFonts w:cstheme="minorHAnsi"/>
          <w:sz w:val="24"/>
          <w:szCs w:val="24"/>
        </w:rPr>
        <w:t>Firearms (completed June 2023).</w:t>
      </w:r>
    </w:p>
    <w:p w14:paraId="363CBB4A" w14:textId="45E56E06" w:rsidR="005A0568" w:rsidRDefault="005A0568" w:rsidP="005A0568">
      <w:pPr>
        <w:pStyle w:val="ListParagraph"/>
        <w:numPr>
          <w:ilvl w:val="0"/>
          <w:numId w:val="43"/>
        </w:numPr>
        <w:spacing w:after="0"/>
        <w:rPr>
          <w:rFonts w:cstheme="minorHAnsi"/>
          <w:sz w:val="24"/>
          <w:szCs w:val="24"/>
        </w:rPr>
      </w:pPr>
      <w:r>
        <w:rPr>
          <w:rFonts w:cstheme="minorHAnsi"/>
          <w:sz w:val="24"/>
          <w:szCs w:val="24"/>
        </w:rPr>
        <w:t>Chainsaw Use (completed February 2024).</w:t>
      </w:r>
    </w:p>
    <w:p w14:paraId="265C0D78" w14:textId="4E5F827A" w:rsidR="005A0568" w:rsidRDefault="005A0568" w:rsidP="005A0568">
      <w:pPr>
        <w:pStyle w:val="ListParagraph"/>
        <w:numPr>
          <w:ilvl w:val="0"/>
          <w:numId w:val="43"/>
        </w:numPr>
        <w:spacing w:after="0"/>
        <w:rPr>
          <w:rFonts w:cstheme="minorHAnsi"/>
          <w:sz w:val="24"/>
          <w:szCs w:val="24"/>
        </w:rPr>
      </w:pPr>
      <w:r>
        <w:rPr>
          <w:rFonts w:cstheme="minorHAnsi"/>
          <w:sz w:val="24"/>
          <w:szCs w:val="24"/>
        </w:rPr>
        <w:t>Diving (to be completed by the end of May 2024).</w:t>
      </w:r>
    </w:p>
    <w:p w14:paraId="35227578" w14:textId="411D6886" w:rsidR="005A0568" w:rsidRDefault="005A0568" w:rsidP="005A0568">
      <w:pPr>
        <w:pStyle w:val="ListParagraph"/>
        <w:numPr>
          <w:ilvl w:val="0"/>
          <w:numId w:val="43"/>
        </w:numPr>
        <w:spacing w:after="0"/>
        <w:rPr>
          <w:rFonts w:cstheme="minorHAnsi"/>
          <w:sz w:val="24"/>
          <w:szCs w:val="24"/>
        </w:rPr>
      </w:pPr>
      <w:r>
        <w:rPr>
          <w:rFonts w:cstheme="minorHAnsi"/>
          <w:sz w:val="24"/>
          <w:szCs w:val="24"/>
        </w:rPr>
        <w:t>Boat Use (to be completed by the end of July 2024).</w:t>
      </w:r>
    </w:p>
    <w:p w14:paraId="63B039E2" w14:textId="203FAD3B" w:rsidR="005A0568" w:rsidRPr="005A0568" w:rsidRDefault="005A0568" w:rsidP="005A0568">
      <w:pPr>
        <w:pStyle w:val="ListParagraph"/>
        <w:numPr>
          <w:ilvl w:val="0"/>
          <w:numId w:val="43"/>
        </w:numPr>
        <w:spacing w:after="0"/>
        <w:rPr>
          <w:rFonts w:cstheme="minorHAnsi"/>
          <w:sz w:val="24"/>
          <w:szCs w:val="24"/>
        </w:rPr>
      </w:pPr>
      <w:r>
        <w:rPr>
          <w:rFonts w:cstheme="minorHAnsi"/>
          <w:sz w:val="24"/>
          <w:szCs w:val="24"/>
        </w:rPr>
        <w:t>Storage and Use of Flammable Substances (to be completed by the end of September 2024).</w:t>
      </w:r>
    </w:p>
    <w:p w14:paraId="67DBCBCA" w14:textId="77777777" w:rsidR="005A0568" w:rsidRPr="008160AD" w:rsidRDefault="005A0568" w:rsidP="00FD0A8A">
      <w:pPr>
        <w:spacing w:after="0"/>
        <w:ind w:left="357" w:hanging="357"/>
        <w:rPr>
          <w:rFonts w:cstheme="minorHAnsi"/>
          <w:sz w:val="24"/>
          <w:szCs w:val="24"/>
        </w:rPr>
      </w:pPr>
    </w:p>
    <w:p w14:paraId="360D327E" w14:textId="4D457670" w:rsidR="008160AD" w:rsidRDefault="00E14225" w:rsidP="00FD0A8A">
      <w:pPr>
        <w:spacing w:after="0"/>
        <w:ind w:left="357" w:hanging="357"/>
        <w:rPr>
          <w:rFonts w:cstheme="minorHAnsi"/>
          <w:sz w:val="24"/>
          <w:szCs w:val="24"/>
        </w:rPr>
      </w:pPr>
      <w:r>
        <w:rPr>
          <w:rFonts w:cstheme="minorHAnsi"/>
          <w:sz w:val="24"/>
          <w:szCs w:val="24"/>
        </w:rPr>
        <w:t>1</w:t>
      </w:r>
      <w:r w:rsidR="00E60F15">
        <w:rPr>
          <w:rFonts w:cstheme="minorHAnsi"/>
          <w:sz w:val="24"/>
          <w:szCs w:val="24"/>
        </w:rPr>
        <w:t>9</w:t>
      </w:r>
      <w:r w:rsidR="008160AD" w:rsidRPr="008160AD">
        <w:rPr>
          <w:rFonts w:cstheme="minorHAnsi"/>
          <w:sz w:val="24"/>
          <w:szCs w:val="24"/>
        </w:rPr>
        <w:t>.</w:t>
      </w:r>
      <w:r w:rsidR="008160AD" w:rsidRPr="008160AD">
        <w:rPr>
          <w:rFonts w:cstheme="minorHAnsi"/>
          <w:sz w:val="24"/>
          <w:szCs w:val="24"/>
        </w:rPr>
        <w:tab/>
        <w:t>The Audit and Risk Committee received the Annual</w:t>
      </w:r>
      <w:r w:rsidR="001A79D3">
        <w:rPr>
          <w:rFonts w:cstheme="minorHAnsi"/>
          <w:sz w:val="24"/>
          <w:szCs w:val="24"/>
        </w:rPr>
        <w:t xml:space="preserve"> Risk Management Review for 202</w:t>
      </w:r>
      <w:r w:rsidR="000E2B2A">
        <w:rPr>
          <w:rFonts w:cstheme="minorHAnsi"/>
          <w:sz w:val="24"/>
          <w:szCs w:val="24"/>
        </w:rPr>
        <w:t>3</w:t>
      </w:r>
      <w:r w:rsidR="001A79D3">
        <w:rPr>
          <w:rFonts w:cstheme="minorHAnsi"/>
          <w:sz w:val="24"/>
          <w:szCs w:val="24"/>
        </w:rPr>
        <w:t>/2</w:t>
      </w:r>
      <w:r w:rsidR="000E2B2A">
        <w:rPr>
          <w:rFonts w:cstheme="minorHAnsi"/>
          <w:sz w:val="24"/>
          <w:szCs w:val="24"/>
        </w:rPr>
        <w:t>4</w:t>
      </w:r>
      <w:r w:rsidR="008160AD">
        <w:rPr>
          <w:rFonts w:cstheme="minorHAnsi"/>
          <w:sz w:val="24"/>
          <w:szCs w:val="24"/>
        </w:rPr>
        <w:t xml:space="preserve"> and </w:t>
      </w:r>
      <w:r w:rsidR="001A79D3">
        <w:rPr>
          <w:rFonts w:cstheme="minorHAnsi"/>
          <w:sz w:val="24"/>
          <w:szCs w:val="24"/>
        </w:rPr>
        <w:t>Risk Management Action Plan 202</w:t>
      </w:r>
      <w:r w:rsidR="000E2B2A">
        <w:rPr>
          <w:rFonts w:cstheme="minorHAnsi"/>
          <w:sz w:val="24"/>
          <w:szCs w:val="24"/>
        </w:rPr>
        <w:t>3</w:t>
      </w:r>
      <w:r w:rsidR="001A79D3">
        <w:rPr>
          <w:rFonts w:cstheme="minorHAnsi"/>
          <w:sz w:val="24"/>
          <w:szCs w:val="24"/>
        </w:rPr>
        <w:t>/2</w:t>
      </w:r>
      <w:r w:rsidR="000E2B2A">
        <w:rPr>
          <w:rFonts w:cstheme="minorHAnsi"/>
          <w:sz w:val="24"/>
          <w:szCs w:val="24"/>
        </w:rPr>
        <w:t>4</w:t>
      </w:r>
      <w:r w:rsidR="008160AD">
        <w:rPr>
          <w:rFonts w:cstheme="minorHAnsi"/>
          <w:sz w:val="24"/>
          <w:szCs w:val="24"/>
        </w:rPr>
        <w:t xml:space="preserve"> at its meeting </w:t>
      </w:r>
      <w:r w:rsidR="00DE526F">
        <w:rPr>
          <w:rFonts w:cstheme="minorHAnsi"/>
          <w:sz w:val="24"/>
          <w:szCs w:val="24"/>
        </w:rPr>
        <w:t>on 09</w:t>
      </w:r>
      <w:r w:rsidR="001A79D3">
        <w:rPr>
          <w:rFonts w:cstheme="minorHAnsi"/>
          <w:sz w:val="24"/>
          <w:szCs w:val="24"/>
        </w:rPr>
        <w:t xml:space="preserve"> May 202</w:t>
      </w:r>
      <w:r w:rsidR="000E2B2A">
        <w:rPr>
          <w:rFonts w:cstheme="minorHAnsi"/>
          <w:sz w:val="24"/>
          <w:szCs w:val="24"/>
        </w:rPr>
        <w:t>4</w:t>
      </w:r>
      <w:r w:rsidR="008160AD" w:rsidRPr="008160AD">
        <w:rPr>
          <w:rFonts w:cstheme="minorHAnsi"/>
          <w:sz w:val="24"/>
          <w:szCs w:val="24"/>
        </w:rPr>
        <w:t xml:space="preserve">. </w:t>
      </w:r>
      <w:r w:rsidR="00E80278">
        <w:rPr>
          <w:rFonts w:cstheme="minorHAnsi"/>
          <w:sz w:val="24"/>
          <w:szCs w:val="24"/>
        </w:rPr>
        <w:t>At the time of writing, t</w:t>
      </w:r>
      <w:r w:rsidR="008160AD" w:rsidRPr="008160AD">
        <w:rPr>
          <w:rFonts w:cstheme="minorHAnsi"/>
          <w:sz w:val="24"/>
          <w:szCs w:val="24"/>
        </w:rPr>
        <w:t>he Committee</w:t>
      </w:r>
      <w:r w:rsidR="00DE526F">
        <w:rPr>
          <w:rFonts w:cstheme="minorHAnsi"/>
          <w:sz w:val="24"/>
          <w:szCs w:val="24"/>
        </w:rPr>
        <w:t xml:space="preserve"> are expected to</w:t>
      </w:r>
      <w:r w:rsidR="008160AD" w:rsidRPr="008160AD">
        <w:rPr>
          <w:rFonts w:cstheme="minorHAnsi"/>
          <w:sz w:val="24"/>
          <w:szCs w:val="24"/>
        </w:rPr>
        <w:t xml:space="preserve"> endorse the Risk</w:t>
      </w:r>
      <w:r w:rsidR="001A79D3">
        <w:rPr>
          <w:rFonts w:cstheme="minorHAnsi"/>
          <w:sz w:val="24"/>
          <w:szCs w:val="24"/>
        </w:rPr>
        <w:t xml:space="preserve"> Management Action Plan for 202</w:t>
      </w:r>
      <w:r w:rsidR="00E80278">
        <w:rPr>
          <w:rFonts w:cstheme="minorHAnsi"/>
          <w:sz w:val="24"/>
          <w:szCs w:val="24"/>
        </w:rPr>
        <w:t>4</w:t>
      </w:r>
      <w:r w:rsidR="001A79D3">
        <w:rPr>
          <w:rFonts w:cstheme="minorHAnsi"/>
          <w:sz w:val="24"/>
          <w:szCs w:val="24"/>
        </w:rPr>
        <w:t>/2</w:t>
      </w:r>
      <w:r w:rsidR="00E80278">
        <w:rPr>
          <w:rFonts w:cstheme="minorHAnsi"/>
          <w:sz w:val="24"/>
          <w:szCs w:val="24"/>
        </w:rPr>
        <w:t>5</w:t>
      </w:r>
      <w:r w:rsidR="008160AD" w:rsidRPr="008160AD">
        <w:rPr>
          <w:rFonts w:cstheme="minorHAnsi"/>
          <w:sz w:val="24"/>
          <w:szCs w:val="24"/>
        </w:rPr>
        <w:t xml:space="preserve"> </w:t>
      </w:r>
      <w:r w:rsidR="001A79D3">
        <w:rPr>
          <w:rFonts w:cstheme="minorHAnsi"/>
          <w:sz w:val="24"/>
          <w:szCs w:val="24"/>
        </w:rPr>
        <w:t>and discuss the 3 initial actions recorded.</w:t>
      </w:r>
    </w:p>
    <w:p w14:paraId="48B9098E" w14:textId="5B0D9283" w:rsidR="00715ED8" w:rsidRPr="00451C94" w:rsidRDefault="00715ED8" w:rsidP="00FD0A8A">
      <w:pPr>
        <w:autoSpaceDE w:val="0"/>
        <w:autoSpaceDN w:val="0"/>
        <w:adjustRightInd w:val="0"/>
        <w:spacing w:after="0"/>
        <w:rPr>
          <w:rFonts w:cstheme="minorHAnsi"/>
          <w:color w:val="000000"/>
          <w:sz w:val="24"/>
          <w:szCs w:val="24"/>
        </w:rPr>
      </w:pPr>
    </w:p>
    <w:p w14:paraId="32BA8BE0" w14:textId="5FDCD472" w:rsidR="005E2ECC" w:rsidRPr="005E2ECC" w:rsidRDefault="00E60F15" w:rsidP="00FD0A8A">
      <w:pPr>
        <w:spacing w:after="0"/>
        <w:ind w:left="357" w:hanging="357"/>
        <w:rPr>
          <w:rFonts w:cstheme="minorHAnsi"/>
          <w:sz w:val="24"/>
          <w:szCs w:val="24"/>
        </w:rPr>
      </w:pPr>
      <w:r>
        <w:rPr>
          <w:rFonts w:cstheme="minorHAnsi"/>
          <w:sz w:val="24"/>
          <w:szCs w:val="24"/>
        </w:rPr>
        <w:t>20</w:t>
      </w:r>
      <w:r w:rsidR="005E2ECC" w:rsidRPr="005E2ECC">
        <w:rPr>
          <w:rFonts w:cstheme="minorHAnsi"/>
          <w:sz w:val="24"/>
          <w:szCs w:val="24"/>
        </w:rPr>
        <w:t>.</w:t>
      </w:r>
      <w:r w:rsidR="005E2ECC">
        <w:rPr>
          <w:rFonts w:cstheme="minorHAnsi"/>
          <w:sz w:val="24"/>
          <w:szCs w:val="24"/>
        </w:rPr>
        <w:tab/>
        <w:t>Members</w:t>
      </w:r>
      <w:r w:rsidR="005C7C69">
        <w:rPr>
          <w:rFonts w:cstheme="minorHAnsi"/>
          <w:sz w:val="24"/>
          <w:szCs w:val="24"/>
        </w:rPr>
        <w:t>, as well as the full Board</w:t>
      </w:r>
      <w:r w:rsidR="005E2ECC">
        <w:rPr>
          <w:rFonts w:cstheme="minorHAnsi"/>
          <w:sz w:val="24"/>
          <w:szCs w:val="24"/>
        </w:rPr>
        <w:t xml:space="preserve"> have</w:t>
      </w:r>
      <w:r w:rsidR="00FD0A8A">
        <w:rPr>
          <w:rFonts w:cstheme="minorHAnsi"/>
          <w:sz w:val="24"/>
          <w:szCs w:val="24"/>
        </w:rPr>
        <w:t xml:space="preserve"> closely monitored progress on</w:t>
      </w:r>
      <w:r w:rsidR="005E2ECC">
        <w:rPr>
          <w:rFonts w:cstheme="minorHAnsi"/>
          <w:sz w:val="24"/>
          <w:szCs w:val="24"/>
        </w:rPr>
        <w:t xml:space="preserve"> the Structural Funds risk, receiving updates both at their meetings and outwith. </w:t>
      </w:r>
    </w:p>
    <w:p w14:paraId="1D8318D7" w14:textId="77777777" w:rsidR="005E2ECC" w:rsidRDefault="005E2ECC" w:rsidP="00FD0A8A">
      <w:pPr>
        <w:autoSpaceDE w:val="0"/>
        <w:autoSpaceDN w:val="0"/>
        <w:adjustRightInd w:val="0"/>
        <w:spacing w:after="0"/>
        <w:rPr>
          <w:rFonts w:cstheme="minorHAnsi"/>
          <w:b/>
          <w:color w:val="000000"/>
          <w:sz w:val="24"/>
          <w:szCs w:val="24"/>
        </w:rPr>
      </w:pPr>
    </w:p>
    <w:p w14:paraId="3356EBE8" w14:textId="770CFFAA" w:rsidR="003F0386" w:rsidRPr="003F0386" w:rsidRDefault="006A1A0A" w:rsidP="00FD0A8A">
      <w:pPr>
        <w:pStyle w:val="Heading2"/>
        <w:spacing w:line="276" w:lineRule="auto"/>
      </w:pPr>
      <w:r>
        <w:t xml:space="preserve">INFORMATION MANAGEMENT &amp; </w:t>
      </w:r>
      <w:r w:rsidR="003F0386" w:rsidRPr="003F0386">
        <w:t>CYBER SECURITY</w:t>
      </w:r>
    </w:p>
    <w:p w14:paraId="28A4FED8" w14:textId="77777777" w:rsidR="003F0386" w:rsidRPr="00AF36CB" w:rsidRDefault="003F0386" w:rsidP="00FD0A8A">
      <w:pPr>
        <w:autoSpaceDE w:val="0"/>
        <w:autoSpaceDN w:val="0"/>
        <w:adjustRightInd w:val="0"/>
        <w:spacing w:after="0"/>
        <w:ind w:left="374" w:hanging="374"/>
        <w:rPr>
          <w:rFonts w:ascii="Arial" w:hAnsi="Arial" w:cs="Arial"/>
          <w:b/>
          <w:color w:val="000000"/>
          <w:sz w:val="24"/>
          <w:szCs w:val="24"/>
        </w:rPr>
      </w:pPr>
    </w:p>
    <w:p w14:paraId="5CD17CF5" w14:textId="6353485F" w:rsidR="003F0386" w:rsidRDefault="00E14225" w:rsidP="00FD0A8A">
      <w:pPr>
        <w:autoSpaceDE w:val="0"/>
        <w:autoSpaceDN w:val="0"/>
        <w:adjustRightInd w:val="0"/>
        <w:spacing w:after="0"/>
        <w:ind w:left="357" w:hanging="357"/>
        <w:rPr>
          <w:rFonts w:cstheme="minorHAnsi"/>
          <w:color w:val="000000"/>
          <w:sz w:val="24"/>
          <w:szCs w:val="24"/>
        </w:rPr>
      </w:pPr>
      <w:r>
        <w:rPr>
          <w:rFonts w:cstheme="minorHAnsi"/>
          <w:color w:val="000000"/>
          <w:sz w:val="24"/>
          <w:szCs w:val="24"/>
        </w:rPr>
        <w:t>2</w:t>
      </w:r>
      <w:r w:rsidR="00E60F15">
        <w:rPr>
          <w:rFonts w:cstheme="minorHAnsi"/>
          <w:color w:val="000000"/>
          <w:sz w:val="24"/>
          <w:szCs w:val="24"/>
        </w:rPr>
        <w:t>1</w:t>
      </w:r>
      <w:r w:rsidR="003F0386" w:rsidRPr="003F0386">
        <w:rPr>
          <w:rFonts w:cstheme="minorHAnsi"/>
          <w:color w:val="000000"/>
          <w:sz w:val="24"/>
          <w:szCs w:val="24"/>
        </w:rPr>
        <w:t>.</w:t>
      </w:r>
      <w:r w:rsidR="003F0386" w:rsidRPr="003F0386">
        <w:rPr>
          <w:rFonts w:cstheme="minorHAnsi"/>
          <w:color w:val="000000"/>
          <w:sz w:val="24"/>
          <w:szCs w:val="24"/>
        </w:rPr>
        <w:tab/>
        <w:t xml:space="preserve">The Audit and Risk Committee is provided with quarterly </w:t>
      </w:r>
      <w:r w:rsidR="00037B39">
        <w:rPr>
          <w:rFonts w:cstheme="minorHAnsi"/>
          <w:color w:val="000000"/>
          <w:sz w:val="24"/>
          <w:szCs w:val="24"/>
        </w:rPr>
        <w:t>Security Threat Assessment</w:t>
      </w:r>
      <w:r w:rsidR="003F0386">
        <w:rPr>
          <w:rFonts w:cstheme="minorHAnsi"/>
          <w:color w:val="000000"/>
          <w:sz w:val="24"/>
          <w:szCs w:val="24"/>
        </w:rPr>
        <w:t xml:space="preserve"> reports, </w:t>
      </w:r>
      <w:r w:rsidR="005E2ECC">
        <w:rPr>
          <w:rFonts w:cstheme="minorHAnsi"/>
          <w:color w:val="000000"/>
          <w:sz w:val="24"/>
          <w:szCs w:val="24"/>
        </w:rPr>
        <w:t>as well as</w:t>
      </w:r>
      <w:r w:rsidR="003F0386" w:rsidRPr="003F0386">
        <w:rPr>
          <w:rFonts w:cstheme="minorHAnsi"/>
          <w:color w:val="000000"/>
          <w:sz w:val="24"/>
          <w:szCs w:val="24"/>
        </w:rPr>
        <w:t xml:space="preserve"> </w:t>
      </w:r>
      <w:r w:rsidR="00037B39">
        <w:rPr>
          <w:rFonts w:cstheme="minorHAnsi"/>
          <w:color w:val="000000"/>
          <w:sz w:val="24"/>
          <w:szCs w:val="24"/>
        </w:rPr>
        <w:t xml:space="preserve">alternating quarterly </w:t>
      </w:r>
      <w:r w:rsidR="003F0386">
        <w:rPr>
          <w:rFonts w:cstheme="minorHAnsi"/>
          <w:color w:val="000000"/>
          <w:sz w:val="24"/>
          <w:szCs w:val="24"/>
        </w:rPr>
        <w:t xml:space="preserve">Information Management </w:t>
      </w:r>
      <w:r w:rsidR="00037B39">
        <w:rPr>
          <w:rFonts w:cstheme="minorHAnsi"/>
          <w:color w:val="000000"/>
          <w:sz w:val="24"/>
          <w:szCs w:val="24"/>
        </w:rPr>
        <w:t>and Information &amp; Cyber Security reports</w:t>
      </w:r>
      <w:r w:rsidR="003F0386">
        <w:rPr>
          <w:rFonts w:cstheme="minorHAnsi"/>
          <w:color w:val="000000"/>
          <w:sz w:val="24"/>
          <w:szCs w:val="24"/>
        </w:rPr>
        <w:t>.</w:t>
      </w:r>
      <w:r w:rsidR="00E13D18">
        <w:rPr>
          <w:rFonts w:cstheme="minorHAnsi"/>
          <w:color w:val="000000"/>
          <w:sz w:val="24"/>
          <w:szCs w:val="24"/>
        </w:rPr>
        <w:t xml:space="preserve">  </w:t>
      </w:r>
      <w:r w:rsidR="003F0386" w:rsidRPr="003F0386">
        <w:rPr>
          <w:rFonts w:cstheme="minorHAnsi"/>
          <w:color w:val="000000"/>
          <w:sz w:val="24"/>
          <w:szCs w:val="24"/>
        </w:rPr>
        <w:t xml:space="preserve">These reports provide details on </w:t>
      </w:r>
      <w:r w:rsidR="00037B39">
        <w:rPr>
          <w:rFonts w:cstheme="minorHAnsi"/>
          <w:color w:val="000000"/>
          <w:sz w:val="24"/>
          <w:szCs w:val="24"/>
        </w:rPr>
        <w:t xml:space="preserve">information management risks and issues; </w:t>
      </w:r>
      <w:r w:rsidR="003F0386" w:rsidRPr="003F0386">
        <w:rPr>
          <w:rFonts w:cstheme="minorHAnsi"/>
          <w:color w:val="000000"/>
          <w:sz w:val="24"/>
          <w:szCs w:val="24"/>
        </w:rPr>
        <w:t>the level of virus activity and cyber sec</w:t>
      </w:r>
      <w:r w:rsidR="003F0386">
        <w:rPr>
          <w:rFonts w:cstheme="minorHAnsi"/>
          <w:color w:val="000000"/>
          <w:sz w:val="24"/>
          <w:szCs w:val="24"/>
        </w:rPr>
        <w:t>urity threats experienced by NatureScot</w:t>
      </w:r>
      <w:r w:rsidR="00037B39">
        <w:rPr>
          <w:rFonts w:cstheme="minorHAnsi"/>
          <w:color w:val="000000"/>
          <w:sz w:val="24"/>
          <w:szCs w:val="24"/>
        </w:rPr>
        <w:t>;</w:t>
      </w:r>
      <w:r w:rsidR="003F0386" w:rsidRPr="003F0386">
        <w:rPr>
          <w:rFonts w:cstheme="minorHAnsi"/>
          <w:color w:val="000000"/>
          <w:sz w:val="24"/>
          <w:szCs w:val="24"/>
        </w:rPr>
        <w:t xml:space="preserve"> and resultant remedial or pre-emptive action during each quarter. </w:t>
      </w:r>
    </w:p>
    <w:p w14:paraId="209E6D3D" w14:textId="77777777" w:rsidR="0038596E" w:rsidRPr="003F0386" w:rsidRDefault="0038596E" w:rsidP="00FD0A8A">
      <w:pPr>
        <w:autoSpaceDE w:val="0"/>
        <w:autoSpaceDN w:val="0"/>
        <w:adjustRightInd w:val="0"/>
        <w:spacing w:after="0"/>
        <w:ind w:left="357" w:hanging="357"/>
        <w:rPr>
          <w:rFonts w:cstheme="minorHAnsi"/>
          <w:b/>
          <w:color w:val="000000"/>
          <w:sz w:val="24"/>
          <w:szCs w:val="24"/>
        </w:rPr>
      </w:pPr>
    </w:p>
    <w:p w14:paraId="4F6787EE" w14:textId="2EA8FBDA" w:rsidR="00451C94" w:rsidRDefault="00E14225" w:rsidP="00FD0A8A">
      <w:pPr>
        <w:spacing w:after="0"/>
        <w:ind w:left="357" w:hanging="357"/>
        <w:rPr>
          <w:rFonts w:cstheme="minorHAnsi"/>
          <w:sz w:val="24"/>
          <w:szCs w:val="24"/>
        </w:rPr>
      </w:pPr>
      <w:r>
        <w:rPr>
          <w:rFonts w:cstheme="minorHAnsi"/>
          <w:sz w:val="24"/>
          <w:szCs w:val="24"/>
        </w:rPr>
        <w:t>2</w:t>
      </w:r>
      <w:r w:rsidR="00E60F15">
        <w:rPr>
          <w:rFonts w:cstheme="minorHAnsi"/>
          <w:sz w:val="24"/>
          <w:szCs w:val="24"/>
        </w:rPr>
        <w:t>2</w:t>
      </w:r>
      <w:r w:rsidR="003F0386" w:rsidRPr="003F0386">
        <w:rPr>
          <w:rFonts w:cstheme="minorHAnsi"/>
          <w:sz w:val="24"/>
          <w:szCs w:val="24"/>
        </w:rPr>
        <w:t>.</w:t>
      </w:r>
      <w:r w:rsidR="003F0386" w:rsidRPr="003F0386">
        <w:rPr>
          <w:rFonts w:cstheme="minorHAnsi"/>
          <w:sz w:val="24"/>
          <w:szCs w:val="24"/>
        </w:rPr>
        <w:tab/>
        <w:t>The curren</w:t>
      </w:r>
      <w:r w:rsidR="003F0386">
        <w:rPr>
          <w:rFonts w:cstheme="minorHAnsi"/>
          <w:sz w:val="24"/>
          <w:szCs w:val="24"/>
        </w:rPr>
        <w:t xml:space="preserve">t </w:t>
      </w:r>
      <w:r w:rsidR="00037B39">
        <w:rPr>
          <w:rFonts w:cstheme="minorHAnsi"/>
          <w:sz w:val="24"/>
          <w:szCs w:val="24"/>
        </w:rPr>
        <w:t xml:space="preserve">cyber security </w:t>
      </w:r>
      <w:r w:rsidR="003F0386">
        <w:rPr>
          <w:rFonts w:cstheme="minorHAnsi"/>
          <w:sz w:val="24"/>
          <w:szCs w:val="24"/>
        </w:rPr>
        <w:t xml:space="preserve">risk to </w:t>
      </w:r>
      <w:r w:rsidR="00E13D18">
        <w:rPr>
          <w:rFonts w:cstheme="minorHAnsi"/>
          <w:sz w:val="24"/>
          <w:szCs w:val="24"/>
        </w:rPr>
        <w:t xml:space="preserve">NatureScot is currently </w:t>
      </w:r>
      <w:r w:rsidR="00037B39">
        <w:rPr>
          <w:rFonts w:cstheme="minorHAnsi"/>
          <w:sz w:val="24"/>
          <w:szCs w:val="24"/>
        </w:rPr>
        <w:t xml:space="preserve">judged as </w:t>
      </w:r>
      <w:r w:rsidR="00A534FE">
        <w:rPr>
          <w:rFonts w:cstheme="minorHAnsi"/>
          <w:sz w:val="24"/>
          <w:szCs w:val="24"/>
        </w:rPr>
        <w:t>High</w:t>
      </w:r>
      <w:r w:rsidR="00E13D18">
        <w:rPr>
          <w:rFonts w:cstheme="minorHAnsi"/>
          <w:sz w:val="24"/>
          <w:szCs w:val="24"/>
        </w:rPr>
        <w:t xml:space="preserve">. </w:t>
      </w:r>
      <w:r w:rsidR="003F0386">
        <w:rPr>
          <w:rFonts w:cstheme="minorHAnsi"/>
          <w:sz w:val="24"/>
          <w:szCs w:val="24"/>
        </w:rPr>
        <w:t>NatureScot</w:t>
      </w:r>
      <w:r w:rsidR="003F0386" w:rsidRPr="003F0386">
        <w:rPr>
          <w:rFonts w:cstheme="minorHAnsi"/>
          <w:sz w:val="24"/>
          <w:szCs w:val="24"/>
        </w:rPr>
        <w:t xml:space="preserve">’s current </w:t>
      </w:r>
      <w:r w:rsidR="00F860BE">
        <w:rPr>
          <w:rFonts w:cstheme="minorHAnsi"/>
          <w:sz w:val="24"/>
          <w:szCs w:val="24"/>
        </w:rPr>
        <w:t>Information Management and Cyber S</w:t>
      </w:r>
      <w:r w:rsidR="003F0386" w:rsidRPr="003F0386">
        <w:rPr>
          <w:rFonts w:cstheme="minorHAnsi"/>
          <w:sz w:val="24"/>
          <w:szCs w:val="24"/>
        </w:rPr>
        <w:t xml:space="preserve">ecurity controls continue to provide an adequate level of security, with </w:t>
      </w:r>
      <w:r w:rsidR="001C1FA7">
        <w:rPr>
          <w:rFonts w:cstheme="minorHAnsi"/>
          <w:sz w:val="24"/>
          <w:szCs w:val="24"/>
        </w:rPr>
        <w:t>4</w:t>
      </w:r>
      <w:r w:rsidR="003F0386" w:rsidRPr="003F0386">
        <w:rPr>
          <w:rFonts w:cstheme="minorHAnsi"/>
          <w:sz w:val="24"/>
          <w:szCs w:val="24"/>
        </w:rPr>
        <w:t xml:space="preserve"> out of </w:t>
      </w:r>
      <w:r w:rsidR="004E3E79">
        <w:rPr>
          <w:rFonts w:cstheme="minorHAnsi"/>
          <w:sz w:val="24"/>
          <w:szCs w:val="24"/>
        </w:rPr>
        <w:t>6 compliance areas rated green.</w:t>
      </w:r>
    </w:p>
    <w:p w14:paraId="1341F16D" w14:textId="0FFBEA6E" w:rsidR="003F0386" w:rsidRPr="003F0386" w:rsidRDefault="00F860BE" w:rsidP="00FD0A8A">
      <w:pPr>
        <w:pStyle w:val="Heading2"/>
        <w:spacing w:line="276" w:lineRule="auto"/>
      </w:pPr>
      <w:r>
        <w:t xml:space="preserve">ISO27001, </w:t>
      </w:r>
      <w:r w:rsidR="00046E7D">
        <w:t xml:space="preserve">CYBER ESSENTIALS AND </w:t>
      </w:r>
      <w:r w:rsidR="003F0386" w:rsidRPr="003F0386">
        <w:t>CYBER ESSENTIALS</w:t>
      </w:r>
      <w:r w:rsidR="003F0386">
        <w:t xml:space="preserve"> PLUS</w:t>
      </w:r>
      <w:r w:rsidR="003F0386" w:rsidRPr="003F0386">
        <w:t xml:space="preserve"> CERTIFICATION</w:t>
      </w:r>
    </w:p>
    <w:p w14:paraId="63D79DB7" w14:textId="77777777" w:rsidR="003F0386" w:rsidRPr="003F0386" w:rsidRDefault="003F0386" w:rsidP="00FD0A8A">
      <w:pPr>
        <w:autoSpaceDE w:val="0"/>
        <w:autoSpaceDN w:val="0"/>
        <w:adjustRightInd w:val="0"/>
        <w:spacing w:after="0"/>
        <w:ind w:left="357" w:hanging="357"/>
        <w:rPr>
          <w:rFonts w:cstheme="minorHAnsi"/>
          <w:b/>
          <w:color w:val="000000"/>
          <w:sz w:val="24"/>
          <w:szCs w:val="24"/>
        </w:rPr>
      </w:pPr>
    </w:p>
    <w:p w14:paraId="2B2099A4" w14:textId="6593ABF7" w:rsidR="003F0386" w:rsidRDefault="00E14225" w:rsidP="00C82687">
      <w:pPr>
        <w:autoSpaceDE w:val="0"/>
        <w:autoSpaceDN w:val="0"/>
        <w:adjustRightInd w:val="0"/>
        <w:spacing w:after="0"/>
        <w:ind w:left="357" w:hanging="357"/>
        <w:rPr>
          <w:rFonts w:cstheme="minorHAnsi"/>
          <w:color w:val="000000"/>
          <w:sz w:val="24"/>
          <w:szCs w:val="24"/>
        </w:rPr>
      </w:pPr>
      <w:r>
        <w:rPr>
          <w:rFonts w:cstheme="minorHAnsi"/>
          <w:color w:val="000000"/>
          <w:sz w:val="24"/>
          <w:szCs w:val="24"/>
        </w:rPr>
        <w:t>2</w:t>
      </w:r>
      <w:r w:rsidR="00E60F15">
        <w:rPr>
          <w:rFonts w:cstheme="minorHAnsi"/>
          <w:color w:val="000000"/>
          <w:sz w:val="24"/>
          <w:szCs w:val="24"/>
        </w:rPr>
        <w:t>3</w:t>
      </w:r>
      <w:r w:rsidR="003F0386" w:rsidRPr="003F0386">
        <w:rPr>
          <w:rFonts w:cstheme="minorHAnsi"/>
          <w:color w:val="000000"/>
          <w:sz w:val="24"/>
          <w:szCs w:val="24"/>
        </w:rPr>
        <w:t>.</w:t>
      </w:r>
      <w:r w:rsidR="003F0386" w:rsidRPr="003F0386">
        <w:rPr>
          <w:rFonts w:cstheme="minorHAnsi"/>
          <w:color w:val="000000"/>
          <w:sz w:val="24"/>
          <w:szCs w:val="24"/>
        </w:rPr>
        <w:tab/>
      </w:r>
      <w:r w:rsidR="003B32BF">
        <w:rPr>
          <w:rFonts w:cstheme="minorHAnsi"/>
          <w:color w:val="000000"/>
          <w:sz w:val="24"/>
          <w:szCs w:val="24"/>
        </w:rPr>
        <w:t xml:space="preserve">ARC was updated that it was planned </w:t>
      </w:r>
      <w:r w:rsidR="00A1572E" w:rsidRPr="00A1572E">
        <w:rPr>
          <w:rFonts w:cstheme="minorHAnsi"/>
          <w:color w:val="000000"/>
          <w:sz w:val="24"/>
          <w:szCs w:val="24"/>
        </w:rPr>
        <w:t xml:space="preserve">to start our review of ISO27001 alignment, but instead the NatureScot environment </w:t>
      </w:r>
      <w:r w:rsidR="003B32BF">
        <w:rPr>
          <w:rFonts w:cstheme="minorHAnsi"/>
          <w:color w:val="000000"/>
          <w:sz w:val="24"/>
          <w:szCs w:val="24"/>
        </w:rPr>
        <w:t xml:space="preserve">will now be reviewed </w:t>
      </w:r>
      <w:r w:rsidR="00A1572E" w:rsidRPr="00A1572E">
        <w:rPr>
          <w:rFonts w:cstheme="minorHAnsi"/>
          <w:color w:val="000000"/>
          <w:sz w:val="24"/>
          <w:szCs w:val="24"/>
        </w:rPr>
        <w:t>against the ISO27032 Cyber Security standard</w:t>
      </w:r>
      <w:r w:rsidR="003B32BF">
        <w:rPr>
          <w:rFonts w:cstheme="minorHAnsi"/>
          <w:color w:val="000000"/>
          <w:sz w:val="24"/>
          <w:szCs w:val="24"/>
        </w:rPr>
        <w:t>. This</w:t>
      </w:r>
      <w:r w:rsidR="00A1572E" w:rsidRPr="00A1572E">
        <w:rPr>
          <w:rFonts w:cstheme="minorHAnsi"/>
          <w:color w:val="000000"/>
          <w:sz w:val="24"/>
          <w:szCs w:val="24"/>
        </w:rPr>
        <w:t xml:space="preserve"> will take place in Q1 2024/25.</w:t>
      </w:r>
    </w:p>
    <w:p w14:paraId="655347B7" w14:textId="32A338BE" w:rsidR="00FE1E89" w:rsidRDefault="00FE1E89" w:rsidP="00FE1E89">
      <w:pPr>
        <w:autoSpaceDE w:val="0"/>
        <w:autoSpaceDN w:val="0"/>
        <w:adjustRightInd w:val="0"/>
        <w:spacing w:after="0"/>
        <w:ind w:left="374" w:hanging="17"/>
        <w:rPr>
          <w:rFonts w:cstheme="minorHAnsi"/>
          <w:color w:val="000000"/>
          <w:sz w:val="24"/>
          <w:szCs w:val="24"/>
        </w:rPr>
      </w:pPr>
    </w:p>
    <w:p w14:paraId="3AC49BA7" w14:textId="4137FC71" w:rsidR="00FE1E89" w:rsidRDefault="00FE1E89" w:rsidP="00FE1E89">
      <w:pPr>
        <w:autoSpaceDE w:val="0"/>
        <w:autoSpaceDN w:val="0"/>
        <w:adjustRightInd w:val="0"/>
        <w:spacing w:after="0"/>
        <w:ind w:left="357" w:hanging="357"/>
        <w:rPr>
          <w:rFonts w:cstheme="minorHAnsi"/>
          <w:color w:val="000000"/>
          <w:sz w:val="24"/>
          <w:szCs w:val="24"/>
        </w:rPr>
      </w:pPr>
      <w:r>
        <w:rPr>
          <w:rFonts w:cstheme="minorHAnsi"/>
          <w:color w:val="000000"/>
          <w:sz w:val="24"/>
          <w:szCs w:val="24"/>
        </w:rPr>
        <w:t>2</w:t>
      </w:r>
      <w:r w:rsidR="00E60F15">
        <w:rPr>
          <w:rFonts w:cstheme="minorHAnsi"/>
          <w:color w:val="000000"/>
          <w:sz w:val="24"/>
          <w:szCs w:val="24"/>
        </w:rPr>
        <w:t>4</w:t>
      </w:r>
      <w:r>
        <w:rPr>
          <w:rFonts w:cstheme="minorHAnsi"/>
          <w:color w:val="000000"/>
          <w:sz w:val="24"/>
          <w:szCs w:val="24"/>
        </w:rPr>
        <w:t>.</w:t>
      </w:r>
      <w:r>
        <w:rPr>
          <w:rFonts w:cstheme="minorHAnsi"/>
          <w:color w:val="000000"/>
          <w:sz w:val="24"/>
          <w:szCs w:val="24"/>
        </w:rPr>
        <w:tab/>
      </w:r>
      <w:r w:rsidR="003B32BF">
        <w:rPr>
          <w:rFonts w:cstheme="minorHAnsi"/>
          <w:color w:val="000000"/>
          <w:sz w:val="24"/>
          <w:szCs w:val="24"/>
        </w:rPr>
        <w:t xml:space="preserve">ARC noted that </w:t>
      </w:r>
      <w:r w:rsidR="00A1572E">
        <w:rPr>
          <w:rFonts w:cstheme="minorHAnsi"/>
          <w:color w:val="000000"/>
          <w:sz w:val="24"/>
          <w:szCs w:val="24"/>
        </w:rPr>
        <w:t xml:space="preserve">NatureScot achieved Cyber Essentials in October 2023 however </w:t>
      </w:r>
      <w:r w:rsidR="003B32BF">
        <w:rPr>
          <w:rFonts w:cstheme="minorHAnsi"/>
          <w:color w:val="000000"/>
          <w:sz w:val="24"/>
          <w:szCs w:val="24"/>
        </w:rPr>
        <w:t>it was</w:t>
      </w:r>
      <w:r w:rsidR="00A1572E" w:rsidRPr="00A1572E">
        <w:rPr>
          <w:rFonts w:cstheme="minorHAnsi"/>
          <w:color w:val="000000"/>
          <w:sz w:val="24"/>
          <w:szCs w:val="24"/>
        </w:rPr>
        <w:t xml:space="preserve"> not </w:t>
      </w:r>
      <w:r w:rsidR="003B32BF">
        <w:rPr>
          <w:rFonts w:cstheme="minorHAnsi"/>
          <w:color w:val="000000"/>
          <w:sz w:val="24"/>
          <w:szCs w:val="24"/>
        </w:rPr>
        <w:t>possible</w:t>
      </w:r>
      <w:r w:rsidR="00A1572E" w:rsidRPr="00A1572E">
        <w:rPr>
          <w:rFonts w:cstheme="minorHAnsi"/>
          <w:color w:val="000000"/>
          <w:sz w:val="24"/>
          <w:szCs w:val="24"/>
        </w:rPr>
        <w:t xml:space="preserve"> to take forward Cyber Essentials Plus as not </w:t>
      </w:r>
      <w:r w:rsidR="003B32BF" w:rsidRPr="00A1572E">
        <w:rPr>
          <w:rFonts w:cstheme="minorHAnsi"/>
          <w:color w:val="000000"/>
          <w:sz w:val="24"/>
          <w:szCs w:val="24"/>
        </w:rPr>
        <w:t>all</w:t>
      </w:r>
      <w:r w:rsidR="00A1572E" w:rsidRPr="00A1572E">
        <w:rPr>
          <w:rFonts w:cstheme="minorHAnsi"/>
          <w:color w:val="000000"/>
          <w:sz w:val="24"/>
          <w:szCs w:val="24"/>
        </w:rPr>
        <w:t xml:space="preserve"> Android phones are managed under In-Tune (security and patching tool from Microsoft) as yet.</w:t>
      </w:r>
      <w:r w:rsidR="00A1572E">
        <w:rPr>
          <w:rFonts w:cstheme="minorHAnsi"/>
          <w:color w:val="000000"/>
          <w:sz w:val="24"/>
          <w:szCs w:val="24"/>
        </w:rPr>
        <w:t xml:space="preserve"> </w:t>
      </w:r>
      <w:r w:rsidRPr="00FE1E89">
        <w:rPr>
          <w:rFonts w:cstheme="minorHAnsi"/>
          <w:color w:val="000000"/>
          <w:sz w:val="24"/>
          <w:szCs w:val="24"/>
        </w:rPr>
        <w:t xml:space="preserve">Cyber </w:t>
      </w:r>
      <w:r w:rsidR="00A1572E">
        <w:rPr>
          <w:rFonts w:cstheme="minorHAnsi"/>
          <w:color w:val="000000"/>
          <w:sz w:val="24"/>
          <w:szCs w:val="24"/>
        </w:rPr>
        <w:t xml:space="preserve">Essentials </w:t>
      </w:r>
      <w:r w:rsidRPr="00FE1E89">
        <w:rPr>
          <w:rFonts w:cstheme="minorHAnsi"/>
          <w:color w:val="000000"/>
          <w:sz w:val="24"/>
          <w:szCs w:val="24"/>
        </w:rPr>
        <w:t>Plus</w:t>
      </w:r>
      <w:r w:rsidR="00A1572E">
        <w:rPr>
          <w:rFonts w:cstheme="minorHAnsi"/>
          <w:color w:val="000000"/>
          <w:sz w:val="24"/>
          <w:szCs w:val="24"/>
        </w:rPr>
        <w:t xml:space="preserve"> re-certification is planned for 2024</w:t>
      </w:r>
      <w:r w:rsidRPr="00FE1E89">
        <w:rPr>
          <w:rFonts w:cstheme="minorHAnsi"/>
          <w:color w:val="000000"/>
          <w:sz w:val="24"/>
          <w:szCs w:val="24"/>
        </w:rPr>
        <w:t xml:space="preserve">. </w:t>
      </w:r>
    </w:p>
    <w:p w14:paraId="0670E598" w14:textId="77777777" w:rsidR="00FE1E89" w:rsidRPr="003F0386" w:rsidRDefault="00FE1E89" w:rsidP="00FE1E89">
      <w:pPr>
        <w:autoSpaceDE w:val="0"/>
        <w:autoSpaceDN w:val="0"/>
        <w:adjustRightInd w:val="0"/>
        <w:spacing w:after="0"/>
        <w:ind w:left="374" w:hanging="17"/>
        <w:rPr>
          <w:rFonts w:cstheme="minorHAnsi"/>
          <w:color w:val="000000"/>
          <w:sz w:val="24"/>
          <w:szCs w:val="24"/>
        </w:rPr>
      </w:pPr>
    </w:p>
    <w:p w14:paraId="1CB2F6A8" w14:textId="77777777" w:rsidR="003F0386" w:rsidRPr="003F0386" w:rsidRDefault="003F0386" w:rsidP="00FD0A8A">
      <w:pPr>
        <w:pStyle w:val="Heading2"/>
        <w:spacing w:line="276" w:lineRule="auto"/>
      </w:pPr>
      <w:r w:rsidRPr="003F0386">
        <w:lastRenderedPageBreak/>
        <w:t xml:space="preserve">GENERAL DATA PROTECTION REGULATION </w:t>
      </w:r>
    </w:p>
    <w:p w14:paraId="18AD48DA" w14:textId="77777777" w:rsidR="003F0386" w:rsidRPr="003F0386" w:rsidRDefault="003F0386" w:rsidP="00FD0A8A">
      <w:pPr>
        <w:autoSpaceDE w:val="0"/>
        <w:autoSpaceDN w:val="0"/>
        <w:adjustRightInd w:val="0"/>
        <w:spacing w:after="0"/>
        <w:ind w:left="374" w:hanging="357"/>
        <w:rPr>
          <w:rFonts w:cstheme="minorHAnsi"/>
          <w:color w:val="000000"/>
          <w:sz w:val="24"/>
          <w:szCs w:val="24"/>
        </w:rPr>
      </w:pPr>
    </w:p>
    <w:p w14:paraId="4AD0810D" w14:textId="6BF4200E" w:rsidR="003F0386" w:rsidRDefault="00E14225" w:rsidP="00FD0A8A">
      <w:pPr>
        <w:autoSpaceDE w:val="0"/>
        <w:autoSpaceDN w:val="0"/>
        <w:adjustRightInd w:val="0"/>
        <w:spacing w:after="0"/>
        <w:ind w:left="374" w:hanging="357"/>
        <w:rPr>
          <w:rFonts w:cstheme="minorHAnsi"/>
          <w:color w:val="000000"/>
          <w:sz w:val="24"/>
          <w:szCs w:val="24"/>
        </w:rPr>
      </w:pPr>
      <w:r>
        <w:rPr>
          <w:rFonts w:cstheme="minorHAnsi"/>
          <w:color w:val="000000"/>
          <w:sz w:val="24"/>
          <w:szCs w:val="24"/>
        </w:rPr>
        <w:t>2</w:t>
      </w:r>
      <w:r w:rsidR="00E60F15">
        <w:rPr>
          <w:rFonts w:cstheme="minorHAnsi"/>
          <w:color w:val="000000"/>
          <w:sz w:val="24"/>
          <w:szCs w:val="24"/>
        </w:rPr>
        <w:t>5</w:t>
      </w:r>
      <w:r w:rsidR="003F0386" w:rsidRPr="003F0386">
        <w:rPr>
          <w:rFonts w:cstheme="minorHAnsi"/>
          <w:color w:val="000000"/>
          <w:sz w:val="24"/>
          <w:szCs w:val="24"/>
        </w:rPr>
        <w:t>.</w:t>
      </w:r>
      <w:r w:rsidR="003F0386" w:rsidRPr="003F0386">
        <w:rPr>
          <w:rFonts w:cstheme="minorHAnsi"/>
          <w:color w:val="000000"/>
          <w:sz w:val="24"/>
          <w:szCs w:val="24"/>
        </w:rPr>
        <w:tab/>
      </w:r>
      <w:r w:rsidRPr="00E14225">
        <w:rPr>
          <w:rFonts w:cstheme="minorHAnsi"/>
          <w:color w:val="000000"/>
          <w:sz w:val="24"/>
          <w:szCs w:val="24"/>
        </w:rPr>
        <w:t xml:space="preserve">The ARC has maintained visibility of data protection issues and NatureScot continues to monitor compliance with the GDPR. </w:t>
      </w:r>
      <w:r w:rsidR="007D6B5A">
        <w:rPr>
          <w:rFonts w:cstheme="minorHAnsi"/>
          <w:color w:val="000000"/>
          <w:sz w:val="24"/>
          <w:szCs w:val="24"/>
        </w:rPr>
        <w:t>Colleagues</w:t>
      </w:r>
      <w:r w:rsidR="00FE1E89" w:rsidRPr="00FE1E89">
        <w:rPr>
          <w:rFonts w:cstheme="minorHAnsi"/>
          <w:color w:val="000000"/>
          <w:sz w:val="24"/>
          <w:szCs w:val="24"/>
        </w:rPr>
        <w:t xml:space="preserve"> continu</w:t>
      </w:r>
      <w:r w:rsidR="007D6B5A">
        <w:rPr>
          <w:rFonts w:cstheme="minorHAnsi"/>
          <w:color w:val="000000"/>
          <w:sz w:val="24"/>
          <w:szCs w:val="24"/>
        </w:rPr>
        <w:t>e</w:t>
      </w:r>
      <w:r w:rsidR="00FE1E89" w:rsidRPr="00FE1E89">
        <w:rPr>
          <w:rFonts w:cstheme="minorHAnsi"/>
          <w:color w:val="000000"/>
          <w:sz w:val="24"/>
          <w:szCs w:val="24"/>
        </w:rPr>
        <w:t xml:space="preserve"> to embed </w:t>
      </w:r>
      <w:r w:rsidR="007D6B5A">
        <w:rPr>
          <w:rFonts w:cstheme="minorHAnsi"/>
          <w:color w:val="000000"/>
          <w:sz w:val="24"/>
          <w:szCs w:val="24"/>
        </w:rPr>
        <w:t>the</w:t>
      </w:r>
      <w:r w:rsidR="00FE1E89" w:rsidRPr="00FE1E89">
        <w:rPr>
          <w:rFonts w:cstheme="minorHAnsi"/>
          <w:color w:val="000000"/>
          <w:sz w:val="24"/>
          <w:szCs w:val="24"/>
        </w:rPr>
        <w:t xml:space="preserve"> approach of working collaboratively with project teams on finding creative solutions to data protection that enhance privacy as well as deliver project outcomes. </w:t>
      </w:r>
      <w:r w:rsidR="007D6B5A">
        <w:rPr>
          <w:rFonts w:cstheme="minorHAnsi"/>
          <w:color w:val="000000"/>
          <w:sz w:val="24"/>
          <w:szCs w:val="24"/>
        </w:rPr>
        <w:t>Colleagues also</w:t>
      </w:r>
      <w:r w:rsidR="00FE1E89" w:rsidRPr="00FE1E89">
        <w:rPr>
          <w:rFonts w:cstheme="minorHAnsi"/>
          <w:color w:val="000000"/>
          <w:sz w:val="24"/>
          <w:szCs w:val="24"/>
        </w:rPr>
        <w:t xml:space="preserve"> continue to support the roll out of the M365 project</w:t>
      </w:r>
      <w:r w:rsidR="00FE1E89">
        <w:rPr>
          <w:rFonts w:cstheme="minorHAnsi"/>
          <w:color w:val="000000"/>
          <w:sz w:val="24"/>
          <w:szCs w:val="24"/>
        </w:rPr>
        <w:t>.</w:t>
      </w:r>
      <w:r w:rsidR="00FE1E89" w:rsidRPr="00FE1E89">
        <w:rPr>
          <w:rFonts w:cstheme="minorHAnsi"/>
          <w:color w:val="000000"/>
          <w:sz w:val="24"/>
          <w:szCs w:val="24"/>
        </w:rPr>
        <w:t xml:space="preserve"> </w:t>
      </w:r>
      <w:r w:rsidR="003B32BF">
        <w:rPr>
          <w:rFonts w:cstheme="minorHAnsi"/>
          <w:color w:val="000000"/>
          <w:sz w:val="24"/>
          <w:szCs w:val="24"/>
        </w:rPr>
        <w:t>E</w:t>
      </w:r>
      <w:r w:rsidR="00FE1E89" w:rsidRPr="00FE1E89">
        <w:rPr>
          <w:rFonts w:cstheme="minorHAnsi"/>
          <w:color w:val="000000"/>
          <w:sz w:val="24"/>
          <w:szCs w:val="24"/>
        </w:rPr>
        <w:t xml:space="preserve">xpected changes to the UK GDPR and Data Protection Act (2018) proposed by the UK Government mean that </w:t>
      </w:r>
      <w:r w:rsidR="003B32BF">
        <w:rPr>
          <w:rFonts w:cstheme="minorHAnsi"/>
          <w:color w:val="000000"/>
          <w:sz w:val="24"/>
          <w:szCs w:val="24"/>
        </w:rPr>
        <w:t>some</w:t>
      </w:r>
      <w:r w:rsidR="00FE1E89" w:rsidRPr="00FE1E89">
        <w:rPr>
          <w:rFonts w:cstheme="minorHAnsi"/>
          <w:color w:val="000000"/>
          <w:sz w:val="24"/>
          <w:szCs w:val="24"/>
        </w:rPr>
        <w:t xml:space="preserve"> policy work is likely to need reworked in the coming months.</w:t>
      </w:r>
    </w:p>
    <w:p w14:paraId="3FD3EC7D" w14:textId="77777777" w:rsidR="00E14225" w:rsidRDefault="00E14225" w:rsidP="00FD0A8A">
      <w:pPr>
        <w:autoSpaceDE w:val="0"/>
        <w:autoSpaceDN w:val="0"/>
        <w:adjustRightInd w:val="0"/>
        <w:spacing w:after="0"/>
        <w:ind w:left="374" w:hanging="357"/>
        <w:rPr>
          <w:rFonts w:cstheme="minorHAnsi"/>
          <w:color w:val="000000"/>
          <w:sz w:val="24"/>
          <w:szCs w:val="24"/>
        </w:rPr>
      </w:pPr>
    </w:p>
    <w:p w14:paraId="534E850E" w14:textId="3B42BCF5" w:rsidR="003A4359" w:rsidRPr="003A4359" w:rsidRDefault="003A4359" w:rsidP="00FD0A8A">
      <w:pPr>
        <w:pStyle w:val="Heading2"/>
        <w:spacing w:line="276" w:lineRule="auto"/>
      </w:pPr>
      <w:r w:rsidRPr="003A4359">
        <w:t>MID-YEAR FINANCIAL REPORT</w:t>
      </w:r>
    </w:p>
    <w:p w14:paraId="0653505E" w14:textId="77777777" w:rsidR="003A4359" w:rsidRDefault="003A4359" w:rsidP="00FD0A8A">
      <w:pPr>
        <w:spacing w:after="0"/>
        <w:ind w:left="374" w:hanging="357"/>
        <w:rPr>
          <w:rFonts w:cstheme="minorHAnsi"/>
          <w:color w:val="000000"/>
          <w:sz w:val="24"/>
          <w:szCs w:val="24"/>
        </w:rPr>
      </w:pPr>
    </w:p>
    <w:p w14:paraId="453ED74D" w14:textId="06FC92A8" w:rsidR="003A4359" w:rsidRDefault="00E14225" w:rsidP="00FD0A8A">
      <w:pPr>
        <w:spacing w:after="0"/>
        <w:ind w:left="374" w:hanging="357"/>
        <w:rPr>
          <w:rFonts w:cstheme="minorHAnsi"/>
          <w:color w:val="000000"/>
          <w:sz w:val="24"/>
          <w:szCs w:val="24"/>
        </w:rPr>
      </w:pPr>
      <w:r>
        <w:rPr>
          <w:rFonts w:cstheme="minorHAnsi"/>
          <w:color w:val="000000"/>
          <w:sz w:val="24"/>
          <w:szCs w:val="24"/>
        </w:rPr>
        <w:t>2</w:t>
      </w:r>
      <w:r w:rsidR="00E60F15">
        <w:rPr>
          <w:rFonts w:cstheme="minorHAnsi"/>
          <w:color w:val="000000"/>
          <w:sz w:val="24"/>
          <w:szCs w:val="24"/>
        </w:rPr>
        <w:t>6</w:t>
      </w:r>
      <w:r w:rsidR="003A4359">
        <w:rPr>
          <w:rFonts w:cstheme="minorHAnsi"/>
          <w:color w:val="000000"/>
          <w:sz w:val="24"/>
          <w:szCs w:val="24"/>
        </w:rPr>
        <w:t>.</w:t>
      </w:r>
      <w:r w:rsidR="003A4359">
        <w:rPr>
          <w:rFonts w:cstheme="minorHAnsi"/>
          <w:color w:val="000000"/>
          <w:sz w:val="24"/>
          <w:szCs w:val="24"/>
        </w:rPr>
        <w:tab/>
      </w:r>
      <w:r w:rsidR="003A4359" w:rsidRPr="003A4359">
        <w:rPr>
          <w:rFonts w:cstheme="minorHAnsi"/>
          <w:color w:val="000000"/>
          <w:sz w:val="24"/>
          <w:szCs w:val="24"/>
        </w:rPr>
        <w:t>The Audit and Risk Committee received its mid-</w:t>
      </w:r>
      <w:r w:rsidR="005E2ECC">
        <w:rPr>
          <w:rFonts w:cstheme="minorHAnsi"/>
          <w:color w:val="000000"/>
          <w:sz w:val="24"/>
          <w:szCs w:val="24"/>
        </w:rPr>
        <w:t>year financial report for 202</w:t>
      </w:r>
      <w:r w:rsidR="00A1572E">
        <w:rPr>
          <w:rFonts w:cstheme="minorHAnsi"/>
          <w:color w:val="000000"/>
          <w:sz w:val="24"/>
          <w:szCs w:val="24"/>
        </w:rPr>
        <w:t>3</w:t>
      </w:r>
      <w:r w:rsidR="005E2ECC">
        <w:rPr>
          <w:rFonts w:cstheme="minorHAnsi"/>
          <w:color w:val="000000"/>
          <w:sz w:val="24"/>
          <w:szCs w:val="24"/>
        </w:rPr>
        <w:t>/2</w:t>
      </w:r>
      <w:r w:rsidR="00A1572E">
        <w:rPr>
          <w:rFonts w:cstheme="minorHAnsi"/>
          <w:color w:val="000000"/>
          <w:sz w:val="24"/>
          <w:szCs w:val="24"/>
        </w:rPr>
        <w:t>4</w:t>
      </w:r>
      <w:r w:rsidR="005E2ECC">
        <w:rPr>
          <w:rFonts w:cstheme="minorHAnsi"/>
          <w:color w:val="000000"/>
          <w:sz w:val="24"/>
          <w:szCs w:val="24"/>
        </w:rPr>
        <w:t xml:space="preserve"> at its</w:t>
      </w:r>
      <w:r w:rsidR="003A4359">
        <w:rPr>
          <w:rFonts w:cstheme="minorHAnsi"/>
          <w:color w:val="000000"/>
          <w:sz w:val="24"/>
          <w:szCs w:val="24"/>
        </w:rPr>
        <w:t xml:space="preserve"> November 202</w:t>
      </w:r>
      <w:r w:rsidR="00A1572E">
        <w:rPr>
          <w:rFonts w:cstheme="minorHAnsi"/>
          <w:color w:val="000000"/>
          <w:sz w:val="24"/>
          <w:szCs w:val="24"/>
        </w:rPr>
        <w:t>3</w:t>
      </w:r>
      <w:r w:rsidR="00EC4530">
        <w:rPr>
          <w:rFonts w:cstheme="minorHAnsi"/>
          <w:color w:val="000000"/>
          <w:sz w:val="24"/>
          <w:szCs w:val="24"/>
        </w:rPr>
        <w:t xml:space="preserve"> meeting</w:t>
      </w:r>
      <w:r w:rsidR="005E2ECC">
        <w:rPr>
          <w:rFonts w:cstheme="minorHAnsi"/>
          <w:color w:val="000000"/>
          <w:sz w:val="24"/>
          <w:szCs w:val="24"/>
        </w:rPr>
        <w:t xml:space="preserve">, </w:t>
      </w:r>
      <w:r w:rsidR="005E2ECC" w:rsidRPr="003A4359">
        <w:rPr>
          <w:rFonts w:cstheme="minorHAnsi"/>
          <w:color w:val="000000"/>
          <w:sz w:val="24"/>
          <w:szCs w:val="24"/>
        </w:rPr>
        <w:t xml:space="preserve">enabling their challenge </w:t>
      </w:r>
      <w:r w:rsidR="005E2ECC">
        <w:rPr>
          <w:rFonts w:cstheme="minorHAnsi"/>
          <w:color w:val="000000"/>
          <w:sz w:val="24"/>
          <w:szCs w:val="24"/>
        </w:rPr>
        <w:t xml:space="preserve">and scrutiny. </w:t>
      </w:r>
    </w:p>
    <w:p w14:paraId="16D684CF" w14:textId="77777777" w:rsidR="003A4359" w:rsidRDefault="003A4359" w:rsidP="00FD0A8A">
      <w:pPr>
        <w:spacing w:after="0"/>
        <w:ind w:left="374" w:hanging="357"/>
        <w:rPr>
          <w:rFonts w:cstheme="minorHAnsi"/>
          <w:color w:val="000000"/>
          <w:sz w:val="24"/>
          <w:szCs w:val="24"/>
        </w:rPr>
      </w:pPr>
    </w:p>
    <w:p w14:paraId="3EB1B8E4" w14:textId="7A74A0CC" w:rsidR="003A4359" w:rsidRDefault="00E14225" w:rsidP="00FD0A8A">
      <w:pPr>
        <w:spacing w:after="0"/>
        <w:ind w:left="374" w:hanging="357"/>
        <w:rPr>
          <w:rFonts w:cstheme="minorHAnsi"/>
          <w:color w:val="000000"/>
          <w:sz w:val="24"/>
          <w:szCs w:val="24"/>
        </w:rPr>
      </w:pPr>
      <w:r>
        <w:rPr>
          <w:rFonts w:cstheme="minorHAnsi"/>
          <w:color w:val="000000"/>
          <w:sz w:val="24"/>
          <w:szCs w:val="24"/>
        </w:rPr>
        <w:t>2</w:t>
      </w:r>
      <w:r w:rsidR="00E60F15">
        <w:rPr>
          <w:rFonts w:cstheme="minorHAnsi"/>
          <w:color w:val="000000"/>
          <w:sz w:val="24"/>
          <w:szCs w:val="24"/>
        </w:rPr>
        <w:t>7</w:t>
      </w:r>
      <w:r w:rsidR="003A4359">
        <w:rPr>
          <w:rFonts w:cstheme="minorHAnsi"/>
          <w:color w:val="000000"/>
          <w:sz w:val="24"/>
          <w:szCs w:val="24"/>
        </w:rPr>
        <w:t>.</w:t>
      </w:r>
      <w:r w:rsidR="003A4359">
        <w:rPr>
          <w:rFonts w:cstheme="minorHAnsi"/>
          <w:color w:val="000000"/>
          <w:sz w:val="24"/>
          <w:szCs w:val="24"/>
        </w:rPr>
        <w:tab/>
      </w:r>
      <w:r w:rsidR="005E2ECC">
        <w:rPr>
          <w:rFonts w:cstheme="minorHAnsi"/>
          <w:color w:val="000000"/>
          <w:sz w:val="24"/>
          <w:szCs w:val="24"/>
        </w:rPr>
        <w:t>The following key themes were identified for the second half of the financial year:</w:t>
      </w:r>
    </w:p>
    <w:p w14:paraId="62C01E01" w14:textId="09FDEDAD" w:rsidR="001324E3" w:rsidRPr="00A1572E" w:rsidRDefault="001324E3" w:rsidP="00A1572E">
      <w:pPr>
        <w:spacing w:after="0"/>
        <w:rPr>
          <w:rFonts w:cstheme="minorHAnsi"/>
          <w:color w:val="000000"/>
          <w:sz w:val="24"/>
          <w:szCs w:val="24"/>
        </w:rPr>
      </w:pPr>
    </w:p>
    <w:p w14:paraId="426CB9B5" w14:textId="37B27507" w:rsidR="001324E3" w:rsidRDefault="001324E3" w:rsidP="001324E3">
      <w:pPr>
        <w:pStyle w:val="ListParagraph"/>
        <w:numPr>
          <w:ilvl w:val="0"/>
          <w:numId w:val="37"/>
        </w:numPr>
        <w:spacing w:after="0"/>
        <w:rPr>
          <w:rFonts w:cstheme="minorHAnsi"/>
          <w:color w:val="000000"/>
          <w:sz w:val="24"/>
          <w:szCs w:val="24"/>
        </w:rPr>
      </w:pPr>
      <w:r>
        <w:rPr>
          <w:rFonts w:cstheme="minorHAnsi"/>
          <w:color w:val="000000"/>
          <w:sz w:val="24"/>
          <w:szCs w:val="24"/>
        </w:rPr>
        <w:t>Structural Funds</w:t>
      </w:r>
    </w:p>
    <w:p w14:paraId="3018E41C" w14:textId="55BC6EEB" w:rsidR="00A1572E" w:rsidRDefault="00A1572E" w:rsidP="001324E3">
      <w:pPr>
        <w:pStyle w:val="ListParagraph"/>
        <w:numPr>
          <w:ilvl w:val="0"/>
          <w:numId w:val="37"/>
        </w:numPr>
        <w:spacing w:after="0"/>
        <w:rPr>
          <w:rFonts w:cstheme="minorHAnsi"/>
          <w:color w:val="000000"/>
          <w:sz w:val="24"/>
          <w:szCs w:val="24"/>
        </w:rPr>
      </w:pPr>
      <w:r>
        <w:rPr>
          <w:rFonts w:cstheme="minorHAnsi"/>
          <w:color w:val="000000"/>
          <w:sz w:val="24"/>
          <w:szCs w:val="24"/>
        </w:rPr>
        <w:t>Pay Settlement</w:t>
      </w:r>
    </w:p>
    <w:p w14:paraId="1FBAA2F6" w14:textId="060DB304" w:rsidR="00A1572E" w:rsidRDefault="00A1572E" w:rsidP="001324E3">
      <w:pPr>
        <w:pStyle w:val="ListParagraph"/>
        <w:numPr>
          <w:ilvl w:val="0"/>
          <w:numId w:val="37"/>
        </w:numPr>
        <w:spacing w:after="0"/>
        <w:rPr>
          <w:rFonts w:cstheme="minorHAnsi"/>
          <w:color w:val="000000"/>
          <w:sz w:val="24"/>
          <w:szCs w:val="24"/>
        </w:rPr>
      </w:pPr>
      <w:r>
        <w:rPr>
          <w:rFonts w:cstheme="minorHAnsi"/>
          <w:color w:val="000000"/>
          <w:sz w:val="24"/>
          <w:szCs w:val="24"/>
        </w:rPr>
        <w:t>Continued Higher Inflation</w:t>
      </w:r>
    </w:p>
    <w:p w14:paraId="553DEBB9" w14:textId="3AF15CE8" w:rsidR="00A1572E" w:rsidRDefault="00B24A6F" w:rsidP="001324E3">
      <w:pPr>
        <w:pStyle w:val="ListParagraph"/>
        <w:numPr>
          <w:ilvl w:val="0"/>
          <w:numId w:val="37"/>
        </w:numPr>
        <w:spacing w:after="0"/>
        <w:rPr>
          <w:rFonts w:cstheme="minorHAnsi"/>
          <w:color w:val="000000"/>
          <w:sz w:val="24"/>
          <w:szCs w:val="24"/>
        </w:rPr>
      </w:pPr>
      <w:r>
        <w:rPr>
          <w:rFonts w:cstheme="minorHAnsi"/>
          <w:color w:val="000000"/>
          <w:sz w:val="24"/>
          <w:szCs w:val="24"/>
        </w:rPr>
        <w:t>Scottish Government Spending Controls</w:t>
      </w:r>
    </w:p>
    <w:p w14:paraId="22DD8F7F" w14:textId="6922BFE9" w:rsidR="00B24A6F" w:rsidRDefault="00B24A6F" w:rsidP="001324E3">
      <w:pPr>
        <w:pStyle w:val="ListParagraph"/>
        <w:numPr>
          <w:ilvl w:val="0"/>
          <w:numId w:val="37"/>
        </w:numPr>
        <w:spacing w:after="0"/>
        <w:rPr>
          <w:rFonts w:cstheme="minorHAnsi"/>
          <w:color w:val="000000"/>
          <w:sz w:val="24"/>
          <w:szCs w:val="24"/>
        </w:rPr>
      </w:pPr>
      <w:r>
        <w:rPr>
          <w:rFonts w:ascii="Calibri" w:hAnsi="Calibri" w:cs="Calibri"/>
          <w:sz w:val="24"/>
          <w:szCs w:val="24"/>
        </w:rPr>
        <w:t xml:space="preserve">Internal Audit Recommendations on Forecasting and </w:t>
      </w:r>
      <w:r w:rsidR="003B32BF">
        <w:rPr>
          <w:rFonts w:ascii="Calibri" w:hAnsi="Calibri" w:cs="Calibri"/>
          <w:sz w:val="24"/>
          <w:szCs w:val="24"/>
        </w:rPr>
        <w:t>Ring-Fenced</w:t>
      </w:r>
      <w:r>
        <w:rPr>
          <w:rFonts w:ascii="Calibri" w:hAnsi="Calibri" w:cs="Calibri"/>
          <w:sz w:val="24"/>
          <w:szCs w:val="24"/>
        </w:rPr>
        <w:t xml:space="preserve"> Funds</w:t>
      </w:r>
    </w:p>
    <w:p w14:paraId="15FC2A71" w14:textId="08A0FB60" w:rsidR="001324E3" w:rsidRDefault="001324E3" w:rsidP="00FD0A8A">
      <w:pPr>
        <w:spacing w:after="0"/>
        <w:ind w:left="374" w:hanging="357"/>
        <w:rPr>
          <w:rFonts w:cstheme="minorHAnsi"/>
          <w:color w:val="000000"/>
          <w:sz w:val="24"/>
          <w:szCs w:val="24"/>
        </w:rPr>
      </w:pPr>
    </w:p>
    <w:p w14:paraId="22D847C0" w14:textId="6DA4F2FA" w:rsidR="00E8227C" w:rsidRDefault="00E8227C" w:rsidP="00FD0A8A">
      <w:pPr>
        <w:spacing w:after="0"/>
        <w:ind w:left="374" w:hanging="357"/>
        <w:rPr>
          <w:rFonts w:cstheme="minorHAnsi"/>
          <w:color w:val="000000"/>
          <w:sz w:val="24"/>
          <w:szCs w:val="24"/>
        </w:rPr>
      </w:pPr>
    </w:p>
    <w:p w14:paraId="0C52866C" w14:textId="499026DC" w:rsidR="00270DC3" w:rsidRPr="003A4359" w:rsidRDefault="00270DC3" w:rsidP="00270DC3">
      <w:pPr>
        <w:pStyle w:val="Heading2"/>
        <w:spacing w:line="276" w:lineRule="auto"/>
      </w:pPr>
      <w:r>
        <w:t>MEDIUM TO LONG TERM FINANCIAL PLAN</w:t>
      </w:r>
    </w:p>
    <w:p w14:paraId="54FB89D1" w14:textId="77777777" w:rsidR="00270DC3" w:rsidRDefault="00270DC3" w:rsidP="00270DC3">
      <w:pPr>
        <w:spacing w:after="0"/>
        <w:ind w:left="374" w:hanging="357"/>
        <w:rPr>
          <w:rFonts w:cstheme="minorHAnsi"/>
          <w:color w:val="000000"/>
          <w:sz w:val="24"/>
          <w:szCs w:val="24"/>
        </w:rPr>
      </w:pPr>
    </w:p>
    <w:p w14:paraId="50E2F3B0" w14:textId="12E58665" w:rsidR="00270DC3" w:rsidRDefault="00E14225" w:rsidP="00270DC3">
      <w:pPr>
        <w:spacing w:after="0"/>
        <w:ind w:left="374" w:hanging="357"/>
        <w:rPr>
          <w:rFonts w:cstheme="minorHAnsi"/>
          <w:color w:val="000000"/>
          <w:sz w:val="24"/>
          <w:szCs w:val="24"/>
        </w:rPr>
      </w:pPr>
      <w:r>
        <w:rPr>
          <w:rFonts w:cstheme="minorHAnsi"/>
          <w:color w:val="000000"/>
          <w:sz w:val="24"/>
          <w:szCs w:val="24"/>
        </w:rPr>
        <w:t>2</w:t>
      </w:r>
      <w:r w:rsidR="00E60F15">
        <w:rPr>
          <w:rFonts w:cstheme="minorHAnsi"/>
          <w:color w:val="000000"/>
          <w:sz w:val="24"/>
          <w:szCs w:val="24"/>
        </w:rPr>
        <w:t>8</w:t>
      </w:r>
      <w:r w:rsidR="00270DC3">
        <w:rPr>
          <w:rFonts w:cstheme="minorHAnsi"/>
          <w:color w:val="000000"/>
          <w:sz w:val="24"/>
          <w:szCs w:val="24"/>
        </w:rPr>
        <w:t>.</w:t>
      </w:r>
      <w:r w:rsidR="00270DC3">
        <w:rPr>
          <w:rFonts w:cstheme="minorHAnsi"/>
          <w:color w:val="000000"/>
          <w:sz w:val="24"/>
          <w:szCs w:val="24"/>
        </w:rPr>
        <w:tab/>
      </w:r>
      <w:r w:rsidR="00270DC3" w:rsidRPr="003A4359">
        <w:rPr>
          <w:rFonts w:cstheme="minorHAnsi"/>
          <w:color w:val="000000"/>
          <w:sz w:val="24"/>
          <w:szCs w:val="24"/>
        </w:rPr>
        <w:t xml:space="preserve">The Audit and Risk Committee </w:t>
      </w:r>
      <w:r w:rsidR="00270DC3">
        <w:rPr>
          <w:rFonts w:cstheme="minorHAnsi"/>
          <w:color w:val="000000"/>
          <w:sz w:val="24"/>
          <w:szCs w:val="24"/>
        </w:rPr>
        <w:t xml:space="preserve">considered the Medium to Long Term Financial Plan (MLTFP) at its </w:t>
      </w:r>
      <w:r w:rsidR="001324E3">
        <w:rPr>
          <w:rFonts w:cstheme="minorHAnsi"/>
          <w:color w:val="000000"/>
          <w:sz w:val="24"/>
          <w:szCs w:val="24"/>
        </w:rPr>
        <w:t>November</w:t>
      </w:r>
      <w:r w:rsidR="00270DC3">
        <w:rPr>
          <w:rFonts w:cstheme="minorHAnsi"/>
          <w:color w:val="000000"/>
          <w:sz w:val="24"/>
          <w:szCs w:val="24"/>
        </w:rPr>
        <w:t xml:space="preserve"> 202</w:t>
      </w:r>
      <w:r w:rsidR="00B24A6F">
        <w:rPr>
          <w:rFonts w:cstheme="minorHAnsi"/>
          <w:color w:val="000000"/>
          <w:sz w:val="24"/>
          <w:szCs w:val="24"/>
        </w:rPr>
        <w:t>3</w:t>
      </w:r>
      <w:r w:rsidR="00270DC3">
        <w:rPr>
          <w:rFonts w:cstheme="minorHAnsi"/>
          <w:color w:val="000000"/>
          <w:sz w:val="24"/>
          <w:szCs w:val="24"/>
        </w:rPr>
        <w:t xml:space="preserve"> meeting.  </w:t>
      </w:r>
    </w:p>
    <w:p w14:paraId="2DAB7BD5" w14:textId="77777777" w:rsidR="00270DC3" w:rsidRDefault="00270DC3" w:rsidP="00270DC3">
      <w:pPr>
        <w:spacing w:after="0"/>
        <w:ind w:left="374" w:hanging="357"/>
        <w:rPr>
          <w:rFonts w:cstheme="minorHAnsi"/>
          <w:color w:val="000000"/>
          <w:sz w:val="24"/>
          <w:szCs w:val="24"/>
        </w:rPr>
      </w:pPr>
    </w:p>
    <w:p w14:paraId="26BA6C81" w14:textId="5A09D7F0" w:rsidR="00270DC3" w:rsidRDefault="00E14225" w:rsidP="00270DC3">
      <w:pPr>
        <w:spacing w:after="0"/>
        <w:ind w:left="374" w:hanging="357"/>
        <w:rPr>
          <w:rFonts w:cstheme="minorHAnsi"/>
          <w:color w:val="000000"/>
          <w:sz w:val="24"/>
          <w:szCs w:val="24"/>
        </w:rPr>
      </w:pPr>
      <w:r>
        <w:rPr>
          <w:rFonts w:cstheme="minorHAnsi"/>
          <w:color w:val="000000"/>
          <w:sz w:val="24"/>
          <w:szCs w:val="24"/>
        </w:rPr>
        <w:t>2</w:t>
      </w:r>
      <w:r w:rsidR="00E60F15">
        <w:rPr>
          <w:rFonts w:cstheme="minorHAnsi"/>
          <w:color w:val="000000"/>
          <w:sz w:val="24"/>
          <w:szCs w:val="24"/>
        </w:rPr>
        <w:t>9</w:t>
      </w:r>
      <w:r w:rsidR="00270DC3">
        <w:rPr>
          <w:rFonts w:cstheme="minorHAnsi"/>
          <w:color w:val="000000"/>
          <w:sz w:val="24"/>
          <w:szCs w:val="24"/>
        </w:rPr>
        <w:t>.</w:t>
      </w:r>
      <w:r w:rsidR="00270DC3">
        <w:rPr>
          <w:rFonts w:cstheme="minorHAnsi"/>
          <w:color w:val="000000"/>
          <w:sz w:val="24"/>
          <w:szCs w:val="24"/>
        </w:rPr>
        <w:tab/>
        <w:t>The following key themes were identified in the plan:</w:t>
      </w:r>
    </w:p>
    <w:p w14:paraId="58E14756" w14:textId="77777777" w:rsidR="00270DC3" w:rsidRDefault="00270DC3" w:rsidP="00270DC3">
      <w:pPr>
        <w:spacing w:after="0"/>
        <w:ind w:left="374" w:hanging="357"/>
        <w:rPr>
          <w:rFonts w:cstheme="minorHAnsi"/>
          <w:color w:val="000000"/>
          <w:sz w:val="24"/>
          <w:szCs w:val="24"/>
        </w:rPr>
      </w:pPr>
    </w:p>
    <w:p w14:paraId="3A3DC17C" w14:textId="28F803C4" w:rsidR="00270DC3" w:rsidRPr="004E3E79" w:rsidRDefault="00270DC3" w:rsidP="00270DC3">
      <w:pPr>
        <w:pStyle w:val="ListParagraph"/>
        <w:numPr>
          <w:ilvl w:val="0"/>
          <w:numId w:val="20"/>
        </w:numPr>
        <w:spacing w:after="0"/>
        <w:rPr>
          <w:rFonts w:cstheme="minorHAnsi"/>
          <w:color w:val="000000"/>
          <w:sz w:val="24"/>
          <w:szCs w:val="24"/>
        </w:rPr>
      </w:pPr>
      <w:r>
        <w:rPr>
          <w:rFonts w:ascii="Calibri" w:hAnsi="Calibri" w:cs="Calibri"/>
          <w:sz w:val="24"/>
          <w:szCs w:val="24"/>
        </w:rPr>
        <w:t>Grant in Aid Funding</w:t>
      </w:r>
    </w:p>
    <w:p w14:paraId="4DB534EB" w14:textId="1AB17F7A" w:rsidR="00270DC3" w:rsidRPr="004E3E79" w:rsidRDefault="00270DC3" w:rsidP="00270DC3">
      <w:pPr>
        <w:pStyle w:val="ListParagraph"/>
        <w:numPr>
          <w:ilvl w:val="0"/>
          <w:numId w:val="20"/>
        </w:numPr>
        <w:spacing w:after="0"/>
        <w:rPr>
          <w:rFonts w:cstheme="minorHAnsi"/>
          <w:color w:val="000000"/>
          <w:sz w:val="24"/>
          <w:szCs w:val="24"/>
        </w:rPr>
      </w:pPr>
      <w:r>
        <w:rPr>
          <w:rFonts w:ascii="Calibri" w:hAnsi="Calibri" w:cs="Calibri"/>
          <w:sz w:val="24"/>
          <w:szCs w:val="24"/>
        </w:rPr>
        <w:t xml:space="preserve">Leverage (Structural Funds, </w:t>
      </w:r>
      <w:r w:rsidR="00B24A6F">
        <w:rPr>
          <w:rFonts w:ascii="Calibri" w:hAnsi="Calibri" w:cs="Calibri"/>
          <w:sz w:val="24"/>
          <w:szCs w:val="24"/>
        </w:rPr>
        <w:t>Nature</w:t>
      </w:r>
      <w:r>
        <w:rPr>
          <w:rFonts w:ascii="Calibri" w:hAnsi="Calibri" w:cs="Calibri"/>
          <w:sz w:val="24"/>
          <w:szCs w:val="24"/>
        </w:rPr>
        <w:t xml:space="preserve"> Finance)</w:t>
      </w:r>
    </w:p>
    <w:p w14:paraId="49D9D2C2" w14:textId="3ACDD6A0" w:rsidR="00270DC3" w:rsidRPr="004E3E79" w:rsidRDefault="00270DC3" w:rsidP="00270DC3">
      <w:pPr>
        <w:pStyle w:val="ListParagraph"/>
        <w:numPr>
          <w:ilvl w:val="0"/>
          <w:numId w:val="20"/>
        </w:numPr>
        <w:spacing w:after="0"/>
        <w:rPr>
          <w:rFonts w:cstheme="minorHAnsi"/>
          <w:color w:val="000000"/>
          <w:sz w:val="24"/>
          <w:szCs w:val="24"/>
        </w:rPr>
      </w:pPr>
      <w:r>
        <w:rPr>
          <w:rFonts w:ascii="Calibri" w:hAnsi="Calibri" w:cs="Calibri"/>
          <w:sz w:val="24"/>
          <w:szCs w:val="24"/>
        </w:rPr>
        <w:t>External Funding</w:t>
      </w:r>
    </w:p>
    <w:p w14:paraId="05AF993C" w14:textId="5CD46AE9" w:rsidR="00270DC3" w:rsidRPr="004E3E79" w:rsidRDefault="00270DC3" w:rsidP="00270DC3">
      <w:pPr>
        <w:pStyle w:val="ListParagraph"/>
        <w:numPr>
          <w:ilvl w:val="0"/>
          <w:numId w:val="20"/>
        </w:numPr>
        <w:spacing w:after="0"/>
        <w:rPr>
          <w:rFonts w:cstheme="minorHAnsi"/>
          <w:color w:val="000000"/>
          <w:sz w:val="24"/>
          <w:szCs w:val="24"/>
        </w:rPr>
      </w:pPr>
      <w:r>
        <w:rPr>
          <w:rFonts w:ascii="Calibri" w:hAnsi="Calibri" w:cs="Calibri"/>
          <w:sz w:val="24"/>
          <w:szCs w:val="24"/>
        </w:rPr>
        <w:t>Income Generation</w:t>
      </w:r>
    </w:p>
    <w:p w14:paraId="5C165013" w14:textId="2BF5AEC2" w:rsidR="00270DC3" w:rsidRPr="004E3E79" w:rsidRDefault="00270DC3" w:rsidP="00270DC3">
      <w:pPr>
        <w:pStyle w:val="ListParagraph"/>
        <w:numPr>
          <w:ilvl w:val="0"/>
          <w:numId w:val="20"/>
        </w:numPr>
        <w:spacing w:after="0"/>
        <w:rPr>
          <w:rFonts w:cstheme="minorHAnsi"/>
          <w:color w:val="000000"/>
          <w:sz w:val="24"/>
          <w:szCs w:val="24"/>
        </w:rPr>
      </w:pPr>
      <w:r>
        <w:rPr>
          <w:rFonts w:ascii="Calibri" w:hAnsi="Calibri" w:cs="Calibri"/>
          <w:sz w:val="24"/>
          <w:szCs w:val="24"/>
        </w:rPr>
        <w:t>Transformation</w:t>
      </w:r>
    </w:p>
    <w:p w14:paraId="0B3E15BB" w14:textId="2826E574" w:rsidR="00270DC3" w:rsidRPr="001324E3" w:rsidRDefault="00270DC3" w:rsidP="00270DC3">
      <w:pPr>
        <w:pStyle w:val="ListParagraph"/>
        <w:numPr>
          <w:ilvl w:val="0"/>
          <w:numId w:val="20"/>
        </w:numPr>
        <w:spacing w:after="0"/>
        <w:rPr>
          <w:rFonts w:cstheme="minorHAnsi"/>
          <w:color w:val="000000"/>
          <w:sz w:val="24"/>
          <w:szCs w:val="24"/>
        </w:rPr>
      </w:pPr>
      <w:r>
        <w:rPr>
          <w:rFonts w:ascii="Calibri" w:hAnsi="Calibri" w:cs="Calibri"/>
          <w:sz w:val="24"/>
          <w:szCs w:val="24"/>
        </w:rPr>
        <w:t>Capital Investment</w:t>
      </w:r>
    </w:p>
    <w:p w14:paraId="773D6063" w14:textId="77777777" w:rsidR="001324E3" w:rsidRPr="00E14225" w:rsidRDefault="001324E3" w:rsidP="001324E3">
      <w:pPr>
        <w:pStyle w:val="ListParagraph"/>
        <w:spacing w:after="0"/>
        <w:ind w:left="737"/>
        <w:rPr>
          <w:rFonts w:cstheme="minorHAnsi"/>
          <w:color w:val="000000"/>
          <w:sz w:val="24"/>
          <w:szCs w:val="24"/>
        </w:rPr>
      </w:pPr>
    </w:p>
    <w:p w14:paraId="510695C2" w14:textId="6CED9647" w:rsidR="001324E3" w:rsidRPr="001324E3" w:rsidRDefault="00E60F15" w:rsidP="001324E3">
      <w:pPr>
        <w:spacing w:after="0"/>
        <w:ind w:left="374" w:hanging="357"/>
        <w:rPr>
          <w:rFonts w:cstheme="minorHAnsi"/>
          <w:color w:val="000000"/>
          <w:sz w:val="24"/>
          <w:szCs w:val="24"/>
        </w:rPr>
      </w:pPr>
      <w:r>
        <w:rPr>
          <w:rFonts w:cstheme="minorHAnsi"/>
          <w:color w:val="000000"/>
          <w:sz w:val="24"/>
          <w:szCs w:val="24"/>
        </w:rPr>
        <w:t>30</w:t>
      </w:r>
      <w:r w:rsidR="00270DC3">
        <w:rPr>
          <w:rFonts w:cstheme="minorHAnsi"/>
          <w:color w:val="000000"/>
          <w:sz w:val="24"/>
          <w:szCs w:val="24"/>
        </w:rPr>
        <w:t>.</w:t>
      </w:r>
      <w:r w:rsidR="00270DC3">
        <w:rPr>
          <w:rFonts w:cstheme="minorHAnsi"/>
          <w:color w:val="000000"/>
          <w:sz w:val="24"/>
          <w:szCs w:val="24"/>
        </w:rPr>
        <w:tab/>
        <w:t xml:space="preserve">It was noted that </w:t>
      </w:r>
      <w:r w:rsidR="001324E3" w:rsidRPr="001324E3">
        <w:rPr>
          <w:rFonts w:cstheme="minorHAnsi"/>
          <w:color w:val="000000"/>
          <w:sz w:val="24"/>
          <w:szCs w:val="24"/>
        </w:rPr>
        <w:t xml:space="preserve">the outlook for Grant in Aid remains </w:t>
      </w:r>
      <w:r w:rsidR="00B24A6F">
        <w:rPr>
          <w:rFonts w:cstheme="minorHAnsi"/>
          <w:color w:val="000000"/>
          <w:sz w:val="24"/>
          <w:szCs w:val="24"/>
        </w:rPr>
        <w:t>challenging</w:t>
      </w:r>
      <w:r w:rsidR="00280950">
        <w:rPr>
          <w:rFonts w:cstheme="minorHAnsi"/>
          <w:color w:val="000000"/>
          <w:sz w:val="24"/>
          <w:szCs w:val="24"/>
        </w:rPr>
        <w:t>.</w:t>
      </w:r>
      <w:r w:rsidR="001324E3" w:rsidRPr="001324E3">
        <w:rPr>
          <w:rFonts w:cstheme="minorHAnsi"/>
          <w:color w:val="000000"/>
          <w:sz w:val="24"/>
          <w:szCs w:val="24"/>
        </w:rPr>
        <w:t xml:space="preserve"> </w:t>
      </w:r>
    </w:p>
    <w:p w14:paraId="04AC23CC" w14:textId="77777777" w:rsidR="001324E3" w:rsidRPr="001324E3" w:rsidRDefault="001324E3" w:rsidP="001324E3">
      <w:pPr>
        <w:spacing w:after="0"/>
        <w:ind w:left="374" w:hanging="357"/>
        <w:rPr>
          <w:rFonts w:cstheme="minorHAnsi"/>
          <w:color w:val="000000"/>
          <w:sz w:val="24"/>
          <w:szCs w:val="24"/>
        </w:rPr>
      </w:pPr>
    </w:p>
    <w:p w14:paraId="716E722D" w14:textId="77777777" w:rsidR="003B7B5E" w:rsidRPr="004E3E79" w:rsidRDefault="003B7B5E" w:rsidP="004E3E79">
      <w:pPr>
        <w:spacing w:after="0"/>
        <w:rPr>
          <w:szCs w:val="24"/>
        </w:rPr>
      </w:pPr>
      <w:r w:rsidRPr="004E3E79">
        <w:rPr>
          <w:b/>
          <w:sz w:val="24"/>
          <w:szCs w:val="24"/>
        </w:rPr>
        <w:lastRenderedPageBreak/>
        <w:t>AUDIT AND RISK COMMITTEE SELF-ASSESSMENT EXERCISE</w:t>
      </w:r>
    </w:p>
    <w:p w14:paraId="351F2627" w14:textId="77777777" w:rsidR="003B7B5E" w:rsidRDefault="003B7B5E" w:rsidP="00FD0A8A">
      <w:pPr>
        <w:spacing w:after="0"/>
        <w:ind w:left="374" w:hanging="357"/>
        <w:rPr>
          <w:rFonts w:cstheme="minorHAnsi"/>
          <w:color w:val="000000"/>
          <w:sz w:val="24"/>
          <w:szCs w:val="24"/>
        </w:rPr>
      </w:pPr>
    </w:p>
    <w:p w14:paraId="07077F1D" w14:textId="4CEAE951" w:rsidR="003B7B5E" w:rsidRPr="00E60F15" w:rsidRDefault="00E14225" w:rsidP="00E60F15">
      <w:pPr>
        <w:pStyle w:val="ListParagraph"/>
        <w:spacing w:after="0"/>
        <w:ind w:left="357" w:hanging="357"/>
        <w:rPr>
          <w:sz w:val="24"/>
          <w:szCs w:val="24"/>
        </w:rPr>
      </w:pPr>
      <w:r w:rsidRPr="00E60F15">
        <w:rPr>
          <w:color w:val="000000"/>
          <w:sz w:val="24"/>
          <w:szCs w:val="24"/>
        </w:rPr>
        <w:t>3</w:t>
      </w:r>
      <w:r w:rsidR="00E60F15" w:rsidRPr="00E60F15">
        <w:rPr>
          <w:color w:val="000000"/>
          <w:sz w:val="24"/>
          <w:szCs w:val="24"/>
        </w:rPr>
        <w:t>1</w:t>
      </w:r>
      <w:r w:rsidR="003B7B5E" w:rsidRPr="00E60F15">
        <w:rPr>
          <w:color w:val="000000"/>
          <w:sz w:val="24"/>
          <w:szCs w:val="24"/>
        </w:rPr>
        <w:t>.</w:t>
      </w:r>
      <w:r w:rsidR="003B7B5E" w:rsidRPr="00E60F15">
        <w:rPr>
          <w:sz w:val="24"/>
          <w:szCs w:val="24"/>
        </w:rPr>
        <w:tab/>
      </w:r>
      <w:r w:rsidR="000B71F8" w:rsidRPr="00E60F15">
        <w:rPr>
          <w:sz w:val="24"/>
          <w:szCs w:val="24"/>
        </w:rPr>
        <w:t xml:space="preserve">The exercise took place in May 2023, and included an extended discussion of the ARC’s strategic priorities </w:t>
      </w:r>
      <w:r w:rsidR="000B71F8" w:rsidRPr="00E60F15">
        <w:rPr>
          <w:rFonts w:cstheme="minorHAnsi"/>
          <w:color w:val="000000"/>
          <w:sz w:val="24"/>
          <w:szCs w:val="24"/>
        </w:rPr>
        <w:t>and</w:t>
      </w:r>
      <w:r w:rsidR="000B71F8" w:rsidRPr="00E60F15">
        <w:rPr>
          <w:sz w:val="24"/>
          <w:szCs w:val="24"/>
        </w:rPr>
        <w:t xml:space="preserve"> ways of working. The outcomes from this self-assessment are expected to further improve the effectiveness of the ARC, and will be implemented over the coming months, in discussion with the Chair of the Board where appropriate. The self-assessment will be conducted again in 2025.</w:t>
      </w:r>
    </w:p>
    <w:p w14:paraId="51FB7553" w14:textId="77777777" w:rsidR="00270DC3" w:rsidRDefault="00270DC3" w:rsidP="00FD0A8A">
      <w:pPr>
        <w:spacing w:after="0"/>
        <w:ind w:left="374" w:hanging="357"/>
        <w:rPr>
          <w:rFonts w:cstheme="minorHAnsi"/>
          <w:color w:val="000000"/>
          <w:sz w:val="24"/>
          <w:szCs w:val="24"/>
        </w:rPr>
      </w:pPr>
    </w:p>
    <w:p w14:paraId="446A91C2" w14:textId="77777777" w:rsidR="003B7B5E" w:rsidRPr="003B7B5E" w:rsidRDefault="003B7B5E" w:rsidP="00FD0A8A">
      <w:pPr>
        <w:pStyle w:val="Heading2"/>
        <w:spacing w:line="276" w:lineRule="auto"/>
      </w:pPr>
      <w:r w:rsidRPr="003B7B5E">
        <w:t>VALUE ADDED BY THE AUDIT AND RISK COMMITTEE</w:t>
      </w:r>
    </w:p>
    <w:p w14:paraId="47668935" w14:textId="77777777" w:rsidR="003B7B5E" w:rsidRDefault="003B7B5E" w:rsidP="00FD0A8A">
      <w:pPr>
        <w:spacing w:after="0"/>
        <w:ind w:left="374" w:hanging="357"/>
        <w:rPr>
          <w:rFonts w:cstheme="minorHAnsi"/>
          <w:color w:val="000000"/>
          <w:sz w:val="24"/>
          <w:szCs w:val="24"/>
        </w:rPr>
      </w:pPr>
    </w:p>
    <w:p w14:paraId="43AA85E7" w14:textId="074A1817" w:rsidR="003B7B5E" w:rsidRPr="00E60F15" w:rsidRDefault="003B7B5E" w:rsidP="00E60F15">
      <w:pPr>
        <w:pStyle w:val="ListParagraph"/>
        <w:numPr>
          <w:ilvl w:val="0"/>
          <w:numId w:val="44"/>
        </w:numPr>
        <w:spacing w:after="0"/>
        <w:rPr>
          <w:rFonts w:cstheme="minorHAnsi"/>
          <w:color w:val="000000"/>
          <w:sz w:val="24"/>
          <w:szCs w:val="24"/>
        </w:rPr>
      </w:pPr>
      <w:r w:rsidRPr="00E60F15">
        <w:rPr>
          <w:rFonts w:cstheme="minorHAnsi"/>
          <w:color w:val="000000"/>
          <w:sz w:val="24"/>
          <w:szCs w:val="24"/>
        </w:rPr>
        <w:t>In addition to the ARC’s responsibilities for reviewing the comprehensiveness of assurances through a process of constructive challenge, they have also added value to the organisation in the following ways:</w:t>
      </w:r>
      <w:r w:rsidR="00180319" w:rsidRPr="00E60F15">
        <w:rPr>
          <w:rFonts w:cstheme="minorHAnsi"/>
          <w:color w:val="000000"/>
          <w:sz w:val="24"/>
          <w:szCs w:val="24"/>
        </w:rPr>
        <w:t xml:space="preserve"> </w:t>
      </w:r>
    </w:p>
    <w:p w14:paraId="113F0EF1" w14:textId="3EA13C73" w:rsidR="00180319" w:rsidRDefault="00180319" w:rsidP="00180319">
      <w:pPr>
        <w:pStyle w:val="ListParagraph"/>
        <w:spacing w:after="0"/>
        <w:ind w:left="377"/>
        <w:rPr>
          <w:rFonts w:cstheme="minorHAnsi"/>
          <w:color w:val="000000"/>
          <w:sz w:val="24"/>
          <w:szCs w:val="24"/>
        </w:rPr>
      </w:pPr>
    </w:p>
    <w:p w14:paraId="784B659F" w14:textId="1D3A7F3D" w:rsidR="00180319" w:rsidRPr="00180319" w:rsidRDefault="00180319" w:rsidP="003052E4">
      <w:pPr>
        <w:pStyle w:val="ListParagraph"/>
        <w:numPr>
          <w:ilvl w:val="0"/>
          <w:numId w:val="24"/>
        </w:numPr>
        <w:spacing w:after="0"/>
        <w:rPr>
          <w:rFonts w:cstheme="minorHAnsi"/>
          <w:color w:val="000000"/>
        </w:rPr>
      </w:pPr>
      <w:r w:rsidRPr="003052E4">
        <w:rPr>
          <w:rFonts w:cstheme="minorHAnsi"/>
          <w:color w:val="000000"/>
          <w:sz w:val="24"/>
          <w:szCs w:val="24"/>
        </w:rPr>
        <w:t>Maintaining</w:t>
      </w:r>
      <w:r w:rsidRPr="00E60F15">
        <w:t xml:space="preserve"> and developing relationships to continue an open and transparent</w:t>
      </w:r>
      <w:r w:rsidRPr="00180319">
        <w:rPr>
          <w:rFonts w:cstheme="minorHAnsi"/>
          <w:color w:val="000000"/>
        </w:rPr>
        <w:t xml:space="preserve"> culture.</w:t>
      </w:r>
    </w:p>
    <w:p w14:paraId="7E9AF0C9" w14:textId="69C8D1F3" w:rsidR="00180319" w:rsidRPr="00180319" w:rsidRDefault="00180319" w:rsidP="00180319">
      <w:pPr>
        <w:pStyle w:val="ListParagraph"/>
        <w:numPr>
          <w:ilvl w:val="0"/>
          <w:numId w:val="24"/>
        </w:numPr>
        <w:spacing w:after="0"/>
        <w:rPr>
          <w:rFonts w:cstheme="minorHAnsi"/>
          <w:color w:val="000000"/>
          <w:sz w:val="24"/>
          <w:szCs w:val="24"/>
        </w:rPr>
      </w:pPr>
      <w:r>
        <w:rPr>
          <w:rFonts w:cstheme="minorHAnsi"/>
          <w:color w:val="000000"/>
          <w:sz w:val="24"/>
          <w:szCs w:val="24"/>
        </w:rPr>
        <w:t xml:space="preserve">Providing oversight </w:t>
      </w:r>
      <w:r w:rsidRPr="00180319">
        <w:rPr>
          <w:rFonts w:cstheme="minorHAnsi"/>
          <w:color w:val="000000"/>
          <w:sz w:val="24"/>
          <w:szCs w:val="24"/>
        </w:rPr>
        <w:t>of limited assurances</w:t>
      </w:r>
      <w:r w:rsidR="007D6B5A">
        <w:rPr>
          <w:rFonts w:cstheme="minorHAnsi"/>
          <w:color w:val="000000"/>
          <w:sz w:val="24"/>
          <w:szCs w:val="24"/>
        </w:rPr>
        <w:t xml:space="preserve"> on</w:t>
      </w:r>
      <w:r w:rsidRPr="00180319">
        <w:rPr>
          <w:rFonts w:cstheme="minorHAnsi"/>
          <w:color w:val="000000"/>
          <w:sz w:val="24"/>
          <w:szCs w:val="24"/>
        </w:rPr>
        <w:t xml:space="preserve"> the </w:t>
      </w:r>
      <w:r>
        <w:rPr>
          <w:rFonts w:cstheme="minorHAnsi"/>
          <w:color w:val="000000"/>
          <w:sz w:val="24"/>
          <w:szCs w:val="24"/>
        </w:rPr>
        <w:t>Structural Funds</w:t>
      </w:r>
      <w:r w:rsidR="00922CB3">
        <w:rPr>
          <w:rFonts w:cstheme="minorHAnsi"/>
          <w:color w:val="000000"/>
          <w:sz w:val="24"/>
          <w:szCs w:val="24"/>
        </w:rPr>
        <w:t xml:space="preserve"> risk</w:t>
      </w:r>
      <w:r>
        <w:rPr>
          <w:rFonts w:cstheme="minorHAnsi"/>
          <w:color w:val="000000"/>
          <w:sz w:val="24"/>
          <w:szCs w:val="24"/>
        </w:rPr>
        <w:t>.</w:t>
      </w:r>
    </w:p>
    <w:p w14:paraId="47A12696" w14:textId="46A5AF55" w:rsidR="00F16AF5" w:rsidRPr="00180319" w:rsidRDefault="00F16AF5" w:rsidP="00180319">
      <w:pPr>
        <w:pStyle w:val="ListParagraph"/>
        <w:numPr>
          <w:ilvl w:val="0"/>
          <w:numId w:val="24"/>
        </w:numPr>
        <w:spacing w:after="0"/>
        <w:rPr>
          <w:rFonts w:cstheme="minorHAnsi"/>
          <w:color w:val="000000"/>
          <w:sz w:val="24"/>
          <w:szCs w:val="24"/>
        </w:rPr>
      </w:pPr>
      <w:r w:rsidRPr="00180319">
        <w:rPr>
          <w:rFonts w:cstheme="minorHAnsi"/>
          <w:color w:val="000000"/>
          <w:sz w:val="24"/>
          <w:szCs w:val="24"/>
        </w:rPr>
        <w:t>Continuing review of Corpo</w:t>
      </w:r>
      <w:r w:rsidR="00180319" w:rsidRPr="00180319">
        <w:rPr>
          <w:rFonts w:cstheme="minorHAnsi"/>
          <w:color w:val="000000"/>
          <w:sz w:val="24"/>
          <w:szCs w:val="24"/>
        </w:rPr>
        <w:t>rate Risk deep dives by the ARC.</w:t>
      </w:r>
    </w:p>
    <w:p w14:paraId="0B465A54" w14:textId="1E083FDC" w:rsidR="004B2CD5" w:rsidRDefault="004B2CD5" w:rsidP="00FD0A8A">
      <w:pPr>
        <w:spacing w:after="0"/>
        <w:rPr>
          <w:rFonts w:cstheme="minorHAnsi"/>
          <w:b/>
          <w:color w:val="000000"/>
          <w:sz w:val="24"/>
          <w:szCs w:val="24"/>
        </w:rPr>
      </w:pPr>
    </w:p>
    <w:p w14:paraId="5DC8E794" w14:textId="77777777" w:rsidR="00264512" w:rsidRPr="00076273" w:rsidRDefault="00264512" w:rsidP="00FD0A8A">
      <w:pPr>
        <w:pStyle w:val="Heading3"/>
      </w:pPr>
      <w:r w:rsidRPr="00076273">
        <w:t xml:space="preserve">Recommendations </w:t>
      </w:r>
    </w:p>
    <w:p w14:paraId="7F68F78C" w14:textId="77777777" w:rsidR="00264512" w:rsidRPr="00076273" w:rsidRDefault="00264512" w:rsidP="00FD0A8A">
      <w:pPr>
        <w:spacing w:after="0"/>
        <w:ind w:hanging="357"/>
        <w:rPr>
          <w:rFonts w:cstheme="minorHAnsi"/>
          <w:sz w:val="24"/>
          <w:szCs w:val="24"/>
        </w:rPr>
      </w:pPr>
    </w:p>
    <w:p w14:paraId="7874E25D" w14:textId="416A2CA8" w:rsidR="00D52B23" w:rsidRDefault="00E14225" w:rsidP="00D0763A">
      <w:pPr>
        <w:spacing w:after="0"/>
        <w:ind w:left="357" w:hanging="357"/>
        <w:rPr>
          <w:rFonts w:cstheme="minorHAnsi"/>
          <w:b/>
          <w:sz w:val="24"/>
          <w:szCs w:val="24"/>
        </w:rPr>
        <w:sectPr w:rsidR="00D52B23" w:rsidSect="005F5A08">
          <w:headerReference w:type="default" r:id="rId11"/>
          <w:pgSz w:w="11906" w:h="16838"/>
          <w:pgMar w:top="1440" w:right="1440" w:bottom="1440" w:left="1440" w:header="567" w:footer="708" w:gutter="0"/>
          <w:cols w:space="708"/>
          <w:docGrid w:linePitch="360"/>
        </w:sectPr>
      </w:pPr>
      <w:r>
        <w:rPr>
          <w:rFonts w:cstheme="minorHAnsi"/>
          <w:color w:val="000000"/>
          <w:sz w:val="24"/>
          <w:szCs w:val="24"/>
        </w:rPr>
        <w:t>3</w:t>
      </w:r>
      <w:r w:rsidR="00E60F15">
        <w:rPr>
          <w:rFonts w:cstheme="minorHAnsi"/>
          <w:color w:val="000000"/>
          <w:sz w:val="24"/>
          <w:szCs w:val="24"/>
        </w:rPr>
        <w:t>3</w:t>
      </w:r>
      <w:r w:rsidR="00D52B23" w:rsidRPr="00D52B23">
        <w:rPr>
          <w:rFonts w:cstheme="minorHAnsi"/>
          <w:color w:val="000000"/>
          <w:sz w:val="24"/>
          <w:szCs w:val="24"/>
        </w:rPr>
        <w:t>.</w:t>
      </w:r>
      <w:r w:rsidR="00D0763A" w:rsidRPr="00D0763A">
        <w:rPr>
          <w:rFonts w:cstheme="minorHAnsi"/>
          <w:sz w:val="24"/>
          <w:szCs w:val="24"/>
        </w:rPr>
        <w:t xml:space="preserve"> </w:t>
      </w:r>
      <w:r w:rsidR="00D0763A" w:rsidRPr="00F860D4">
        <w:rPr>
          <w:rFonts w:cstheme="minorHAnsi"/>
          <w:sz w:val="24"/>
          <w:szCs w:val="24"/>
        </w:rPr>
        <w:t xml:space="preserve">Board members are asked to </w:t>
      </w:r>
      <w:r w:rsidR="00B33C3F">
        <w:rPr>
          <w:rFonts w:cstheme="minorHAnsi"/>
          <w:sz w:val="24"/>
          <w:szCs w:val="24"/>
        </w:rPr>
        <w:t>endorse</w:t>
      </w:r>
      <w:r w:rsidR="00D0763A" w:rsidRPr="00F860D4">
        <w:rPr>
          <w:rFonts w:cstheme="minorHAnsi"/>
          <w:sz w:val="24"/>
          <w:szCs w:val="24"/>
        </w:rPr>
        <w:t xml:space="preserve"> the work of the Audit and Risk </w:t>
      </w:r>
      <w:r w:rsidR="00D0763A">
        <w:rPr>
          <w:rFonts w:cstheme="minorHAnsi"/>
          <w:sz w:val="24"/>
          <w:szCs w:val="24"/>
        </w:rPr>
        <w:t>Committee during the period 202</w:t>
      </w:r>
      <w:r w:rsidR="00B24A6F">
        <w:rPr>
          <w:rFonts w:cstheme="minorHAnsi"/>
          <w:sz w:val="24"/>
          <w:szCs w:val="24"/>
        </w:rPr>
        <w:t>3</w:t>
      </w:r>
      <w:r w:rsidR="00D0763A">
        <w:rPr>
          <w:rFonts w:cstheme="minorHAnsi"/>
          <w:sz w:val="24"/>
          <w:szCs w:val="24"/>
        </w:rPr>
        <w:t>/2</w:t>
      </w:r>
      <w:r w:rsidR="00B24A6F">
        <w:rPr>
          <w:rFonts w:cstheme="minorHAnsi"/>
          <w:sz w:val="24"/>
          <w:szCs w:val="24"/>
        </w:rPr>
        <w:t>4</w:t>
      </w:r>
      <w:r w:rsidR="00D0763A" w:rsidRPr="00F860D4">
        <w:rPr>
          <w:rFonts w:cstheme="minorHAnsi"/>
          <w:sz w:val="24"/>
          <w:szCs w:val="24"/>
        </w:rPr>
        <w:t xml:space="preserve"> a</w:t>
      </w:r>
      <w:r w:rsidR="00D0763A">
        <w:rPr>
          <w:rFonts w:cstheme="minorHAnsi"/>
          <w:sz w:val="24"/>
          <w:szCs w:val="24"/>
        </w:rPr>
        <w:t>nd it</w:t>
      </w:r>
      <w:r w:rsidR="00E80278">
        <w:rPr>
          <w:rFonts w:cstheme="minorHAnsi"/>
          <w:sz w:val="24"/>
          <w:szCs w:val="24"/>
        </w:rPr>
        <w:t>s</w:t>
      </w:r>
      <w:r w:rsidR="00D0763A">
        <w:rPr>
          <w:rFonts w:cstheme="minorHAnsi"/>
          <w:sz w:val="24"/>
          <w:szCs w:val="24"/>
        </w:rPr>
        <w:t xml:space="preserve"> effective</w:t>
      </w:r>
      <w:r w:rsidR="00E80278">
        <w:rPr>
          <w:rFonts w:cstheme="minorHAnsi"/>
          <w:sz w:val="24"/>
          <w:szCs w:val="24"/>
        </w:rPr>
        <w:t>ness</w:t>
      </w:r>
      <w:r w:rsidR="00D0763A">
        <w:rPr>
          <w:rFonts w:cstheme="minorHAnsi"/>
          <w:sz w:val="24"/>
          <w:szCs w:val="24"/>
        </w:rPr>
        <w:t xml:space="preserve"> in</w:t>
      </w:r>
      <w:r w:rsidR="00D0763A" w:rsidRPr="00F860D4">
        <w:rPr>
          <w:rFonts w:cstheme="minorHAnsi"/>
          <w:sz w:val="24"/>
          <w:szCs w:val="24"/>
        </w:rPr>
        <w:t xml:space="preserve"> support</w:t>
      </w:r>
      <w:r w:rsidR="00D0763A">
        <w:rPr>
          <w:rFonts w:cstheme="minorHAnsi"/>
          <w:sz w:val="24"/>
          <w:szCs w:val="24"/>
        </w:rPr>
        <w:t>ing</w:t>
      </w:r>
      <w:r w:rsidR="00D0763A" w:rsidRPr="00F860D4">
        <w:rPr>
          <w:rFonts w:cstheme="minorHAnsi"/>
          <w:sz w:val="24"/>
          <w:szCs w:val="24"/>
        </w:rPr>
        <w:t xml:space="preserve"> the Board in upholding its governance responsibilities.</w:t>
      </w:r>
    </w:p>
    <w:p w14:paraId="3CF92277" w14:textId="73F5CAE8" w:rsidR="005E2ECC" w:rsidRDefault="005E2ECC" w:rsidP="00F860D4">
      <w:pPr>
        <w:pStyle w:val="Heading3"/>
      </w:pPr>
      <w:r>
        <w:lastRenderedPageBreak/>
        <w:t>Annex 1</w:t>
      </w:r>
      <w:r w:rsidR="00162D90">
        <w:t>: 202</w:t>
      </w:r>
      <w:r w:rsidR="00BB3514">
        <w:t>3</w:t>
      </w:r>
      <w:r w:rsidR="00162D90">
        <w:t>/2</w:t>
      </w:r>
      <w:r w:rsidR="00BB3514">
        <w:t>4</w:t>
      </w:r>
      <w:r w:rsidRPr="00D52B23">
        <w:t xml:space="preserve"> Internal Audit Plan</w:t>
      </w:r>
    </w:p>
    <w:p w14:paraId="4315EAF9" w14:textId="77777777" w:rsidR="00F45BC5" w:rsidRPr="00F45BC5" w:rsidRDefault="00F45BC5" w:rsidP="00F45BC5">
      <w:pPr>
        <w:pStyle w:val="Heading2"/>
        <w:spacing w:line="276" w:lineRule="auto"/>
        <w:rPr>
          <w:bCs/>
          <w:szCs w:val="24"/>
        </w:rPr>
      </w:pPr>
      <w:r w:rsidRPr="00F45BC5">
        <w:rPr>
          <w:bCs/>
          <w:szCs w:val="24"/>
        </w:rPr>
        <w:t>Exercises from 2022/23 to be Completed:</w:t>
      </w:r>
    </w:p>
    <w:p w14:paraId="3AE437FC" w14:textId="77777777" w:rsidR="00F45BC5" w:rsidRDefault="00F45BC5" w:rsidP="00F45BC5">
      <w:pPr>
        <w:tabs>
          <w:tab w:val="num" w:pos="426"/>
        </w:tabs>
        <w:jc w:val="both"/>
        <w:rPr>
          <w:rFonts w:ascii="Calibri" w:hAnsi="Calibri" w:cs="Calibri"/>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2"/>
        <w:gridCol w:w="3133"/>
        <w:gridCol w:w="2973"/>
        <w:gridCol w:w="1993"/>
        <w:gridCol w:w="2239"/>
      </w:tblGrid>
      <w:tr w:rsidR="00F45BC5" w:rsidRPr="000E478E" w14:paraId="27E0A3B9" w14:textId="77777777" w:rsidTr="007F6015">
        <w:tc>
          <w:tcPr>
            <w:tcW w:w="5245" w:type="dxa"/>
            <w:shd w:val="clear" w:color="auto" w:fill="D9D9D9"/>
          </w:tcPr>
          <w:p w14:paraId="60449D1B" w14:textId="77777777" w:rsidR="00F45BC5" w:rsidRPr="000E478E" w:rsidRDefault="00F45BC5" w:rsidP="007F6015">
            <w:pPr>
              <w:jc w:val="center"/>
              <w:rPr>
                <w:rFonts w:ascii="Calibri" w:hAnsi="Calibri" w:cs="Calibri"/>
                <w:b/>
                <w:bCs/>
                <w:sz w:val="24"/>
                <w:szCs w:val="24"/>
              </w:rPr>
            </w:pPr>
            <w:r w:rsidRPr="000E478E">
              <w:rPr>
                <w:rFonts w:ascii="Calibri" w:hAnsi="Calibri" w:cs="Calibri"/>
                <w:b/>
                <w:bCs/>
                <w:sz w:val="24"/>
                <w:szCs w:val="24"/>
              </w:rPr>
              <w:t>Audit</w:t>
            </w:r>
          </w:p>
        </w:tc>
        <w:tc>
          <w:tcPr>
            <w:tcW w:w="4513" w:type="dxa"/>
            <w:shd w:val="clear" w:color="auto" w:fill="D9D9D9"/>
          </w:tcPr>
          <w:p w14:paraId="434BF77D" w14:textId="77777777" w:rsidR="00F45BC5" w:rsidRPr="000E478E" w:rsidRDefault="00F45BC5" w:rsidP="007F6015">
            <w:pPr>
              <w:ind w:left="540" w:hanging="540"/>
              <w:jc w:val="center"/>
              <w:rPr>
                <w:rFonts w:ascii="Calibri" w:hAnsi="Calibri" w:cs="Calibri"/>
                <w:b/>
                <w:bCs/>
                <w:sz w:val="24"/>
                <w:szCs w:val="24"/>
              </w:rPr>
            </w:pPr>
            <w:r>
              <w:rPr>
                <w:rFonts w:ascii="Calibri" w:hAnsi="Calibri" w:cs="Calibri"/>
                <w:b/>
                <w:bCs/>
                <w:sz w:val="24"/>
                <w:szCs w:val="24"/>
              </w:rPr>
              <w:t>Link to Risk Register</w:t>
            </w:r>
          </w:p>
        </w:tc>
        <w:tc>
          <w:tcPr>
            <w:tcW w:w="4134" w:type="dxa"/>
            <w:shd w:val="clear" w:color="auto" w:fill="D9D9D9"/>
          </w:tcPr>
          <w:p w14:paraId="546258B7" w14:textId="77777777" w:rsidR="00F45BC5" w:rsidRPr="000E478E" w:rsidRDefault="00F45BC5" w:rsidP="007F6015">
            <w:pPr>
              <w:ind w:left="540" w:hanging="540"/>
              <w:jc w:val="center"/>
              <w:rPr>
                <w:rFonts w:ascii="Calibri" w:hAnsi="Calibri" w:cs="Calibri"/>
                <w:b/>
                <w:bCs/>
                <w:sz w:val="24"/>
                <w:szCs w:val="24"/>
              </w:rPr>
            </w:pPr>
            <w:r w:rsidRPr="000E478E">
              <w:rPr>
                <w:rFonts w:ascii="Calibri" w:hAnsi="Calibri" w:cs="Calibri"/>
                <w:b/>
                <w:bCs/>
                <w:sz w:val="24"/>
                <w:szCs w:val="24"/>
              </w:rPr>
              <w:t>Progress/Start Date</w:t>
            </w:r>
          </w:p>
          <w:p w14:paraId="5BF24A4E" w14:textId="77777777" w:rsidR="00F45BC5" w:rsidRPr="000E478E" w:rsidRDefault="00F45BC5" w:rsidP="007F6015">
            <w:pPr>
              <w:ind w:left="540" w:hanging="540"/>
              <w:jc w:val="center"/>
              <w:rPr>
                <w:rFonts w:ascii="Calibri" w:hAnsi="Calibri" w:cs="Calibri"/>
                <w:b/>
                <w:bCs/>
                <w:sz w:val="24"/>
                <w:szCs w:val="24"/>
              </w:rPr>
            </w:pPr>
          </w:p>
        </w:tc>
        <w:tc>
          <w:tcPr>
            <w:tcW w:w="2551" w:type="dxa"/>
            <w:shd w:val="clear" w:color="auto" w:fill="D9D9D9"/>
          </w:tcPr>
          <w:p w14:paraId="79198CC4" w14:textId="77777777" w:rsidR="00F45BC5" w:rsidRPr="000E478E" w:rsidRDefault="00F45BC5" w:rsidP="007F6015">
            <w:pPr>
              <w:ind w:left="540" w:hanging="540"/>
              <w:jc w:val="center"/>
              <w:rPr>
                <w:rFonts w:ascii="Calibri" w:hAnsi="Calibri" w:cs="Calibri"/>
                <w:b/>
                <w:bCs/>
                <w:sz w:val="24"/>
                <w:szCs w:val="24"/>
              </w:rPr>
            </w:pPr>
            <w:r w:rsidRPr="000E478E">
              <w:rPr>
                <w:rFonts w:ascii="Calibri" w:hAnsi="Calibri" w:cs="Calibri"/>
                <w:b/>
                <w:bCs/>
                <w:sz w:val="24"/>
                <w:szCs w:val="24"/>
              </w:rPr>
              <w:t>Assurance Level</w:t>
            </w:r>
          </w:p>
        </w:tc>
        <w:tc>
          <w:tcPr>
            <w:tcW w:w="3119" w:type="dxa"/>
            <w:shd w:val="clear" w:color="auto" w:fill="D9D9D9"/>
          </w:tcPr>
          <w:p w14:paraId="643A33C3" w14:textId="77777777" w:rsidR="00F45BC5" w:rsidRPr="000E478E" w:rsidRDefault="00F45BC5" w:rsidP="007F6015">
            <w:pPr>
              <w:ind w:left="540" w:hanging="540"/>
              <w:jc w:val="center"/>
              <w:rPr>
                <w:rFonts w:ascii="Calibri" w:hAnsi="Calibri" w:cs="Calibri"/>
                <w:b/>
                <w:bCs/>
                <w:sz w:val="24"/>
                <w:szCs w:val="24"/>
              </w:rPr>
            </w:pPr>
            <w:r w:rsidRPr="000E478E">
              <w:rPr>
                <w:rFonts w:ascii="Calibri" w:hAnsi="Calibri" w:cs="Calibri"/>
                <w:b/>
                <w:bCs/>
                <w:sz w:val="24"/>
                <w:szCs w:val="24"/>
              </w:rPr>
              <w:t>Date to ARC</w:t>
            </w:r>
          </w:p>
        </w:tc>
      </w:tr>
      <w:tr w:rsidR="00F45BC5" w:rsidRPr="000E478E" w14:paraId="7D2E4F22" w14:textId="77777777" w:rsidTr="007F6015">
        <w:tc>
          <w:tcPr>
            <w:tcW w:w="5245" w:type="dxa"/>
          </w:tcPr>
          <w:p w14:paraId="6FF5A88D" w14:textId="77777777" w:rsidR="00F45BC5" w:rsidRPr="00970ADE" w:rsidRDefault="00F45BC5" w:rsidP="007F6015">
            <w:pPr>
              <w:pStyle w:val="BodyText"/>
              <w:spacing w:line="276" w:lineRule="auto"/>
              <w:rPr>
                <w:rFonts w:ascii="Calibri" w:hAnsi="Calibri" w:cs="Calibri"/>
                <w:szCs w:val="24"/>
              </w:rPr>
            </w:pPr>
            <w:r>
              <w:rPr>
                <w:rFonts w:ascii="Calibri" w:hAnsi="Calibri" w:cs="Calibri"/>
                <w:szCs w:val="24"/>
              </w:rPr>
              <w:t>Project Management Approach Health Check;</w:t>
            </w:r>
          </w:p>
        </w:tc>
        <w:tc>
          <w:tcPr>
            <w:tcW w:w="4513" w:type="dxa"/>
          </w:tcPr>
          <w:p w14:paraId="3E5019D7" w14:textId="77777777" w:rsidR="00F45BC5" w:rsidRPr="003B3D76" w:rsidRDefault="00F45BC5" w:rsidP="007F6015">
            <w:pPr>
              <w:jc w:val="center"/>
              <w:rPr>
                <w:rFonts w:ascii="Calibri" w:hAnsi="Calibri" w:cs="Calibri"/>
                <w:bCs/>
                <w:sz w:val="24"/>
                <w:szCs w:val="24"/>
              </w:rPr>
            </w:pPr>
            <w:r w:rsidRPr="003B3D76">
              <w:rPr>
                <w:rFonts w:ascii="Calibri" w:hAnsi="Calibri" w:cs="Calibri"/>
                <w:sz w:val="24"/>
                <w:szCs w:val="24"/>
              </w:rPr>
              <w:t>Corporate Risk 137</w:t>
            </w:r>
          </w:p>
        </w:tc>
        <w:tc>
          <w:tcPr>
            <w:tcW w:w="4134" w:type="dxa"/>
          </w:tcPr>
          <w:p w14:paraId="21FC273F" w14:textId="77777777" w:rsidR="00F45BC5" w:rsidRPr="00970ADE" w:rsidRDefault="00F45BC5" w:rsidP="007F6015">
            <w:pPr>
              <w:ind w:left="540" w:hanging="540"/>
              <w:jc w:val="center"/>
              <w:rPr>
                <w:rFonts w:ascii="Calibri" w:hAnsi="Calibri" w:cs="Calibri"/>
                <w:sz w:val="24"/>
                <w:szCs w:val="24"/>
              </w:rPr>
            </w:pPr>
            <w:r w:rsidRPr="00970ADE">
              <w:rPr>
                <w:rFonts w:ascii="Calibri" w:hAnsi="Calibri" w:cs="Calibri"/>
                <w:sz w:val="24"/>
                <w:szCs w:val="24"/>
              </w:rPr>
              <w:t>Closed</w:t>
            </w:r>
          </w:p>
        </w:tc>
        <w:tc>
          <w:tcPr>
            <w:tcW w:w="2551" w:type="dxa"/>
          </w:tcPr>
          <w:p w14:paraId="617A6311" w14:textId="77777777" w:rsidR="00F45BC5" w:rsidRPr="000E478E" w:rsidRDefault="00F45BC5" w:rsidP="007F6015">
            <w:pPr>
              <w:ind w:left="540" w:hanging="540"/>
              <w:jc w:val="center"/>
              <w:rPr>
                <w:rFonts w:ascii="Calibri" w:hAnsi="Calibri" w:cs="Calibri"/>
                <w:sz w:val="24"/>
                <w:szCs w:val="24"/>
              </w:rPr>
            </w:pPr>
            <w:r>
              <w:rPr>
                <w:rFonts w:ascii="Calibri" w:hAnsi="Calibri" w:cs="Calibri"/>
                <w:sz w:val="24"/>
                <w:szCs w:val="24"/>
              </w:rPr>
              <w:t>N/A</w:t>
            </w:r>
          </w:p>
        </w:tc>
        <w:tc>
          <w:tcPr>
            <w:tcW w:w="3119" w:type="dxa"/>
          </w:tcPr>
          <w:p w14:paraId="2F377272" w14:textId="77777777" w:rsidR="00F45BC5" w:rsidRPr="000E478E" w:rsidRDefault="00F45BC5" w:rsidP="007F6015">
            <w:pPr>
              <w:ind w:left="540" w:hanging="540"/>
              <w:jc w:val="center"/>
              <w:rPr>
                <w:rFonts w:ascii="Calibri" w:hAnsi="Calibri" w:cs="Calibri"/>
                <w:sz w:val="24"/>
                <w:szCs w:val="24"/>
              </w:rPr>
            </w:pPr>
            <w:r>
              <w:rPr>
                <w:rFonts w:ascii="Calibri" w:hAnsi="Calibri" w:cs="Calibri"/>
                <w:sz w:val="24"/>
                <w:szCs w:val="24"/>
              </w:rPr>
              <w:t>May 2023</w:t>
            </w:r>
          </w:p>
        </w:tc>
      </w:tr>
      <w:tr w:rsidR="00F45BC5" w:rsidRPr="000E478E" w14:paraId="5A9F6250" w14:textId="77777777" w:rsidTr="007F6015">
        <w:tc>
          <w:tcPr>
            <w:tcW w:w="5245" w:type="dxa"/>
            <w:tcBorders>
              <w:bottom w:val="single" w:sz="4" w:space="0" w:color="auto"/>
            </w:tcBorders>
          </w:tcPr>
          <w:p w14:paraId="749ED5BE" w14:textId="77777777" w:rsidR="00F45BC5" w:rsidRPr="00970ADE" w:rsidRDefault="00F45BC5" w:rsidP="007F6015">
            <w:pPr>
              <w:pStyle w:val="BodyText"/>
              <w:spacing w:line="276" w:lineRule="auto"/>
              <w:rPr>
                <w:rFonts w:ascii="Calibri" w:hAnsi="Calibri" w:cs="Calibri"/>
                <w:szCs w:val="24"/>
              </w:rPr>
            </w:pPr>
            <w:r>
              <w:rPr>
                <w:rFonts w:ascii="Calibri" w:hAnsi="Calibri" w:cs="Calibri"/>
                <w:szCs w:val="24"/>
              </w:rPr>
              <w:t>Workload Prioritisation and Management Stage 2;</w:t>
            </w:r>
          </w:p>
        </w:tc>
        <w:tc>
          <w:tcPr>
            <w:tcW w:w="4513" w:type="dxa"/>
            <w:tcBorders>
              <w:bottom w:val="single" w:sz="4" w:space="0" w:color="auto"/>
            </w:tcBorders>
          </w:tcPr>
          <w:p w14:paraId="0C7AC6BF" w14:textId="77777777" w:rsidR="00F45BC5" w:rsidRPr="003B3D76" w:rsidRDefault="00F45BC5" w:rsidP="007F6015">
            <w:pPr>
              <w:jc w:val="center"/>
              <w:rPr>
                <w:rFonts w:ascii="Calibri" w:hAnsi="Calibri" w:cs="Calibri"/>
                <w:bCs/>
                <w:sz w:val="24"/>
                <w:szCs w:val="24"/>
              </w:rPr>
            </w:pPr>
            <w:r w:rsidRPr="003B3D76">
              <w:rPr>
                <w:rFonts w:ascii="Calibri" w:hAnsi="Calibri" w:cs="Calibri"/>
                <w:sz w:val="24"/>
                <w:szCs w:val="24"/>
              </w:rPr>
              <w:t>Corporate Risk 137</w:t>
            </w:r>
          </w:p>
        </w:tc>
        <w:tc>
          <w:tcPr>
            <w:tcW w:w="4134" w:type="dxa"/>
            <w:tcBorders>
              <w:bottom w:val="single" w:sz="4" w:space="0" w:color="auto"/>
            </w:tcBorders>
          </w:tcPr>
          <w:p w14:paraId="5D275671" w14:textId="77777777" w:rsidR="00F45BC5" w:rsidRPr="00970ADE" w:rsidRDefault="00F45BC5" w:rsidP="007F6015">
            <w:pPr>
              <w:ind w:left="540" w:hanging="540"/>
              <w:jc w:val="center"/>
              <w:rPr>
                <w:rFonts w:ascii="Calibri" w:hAnsi="Calibri" w:cs="Calibri"/>
                <w:sz w:val="24"/>
                <w:szCs w:val="24"/>
              </w:rPr>
            </w:pPr>
            <w:r w:rsidRPr="00970ADE">
              <w:rPr>
                <w:rFonts w:ascii="Calibri" w:hAnsi="Calibri" w:cs="Calibri"/>
                <w:sz w:val="24"/>
                <w:szCs w:val="24"/>
              </w:rPr>
              <w:t>Closed</w:t>
            </w:r>
          </w:p>
        </w:tc>
        <w:tc>
          <w:tcPr>
            <w:tcW w:w="2551" w:type="dxa"/>
            <w:tcBorders>
              <w:bottom w:val="single" w:sz="4" w:space="0" w:color="auto"/>
            </w:tcBorders>
          </w:tcPr>
          <w:p w14:paraId="492C0AB6" w14:textId="77777777" w:rsidR="00F45BC5" w:rsidRPr="000E478E" w:rsidRDefault="00F45BC5" w:rsidP="007F6015">
            <w:pPr>
              <w:ind w:left="540" w:hanging="540"/>
              <w:jc w:val="center"/>
              <w:rPr>
                <w:rFonts w:ascii="Calibri" w:hAnsi="Calibri" w:cs="Calibri"/>
                <w:sz w:val="24"/>
                <w:szCs w:val="24"/>
              </w:rPr>
            </w:pPr>
            <w:r>
              <w:rPr>
                <w:rFonts w:ascii="Calibri" w:hAnsi="Calibri" w:cs="Calibri"/>
                <w:sz w:val="24"/>
                <w:szCs w:val="24"/>
              </w:rPr>
              <w:t>Satisfactory</w:t>
            </w:r>
          </w:p>
        </w:tc>
        <w:tc>
          <w:tcPr>
            <w:tcW w:w="3119" w:type="dxa"/>
            <w:tcBorders>
              <w:bottom w:val="single" w:sz="4" w:space="0" w:color="auto"/>
            </w:tcBorders>
          </w:tcPr>
          <w:p w14:paraId="39A3C3E8" w14:textId="77777777" w:rsidR="00F45BC5" w:rsidRPr="000E478E" w:rsidRDefault="00F45BC5" w:rsidP="007F6015">
            <w:pPr>
              <w:ind w:left="540" w:hanging="540"/>
              <w:jc w:val="center"/>
              <w:rPr>
                <w:rFonts w:ascii="Calibri" w:hAnsi="Calibri" w:cs="Calibri"/>
                <w:sz w:val="24"/>
                <w:szCs w:val="24"/>
              </w:rPr>
            </w:pPr>
            <w:r>
              <w:rPr>
                <w:rFonts w:ascii="Calibri" w:hAnsi="Calibri" w:cs="Calibri"/>
                <w:sz w:val="24"/>
                <w:szCs w:val="24"/>
              </w:rPr>
              <w:t>May 2023</w:t>
            </w:r>
          </w:p>
        </w:tc>
      </w:tr>
      <w:tr w:rsidR="00F45BC5" w:rsidRPr="000E478E" w14:paraId="74514180" w14:textId="77777777" w:rsidTr="007F6015">
        <w:tc>
          <w:tcPr>
            <w:tcW w:w="5245" w:type="dxa"/>
          </w:tcPr>
          <w:p w14:paraId="2F8B7865" w14:textId="77777777" w:rsidR="00F45BC5" w:rsidRPr="00970ADE" w:rsidRDefault="00F45BC5" w:rsidP="007F6015">
            <w:pPr>
              <w:rPr>
                <w:rFonts w:ascii="Calibri" w:hAnsi="Calibri" w:cs="Calibri"/>
                <w:bCs/>
                <w:sz w:val="24"/>
                <w:szCs w:val="24"/>
              </w:rPr>
            </w:pPr>
            <w:r w:rsidRPr="00970ADE">
              <w:rPr>
                <w:rFonts w:ascii="Calibri" w:hAnsi="Calibri" w:cs="Calibri"/>
                <w:sz w:val="24"/>
                <w:szCs w:val="24"/>
              </w:rPr>
              <w:t>Azets Green Finance Initiatives</w:t>
            </w:r>
          </w:p>
        </w:tc>
        <w:tc>
          <w:tcPr>
            <w:tcW w:w="4513" w:type="dxa"/>
          </w:tcPr>
          <w:p w14:paraId="149692A9" w14:textId="77777777" w:rsidR="00F45BC5" w:rsidRPr="000E478E" w:rsidRDefault="00F45BC5" w:rsidP="007F6015">
            <w:pPr>
              <w:jc w:val="center"/>
              <w:rPr>
                <w:rFonts w:ascii="Calibri" w:hAnsi="Calibri" w:cs="Calibri"/>
                <w:bCs/>
                <w:sz w:val="24"/>
                <w:szCs w:val="24"/>
              </w:rPr>
            </w:pPr>
            <w:r>
              <w:rPr>
                <w:rFonts w:ascii="Calibri" w:hAnsi="Calibri" w:cs="Calibri"/>
                <w:bCs/>
                <w:sz w:val="24"/>
                <w:szCs w:val="24"/>
              </w:rPr>
              <w:t>Corporate Risk 393</w:t>
            </w:r>
          </w:p>
        </w:tc>
        <w:tc>
          <w:tcPr>
            <w:tcW w:w="4134" w:type="dxa"/>
          </w:tcPr>
          <w:p w14:paraId="6F851A4F" w14:textId="77777777" w:rsidR="00F45BC5" w:rsidRPr="000E478E" w:rsidRDefault="00F45BC5" w:rsidP="007F6015">
            <w:pPr>
              <w:ind w:left="540" w:hanging="540"/>
              <w:jc w:val="center"/>
              <w:rPr>
                <w:rFonts w:ascii="Calibri" w:hAnsi="Calibri" w:cs="Calibri"/>
                <w:sz w:val="24"/>
                <w:szCs w:val="24"/>
              </w:rPr>
            </w:pPr>
            <w:r>
              <w:rPr>
                <w:rFonts w:ascii="Calibri" w:hAnsi="Calibri" w:cs="Calibri"/>
                <w:sz w:val="24"/>
                <w:szCs w:val="24"/>
              </w:rPr>
              <w:t>Closed</w:t>
            </w:r>
          </w:p>
        </w:tc>
        <w:tc>
          <w:tcPr>
            <w:tcW w:w="2551" w:type="dxa"/>
          </w:tcPr>
          <w:p w14:paraId="604F3C63" w14:textId="77777777" w:rsidR="00F45BC5" w:rsidRPr="000E478E" w:rsidRDefault="00F45BC5" w:rsidP="007F6015">
            <w:pPr>
              <w:ind w:left="540" w:hanging="540"/>
              <w:jc w:val="center"/>
              <w:rPr>
                <w:rFonts w:ascii="Calibri" w:hAnsi="Calibri" w:cs="Calibri"/>
                <w:sz w:val="24"/>
                <w:szCs w:val="24"/>
              </w:rPr>
            </w:pPr>
            <w:r>
              <w:rPr>
                <w:rFonts w:ascii="Calibri" w:hAnsi="Calibri" w:cs="Calibri"/>
                <w:sz w:val="24"/>
                <w:szCs w:val="24"/>
              </w:rPr>
              <w:t>N/A</w:t>
            </w:r>
          </w:p>
        </w:tc>
        <w:tc>
          <w:tcPr>
            <w:tcW w:w="3119" w:type="dxa"/>
          </w:tcPr>
          <w:p w14:paraId="5ACC8D30" w14:textId="77777777" w:rsidR="00F45BC5" w:rsidRPr="00990B7A" w:rsidRDefault="00F45BC5" w:rsidP="007F6015">
            <w:pPr>
              <w:jc w:val="center"/>
              <w:rPr>
                <w:rFonts w:ascii="Calibri" w:hAnsi="Calibri" w:cs="Calibri"/>
                <w:sz w:val="24"/>
                <w:szCs w:val="24"/>
              </w:rPr>
            </w:pPr>
            <w:r w:rsidRPr="00990B7A">
              <w:rPr>
                <w:rFonts w:ascii="Calibri" w:hAnsi="Calibri" w:cs="Calibri"/>
                <w:sz w:val="24"/>
                <w:szCs w:val="24"/>
              </w:rPr>
              <w:t>May 2023</w:t>
            </w:r>
          </w:p>
        </w:tc>
      </w:tr>
    </w:tbl>
    <w:p w14:paraId="47C409A1" w14:textId="77777777" w:rsidR="00F45BC5" w:rsidRPr="00F45BC5" w:rsidRDefault="00F45BC5" w:rsidP="00F45BC5">
      <w:pPr>
        <w:pStyle w:val="Heading2"/>
        <w:spacing w:line="276" w:lineRule="auto"/>
        <w:rPr>
          <w:bCs/>
        </w:rPr>
      </w:pPr>
      <w:r w:rsidRPr="00F45BC5">
        <w:rPr>
          <w:bCs/>
        </w:rPr>
        <w:t>2023/24 Audits:</w:t>
      </w:r>
    </w:p>
    <w:p w14:paraId="46B23656" w14:textId="77777777" w:rsidR="00F45BC5" w:rsidRPr="000E478E" w:rsidRDefault="00F45BC5" w:rsidP="00F45BC5">
      <w:pPr>
        <w:tabs>
          <w:tab w:val="num" w:pos="426"/>
        </w:tabs>
        <w:jc w:val="center"/>
        <w:rPr>
          <w:rFonts w:ascii="Calibri" w:hAnsi="Calibri" w:cs="Calibri"/>
          <w:b/>
          <w:sz w:val="24"/>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4"/>
        <w:gridCol w:w="3004"/>
        <w:gridCol w:w="2931"/>
        <w:gridCol w:w="2011"/>
        <w:gridCol w:w="2500"/>
      </w:tblGrid>
      <w:tr w:rsidR="00F45BC5" w:rsidRPr="000E478E" w14:paraId="255547A5" w14:textId="77777777" w:rsidTr="007F6015">
        <w:tc>
          <w:tcPr>
            <w:tcW w:w="5245" w:type="dxa"/>
            <w:shd w:val="clear" w:color="auto" w:fill="D9D9D9"/>
          </w:tcPr>
          <w:p w14:paraId="3DDB5AB5" w14:textId="77777777" w:rsidR="00F45BC5" w:rsidRPr="000E478E" w:rsidRDefault="00F45BC5" w:rsidP="007F6015">
            <w:pPr>
              <w:jc w:val="center"/>
              <w:rPr>
                <w:rFonts w:ascii="Calibri" w:hAnsi="Calibri" w:cs="Calibri"/>
                <w:b/>
                <w:bCs/>
                <w:sz w:val="24"/>
                <w:szCs w:val="24"/>
              </w:rPr>
            </w:pPr>
            <w:r w:rsidRPr="000E478E">
              <w:rPr>
                <w:rFonts w:ascii="Calibri" w:hAnsi="Calibri" w:cs="Calibri"/>
                <w:b/>
                <w:bCs/>
                <w:sz w:val="24"/>
                <w:szCs w:val="24"/>
              </w:rPr>
              <w:t>Audit</w:t>
            </w:r>
          </w:p>
        </w:tc>
        <w:tc>
          <w:tcPr>
            <w:tcW w:w="4513" w:type="dxa"/>
            <w:shd w:val="clear" w:color="auto" w:fill="D9D9D9"/>
          </w:tcPr>
          <w:p w14:paraId="2333A6F3" w14:textId="77777777" w:rsidR="00F45BC5" w:rsidRPr="000E478E" w:rsidRDefault="00F45BC5" w:rsidP="007F6015">
            <w:pPr>
              <w:ind w:left="540" w:hanging="540"/>
              <w:jc w:val="center"/>
              <w:rPr>
                <w:rFonts w:ascii="Calibri" w:hAnsi="Calibri" w:cs="Calibri"/>
                <w:b/>
                <w:bCs/>
                <w:sz w:val="24"/>
                <w:szCs w:val="24"/>
              </w:rPr>
            </w:pPr>
            <w:r>
              <w:rPr>
                <w:rFonts w:ascii="Calibri" w:hAnsi="Calibri" w:cs="Calibri"/>
                <w:b/>
                <w:bCs/>
                <w:sz w:val="24"/>
                <w:szCs w:val="24"/>
              </w:rPr>
              <w:t>Link to Risk Register</w:t>
            </w:r>
          </w:p>
        </w:tc>
        <w:tc>
          <w:tcPr>
            <w:tcW w:w="4134" w:type="dxa"/>
            <w:shd w:val="clear" w:color="auto" w:fill="D9D9D9"/>
          </w:tcPr>
          <w:p w14:paraId="0F987FE9" w14:textId="77777777" w:rsidR="00F45BC5" w:rsidRPr="000E478E" w:rsidRDefault="00F45BC5" w:rsidP="007F6015">
            <w:pPr>
              <w:ind w:left="540" w:hanging="540"/>
              <w:jc w:val="center"/>
              <w:rPr>
                <w:rFonts w:ascii="Calibri" w:hAnsi="Calibri" w:cs="Calibri"/>
                <w:b/>
                <w:bCs/>
                <w:sz w:val="24"/>
                <w:szCs w:val="24"/>
              </w:rPr>
            </w:pPr>
            <w:r w:rsidRPr="000E478E">
              <w:rPr>
                <w:rFonts w:ascii="Calibri" w:hAnsi="Calibri" w:cs="Calibri"/>
                <w:b/>
                <w:bCs/>
                <w:sz w:val="24"/>
                <w:szCs w:val="24"/>
              </w:rPr>
              <w:t>Progress/Start Date</w:t>
            </w:r>
          </w:p>
          <w:p w14:paraId="686FD9FF" w14:textId="77777777" w:rsidR="00F45BC5" w:rsidRPr="000E478E" w:rsidRDefault="00F45BC5" w:rsidP="007F6015">
            <w:pPr>
              <w:ind w:left="540" w:hanging="540"/>
              <w:jc w:val="center"/>
              <w:rPr>
                <w:rFonts w:ascii="Calibri" w:hAnsi="Calibri" w:cs="Calibri"/>
                <w:b/>
                <w:bCs/>
                <w:sz w:val="24"/>
                <w:szCs w:val="24"/>
              </w:rPr>
            </w:pPr>
          </w:p>
        </w:tc>
        <w:tc>
          <w:tcPr>
            <w:tcW w:w="2551" w:type="dxa"/>
            <w:shd w:val="clear" w:color="auto" w:fill="D9D9D9"/>
          </w:tcPr>
          <w:p w14:paraId="260AE900" w14:textId="77777777" w:rsidR="00F45BC5" w:rsidRDefault="00F45BC5" w:rsidP="007F6015">
            <w:pPr>
              <w:ind w:left="540" w:hanging="540"/>
              <w:jc w:val="center"/>
              <w:rPr>
                <w:rFonts w:ascii="Calibri" w:hAnsi="Calibri" w:cs="Calibri"/>
                <w:b/>
                <w:bCs/>
                <w:sz w:val="24"/>
                <w:szCs w:val="24"/>
              </w:rPr>
            </w:pPr>
            <w:r w:rsidRPr="000E478E">
              <w:rPr>
                <w:rFonts w:ascii="Calibri" w:hAnsi="Calibri" w:cs="Calibri"/>
                <w:b/>
                <w:bCs/>
                <w:sz w:val="24"/>
                <w:szCs w:val="24"/>
              </w:rPr>
              <w:t>Assurance Level</w:t>
            </w:r>
          </w:p>
          <w:p w14:paraId="0B9964EB" w14:textId="77777777" w:rsidR="00F45BC5" w:rsidRPr="000E478E" w:rsidRDefault="00F45BC5" w:rsidP="007F6015">
            <w:pPr>
              <w:ind w:left="540" w:hanging="540"/>
              <w:jc w:val="center"/>
              <w:rPr>
                <w:rFonts w:ascii="Calibri" w:hAnsi="Calibri" w:cs="Calibri"/>
                <w:b/>
                <w:bCs/>
                <w:sz w:val="24"/>
                <w:szCs w:val="24"/>
              </w:rPr>
            </w:pPr>
            <w:r>
              <w:rPr>
                <w:rFonts w:ascii="Calibri" w:hAnsi="Calibri" w:cs="Calibri"/>
                <w:b/>
                <w:bCs/>
                <w:sz w:val="24"/>
                <w:szCs w:val="24"/>
              </w:rPr>
              <w:t xml:space="preserve"> Control RAG Rating</w:t>
            </w:r>
          </w:p>
        </w:tc>
        <w:tc>
          <w:tcPr>
            <w:tcW w:w="3119" w:type="dxa"/>
            <w:shd w:val="clear" w:color="auto" w:fill="D9D9D9"/>
          </w:tcPr>
          <w:p w14:paraId="16C13C87" w14:textId="77777777" w:rsidR="00F45BC5" w:rsidRDefault="00F45BC5" w:rsidP="007F6015">
            <w:pPr>
              <w:ind w:left="540" w:hanging="540"/>
              <w:jc w:val="center"/>
              <w:rPr>
                <w:rFonts w:ascii="Calibri" w:hAnsi="Calibri" w:cs="Calibri"/>
                <w:b/>
                <w:bCs/>
                <w:sz w:val="24"/>
                <w:szCs w:val="24"/>
              </w:rPr>
            </w:pPr>
            <w:r>
              <w:rPr>
                <w:rFonts w:ascii="Calibri" w:hAnsi="Calibri" w:cs="Calibri"/>
                <w:b/>
                <w:bCs/>
                <w:sz w:val="24"/>
                <w:szCs w:val="24"/>
              </w:rPr>
              <w:t>Actual or Anticipated Date</w:t>
            </w:r>
          </w:p>
          <w:p w14:paraId="0E3BC084" w14:textId="77777777" w:rsidR="00F45BC5" w:rsidRPr="000E478E" w:rsidRDefault="00F45BC5" w:rsidP="007F6015">
            <w:pPr>
              <w:ind w:left="540" w:hanging="540"/>
              <w:jc w:val="center"/>
              <w:rPr>
                <w:rFonts w:ascii="Calibri" w:hAnsi="Calibri" w:cs="Calibri"/>
                <w:b/>
                <w:bCs/>
                <w:sz w:val="24"/>
                <w:szCs w:val="24"/>
              </w:rPr>
            </w:pPr>
            <w:r w:rsidRPr="000E478E">
              <w:rPr>
                <w:rFonts w:ascii="Calibri" w:hAnsi="Calibri" w:cs="Calibri"/>
                <w:b/>
                <w:bCs/>
                <w:sz w:val="24"/>
                <w:szCs w:val="24"/>
              </w:rPr>
              <w:t>to ARC</w:t>
            </w:r>
          </w:p>
        </w:tc>
      </w:tr>
      <w:tr w:rsidR="00F45BC5" w:rsidRPr="000E478E" w14:paraId="77CB8F29" w14:textId="77777777" w:rsidTr="007F6015">
        <w:trPr>
          <w:cantSplit/>
        </w:trPr>
        <w:tc>
          <w:tcPr>
            <w:tcW w:w="5245" w:type="dxa"/>
          </w:tcPr>
          <w:p w14:paraId="53AA478D" w14:textId="77777777" w:rsidR="00F45BC5" w:rsidRPr="003B3D76" w:rsidRDefault="00F45BC5" w:rsidP="007F6015">
            <w:pPr>
              <w:rPr>
                <w:rFonts w:ascii="Calibri" w:hAnsi="Calibri" w:cs="Calibri"/>
                <w:bCs/>
                <w:sz w:val="24"/>
                <w:szCs w:val="24"/>
              </w:rPr>
            </w:pPr>
            <w:r w:rsidRPr="003B3D76">
              <w:rPr>
                <w:rFonts w:ascii="Calibri" w:hAnsi="Calibri" w:cs="Calibri"/>
                <w:bCs/>
                <w:sz w:val="24"/>
                <w:szCs w:val="24"/>
              </w:rPr>
              <w:t>SRDP Service Level Agreement Compliance</w:t>
            </w:r>
          </w:p>
        </w:tc>
        <w:tc>
          <w:tcPr>
            <w:tcW w:w="4513" w:type="dxa"/>
          </w:tcPr>
          <w:p w14:paraId="4687D86B" w14:textId="77777777" w:rsidR="00F45BC5" w:rsidRPr="003B3D76" w:rsidRDefault="00F45BC5" w:rsidP="007F6015">
            <w:pPr>
              <w:jc w:val="center"/>
              <w:rPr>
                <w:rFonts w:ascii="Calibri" w:hAnsi="Calibri" w:cs="Calibri"/>
                <w:bCs/>
                <w:sz w:val="24"/>
                <w:szCs w:val="24"/>
              </w:rPr>
            </w:pPr>
            <w:r w:rsidRPr="003B3D76">
              <w:rPr>
                <w:rFonts w:ascii="Calibri" w:hAnsi="Calibri" w:cs="Calibri"/>
                <w:bCs/>
                <w:sz w:val="24"/>
                <w:szCs w:val="24"/>
              </w:rPr>
              <w:t>Corporate Risk 71</w:t>
            </w:r>
          </w:p>
        </w:tc>
        <w:tc>
          <w:tcPr>
            <w:tcW w:w="4134" w:type="dxa"/>
          </w:tcPr>
          <w:p w14:paraId="648665CC" w14:textId="77777777" w:rsidR="00F45BC5" w:rsidRPr="000E478E" w:rsidRDefault="00F45BC5" w:rsidP="007F6015">
            <w:pPr>
              <w:ind w:left="540" w:hanging="540"/>
              <w:jc w:val="center"/>
              <w:rPr>
                <w:rFonts w:ascii="Calibri" w:hAnsi="Calibri" w:cs="Calibri"/>
                <w:sz w:val="24"/>
                <w:szCs w:val="24"/>
              </w:rPr>
            </w:pPr>
            <w:r>
              <w:rPr>
                <w:rFonts w:ascii="Calibri" w:hAnsi="Calibri" w:cs="Calibri"/>
                <w:sz w:val="24"/>
                <w:szCs w:val="24"/>
              </w:rPr>
              <w:t>Closed</w:t>
            </w:r>
          </w:p>
        </w:tc>
        <w:tc>
          <w:tcPr>
            <w:tcW w:w="2551" w:type="dxa"/>
            <w:shd w:val="clear" w:color="auto" w:fill="92D050"/>
          </w:tcPr>
          <w:p w14:paraId="12FC36A7" w14:textId="77777777" w:rsidR="00F45BC5" w:rsidRPr="000E478E" w:rsidRDefault="00F45BC5" w:rsidP="007F6015">
            <w:pPr>
              <w:ind w:left="540" w:hanging="540"/>
              <w:jc w:val="center"/>
              <w:rPr>
                <w:rFonts w:ascii="Calibri" w:hAnsi="Calibri" w:cs="Calibri"/>
                <w:sz w:val="24"/>
                <w:szCs w:val="24"/>
              </w:rPr>
            </w:pPr>
            <w:r>
              <w:rPr>
                <w:rFonts w:ascii="Calibri" w:hAnsi="Calibri" w:cs="Calibri"/>
                <w:sz w:val="24"/>
                <w:szCs w:val="24"/>
              </w:rPr>
              <w:t>Satisfactory</w:t>
            </w:r>
          </w:p>
        </w:tc>
        <w:tc>
          <w:tcPr>
            <w:tcW w:w="3119" w:type="dxa"/>
          </w:tcPr>
          <w:p w14:paraId="70C95B96" w14:textId="77777777" w:rsidR="00F45BC5" w:rsidRPr="00197176" w:rsidRDefault="00F45BC5" w:rsidP="007F6015">
            <w:pPr>
              <w:ind w:left="540" w:hanging="540"/>
              <w:jc w:val="center"/>
              <w:rPr>
                <w:rFonts w:ascii="Calibri" w:hAnsi="Calibri" w:cs="Calibri"/>
                <w:sz w:val="24"/>
                <w:szCs w:val="24"/>
              </w:rPr>
            </w:pPr>
            <w:r>
              <w:rPr>
                <w:rFonts w:ascii="Calibri" w:hAnsi="Calibri" w:cs="Calibri"/>
                <w:sz w:val="24"/>
                <w:szCs w:val="24"/>
              </w:rPr>
              <w:t>August 2023</w:t>
            </w:r>
          </w:p>
        </w:tc>
      </w:tr>
      <w:tr w:rsidR="00F45BC5" w:rsidRPr="000E478E" w14:paraId="5EFB24F7" w14:textId="77777777" w:rsidTr="007F6015">
        <w:trPr>
          <w:cantSplit/>
        </w:trPr>
        <w:tc>
          <w:tcPr>
            <w:tcW w:w="5245" w:type="dxa"/>
          </w:tcPr>
          <w:p w14:paraId="574019E5" w14:textId="77777777" w:rsidR="00F45BC5" w:rsidRPr="003B3D76" w:rsidRDefault="00F45BC5" w:rsidP="007F6015">
            <w:pPr>
              <w:rPr>
                <w:rFonts w:ascii="Calibri" w:hAnsi="Calibri" w:cs="Calibri"/>
                <w:bCs/>
                <w:sz w:val="24"/>
                <w:szCs w:val="24"/>
              </w:rPr>
            </w:pPr>
            <w:r w:rsidRPr="003B3D76">
              <w:rPr>
                <w:rFonts w:ascii="Calibri" w:hAnsi="Calibri" w:cs="Calibri"/>
                <w:bCs/>
                <w:sz w:val="24"/>
                <w:szCs w:val="24"/>
              </w:rPr>
              <w:t>Azets Financial Forecasting Follow-Up</w:t>
            </w:r>
          </w:p>
        </w:tc>
        <w:tc>
          <w:tcPr>
            <w:tcW w:w="4513" w:type="dxa"/>
          </w:tcPr>
          <w:p w14:paraId="512E45B9" w14:textId="77777777" w:rsidR="00F45BC5" w:rsidRPr="003B3D76" w:rsidRDefault="00F45BC5" w:rsidP="007F6015">
            <w:pPr>
              <w:jc w:val="center"/>
              <w:rPr>
                <w:rFonts w:ascii="Calibri" w:hAnsi="Calibri" w:cs="Calibri"/>
                <w:sz w:val="24"/>
                <w:szCs w:val="24"/>
              </w:rPr>
            </w:pPr>
            <w:r w:rsidRPr="003B3D76">
              <w:rPr>
                <w:rFonts w:ascii="Calibri" w:hAnsi="Calibri" w:cs="Calibri"/>
                <w:sz w:val="24"/>
                <w:szCs w:val="24"/>
              </w:rPr>
              <w:t>Weak Assurance</w:t>
            </w:r>
          </w:p>
          <w:p w14:paraId="7735BABF" w14:textId="77777777" w:rsidR="00F45BC5" w:rsidRPr="003B3D76" w:rsidRDefault="00F45BC5" w:rsidP="007F6015">
            <w:pPr>
              <w:jc w:val="center"/>
              <w:rPr>
                <w:rFonts w:ascii="Calibri" w:hAnsi="Calibri" w:cs="Calibri"/>
                <w:sz w:val="24"/>
                <w:szCs w:val="24"/>
              </w:rPr>
            </w:pPr>
            <w:r w:rsidRPr="003B3D76">
              <w:rPr>
                <w:rFonts w:ascii="Calibri" w:hAnsi="Calibri" w:cs="Calibri"/>
                <w:sz w:val="24"/>
                <w:szCs w:val="24"/>
              </w:rPr>
              <w:t>Corporate Risk 21 &amp; 253</w:t>
            </w:r>
          </w:p>
        </w:tc>
        <w:tc>
          <w:tcPr>
            <w:tcW w:w="4134" w:type="dxa"/>
          </w:tcPr>
          <w:p w14:paraId="634A2AD8" w14:textId="77777777" w:rsidR="00F45BC5" w:rsidRDefault="00F45BC5" w:rsidP="007F6015">
            <w:pPr>
              <w:jc w:val="center"/>
              <w:rPr>
                <w:rFonts w:ascii="Calibri" w:hAnsi="Calibri" w:cs="Calibri"/>
                <w:sz w:val="24"/>
                <w:szCs w:val="24"/>
              </w:rPr>
            </w:pPr>
            <w:r>
              <w:rPr>
                <w:rFonts w:ascii="Calibri" w:hAnsi="Calibri" w:cs="Calibri"/>
                <w:sz w:val="24"/>
                <w:szCs w:val="24"/>
              </w:rPr>
              <w:t>Terms of Reference Agreed</w:t>
            </w:r>
          </w:p>
          <w:p w14:paraId="2F5A8B3E" w14:textId="77777777" w:rsidR="00F45BC5" w:rsidRDefault="00F45BC5" w:rsidP="007F6015">
            <w:pPr>
              <w:jc w:val="center"/>
            </w:pPr>
            <w:r>
              <w:rPr>
                <w:rFonts w:ascii="Calibri" w:hAnsi="Calibri" w:cs="Calibri"/>
                <w:sz w:val="24"/>
                <w:szCs w:val="24"/>
              </w:rPr>
              <w:t>Q4</w:t>
            </w:r>
            <w:r w:rsidRPr="002B7E74">
              <w:rPr>
                <w:rFonts w:ascii="Calibri" w:hAnsi="Calibri" w:cs="Calibri"/>
                <w:sz w:val="24"/>
                <w:szCs w:val="24"/>
              </w:rPr>
              <w:t xml:space="preserve"> 2023/24</w:t>
            </w:r>
          </w:p>
        </w:tc>
        <w:tc>
          <w:tcPr>
            <w:tcW w:w="2551" w:type="dxa"/>
          </w:tcPr>
          <w:p w14:paraId="3F9C9D25" w14:textId="77777777" w:rsidR="00F45BC5" w:rsidRPr="000E478E" w:rsidRDefault="00F45BC5" w:rsidP="007F6015">
            <w:pPr>
              <w:ind w:left="540" w:hanging="540"/>
              <w:jc w:val="center"/>
              <w:rPr>
                <w:rFonts w:ascii="Calibri" w:hAnsi="Calibri" w:cs="Calibri"/>
                <w:sz w:val="24"/>
                <w:szCs w:val="24"/>
              </w:rPr>
            </w:pPr>
            <w:r w:rsidRPr="000E478E">
              <w:rPr>
                <w:rFonts w:ascii="Calibri" w:hAnsi="Calibri" w:cs="Calibri"/>
                <w:sz w:val="24"/>
                <w:szCs w:val="24"/>
              </w:rPr>
              <w:t>-</w:t>
            </w:r>
          </w:p>
        </w:tc>
        <w:tc>
          <w:tcPr>
            <w:tcW w:w="3119" w:type="dxa"/>
          </w:tcPr>
          <w:p w14:paraId="76456330" w14:textId="77777777" w:rsidR="00F45BC5" w:rsidRPr="00197176" w:rsidRDefault="00F45BC5" w:rsidP="007F6015">
            <w:pPr>
              <w:ind w:left="540" w:hanging="540"/>
              <w:jc w:val="center"/>
              <w:rPr>
                <w:rFonts w:ascii="Calibri" w:hAnsi="Calibri" w:cs="Calibri"/>
                <w:sz w:val="24"/>
                <w:szCs w:val="24"/>
              </w:rPr>
            </w:pPr>
            <w:r>
              <w:rPr>
                <w:rFonts w:ascii="Calibri" w:hAnsi="Calibri" w:cs="Calibri"/>
                <w:sz w:val="24"/>
                <w:szCs w:val="24"/>
              </w:rPr>
              <w:t>March 2024</w:t>
            </w:r>
          </w:p>
        </w:tc>
      </w:tr>
      <w:tr w:rsidR="00F45BC5" w:rsidRPr="000E478E" w14:paraId="5266FE81" w14:textId="77777777" w:rsidTr="007F6015">
        <w:tc>
          <w:tcPr>
            <w:tcW w:w="5245" w:type="dxa"/>
          </w:tcPr>
          <w:p w14:paraId="63C613BC" w14:textId="77777777" w:rsidR="00F45BC5" w:rsidRPr="003B3D76" w:rsidRDefault="00F45BC5" w:rsidP="007F6015">
            <w:pPr>
              <w:rPr>
                <w:rFonts w:ascii="Calibri" w:hAnsi="Calibri" w:cs="Calibri"/>
                <w:bCs/>
                <w:sz w:val="24"/>
                <w:szCs w:val="24"/>
              </w:rPr>
            </w:pPr>
            <w:r w:rsidRPr="003B3D76">
              <w:rPr>
                <w:rFonts w:ascii="Calibri" w:hAnsi="Calibri" w:cs="Calibri"/>
                <w:bCs/>
                <w:sz w:val="24"/>
                <w:szCs w:val="24"/>
              </w:rPr>
              <w:lastRenderedPageBreak/>
              <w:t>Health &amp; Safety Risk Framework Follow-Up</w:t>
            </w:r>
          </w:p>
        </w:tc>
        <w:tc>
          <w:tcPr>
            <w:tcW w:w="4513" w:type="dxa"/>
          </w:tcPr>
          <w:p w14:paraId="40F004BD" w14:textId="77777777" w:rsidR="00F45BC5" w:rsidRPr="003B3D76" w:rsidRDefault="00F45BC5" w:rsidP="007F6015">
            <w:pPr>
              <w:jc w:val="center"/>
              <w:rPr>
                <w:rFonts w:ascii="Calibri" w:hAnsi="Calibri" w:cs="Calibri"/>
                <w:sz w:val="24"/>
                <w:szCs w:val="24"/>
              </w:rPr>
            </w:pPr>
            <w:r w:rsidRPr="003B3D76">
              <w:rPr>
                <w:rFonts w:ascii="Calibri" w:hAnsi="Calibri" w:cs="Calibri"/>
                <w:sz w:val="24"/>
                <w:szCs w:val="24"/>
              </w:rPr>
              <w:t>Weak Assurance</w:t>
            </w:r>
          </w:p>
        </w:tc>
        <w:tc>
          <w:tcPr>
            <w:tcW w:w="4134" w:type="dxa"/>
          </w:tcPr>
          <w:p w14:paraId="52F2A0A6" w14:textId="77777777" w:rsidR="00F45BC5" w:rsidRDefault="00F45BC5" w:rsidP="007F6015">
            <w:pPr>
              <w:jc w:val="center"/>
            </w:pPr>
            <w:r>
              <w:rPr>
                <w:rFonts w:ascii="Calibri" w:hAnsi="Calibri" w:cs="Calibri"/>
                <w:sz w:val="24"/>
                <w:szCs w:val="24"/>
              </w:rPr>
              <w:t>Q4</w:t>
            </w:r>
            <w:r w:rsidRPr="002B7E74">
              <w:rPr>
                <w:rFonts w:ascii="Calibri" w:hAnsi="Calibri" w:cs="Calibri"/>
                <w:sz w:val="24"/>
                <w:szCs w:val="24"/>
              </w:rPr>
              <w:t xml:space="preserve"> 2023/24</w:t>
            </w:r>
          </w:p>
        </w:tc>
        <w:tc>
          <w:tcPr>
            <w:tcW w:w="2551" w:type="dxa"/>
          </w:tcPr>
          <w:p w14:paraId="4109DFEA" w14:textId="77777777" w:rsidR="00F45BC5" w:rsidRPr="000E478E" w:rsidRDefault="00F45BC5" w:rsidP="007F6015">
            <w:pPr>
              <w:ind w:left="540" w:hanging="540"/>
              <w:jc w:val="center"/>
              <w:rPr>
                <w:rFonts w:ascii="Calibri" w:hAnsi="Calibri" w:cs="Calibri"/>
                <w:sz w:val="24"/>
                <w:szCs w:val="24"/>
              </w:rPr>
            </w:pPr>
            <w:r w:rsidRPr="000E478E">
              <w:rPr>
                <w:rFonts w:ascii="Calibri" w:hAnsi="Calibri" w:cs="Calibri"/>
                <w:sz w:val="24"/>
                <w:szCs w:val="24"/>
              </w:rPr>
              <w:t>-</w:t>
            </w:r>
          </w:p>
        </w:tc>
        <w:tc>
          <w:tcPr>
            <w:tcW w:w="3119" w:type="dxa"/>
          </w:tcPr>
          <w:p w14:paraId="32DFE528" w14:textId="77777777" w:rsidR="00F45BC5" w:rsidRPr="00197176" w:rsidRDefault="00F45BC5" w:rsidP="007F6015">
            <w:pPr>
              <w:ind w:left="540" w:hanging="540"/>
              <w:jc w:val="center"/>
              <w:rPr>
                <w:rFonts w:ascii="Calibri" w:hAnsi="Calibri" w:cs="Calibri"/>
                <w:sz w:val="24"/>
                <w:szCs w:val="24"/>
              </w:rPr>
            </w:pPr>
            <w:r>
              <w:rPr>
                <w:rFonts w:ascii="Calibri" w:hAnsi="Calibri" w:cs="Calibri"/>
                <w:sz w:val="24"/>
                <w:szCs w:val="24"/>
              </w:rPr>
              <w:t>April 2024</w:t>
            </w:r>
          </w:p>
        </w:tc>
      </w:tr>
      <w:tr w:rsidR="00F45BC5" w:rsidRPr="000E478E" w14:paraId="3960B605" w14:textId="77777777" w:rsidTr="007F6015">
        <w:tc>
          <w:tcPr>
            <w:tcW w:w="5245" w:type="dxa"/>
          </w:tcPr>
          <w:p w14:paraId="543E85EF" w14:textId="77777777" w:rsidR="00F45BC5" w:rsidRPr="003B3D76" w:rsidRDefault="00F45BC5" w:rsidP="007F6015">
            <w:pPr>
              <w:rPr>
                <w:rFonts w:ascii="Calibri" w:hAnsi="Calibri" w:cs="Calibri"/>
                <w:bCs/>
                <w:sz w:val="24"/>
                <w:szCs w:val="24"/>
              </w:rPr>
            </w:pPr>
            <w:r w:rsidRPr="003B3D76">
              <w:rPr>
                <w:rFonts w:ascii="Calibri" w:hAnsi="Calibri" w:cs="Calibri"/>
                <w:bCs/>
                <w:sz w:val="24"/>
                <w:szCs w:val="24"/>
              </w:rPr>
              <w:t>Project Management Framework Follow-Up</w:t>
            </w:r>
          </w:p>
        </w:tc>
        <w:tc>
          <w:tcPr>
            <w:tcW w:w="4513" w:type="dxa"/>
          </w:tcPr>
          <w:p w14:paraId="7DA51150" w14:textId="77777777" w:rsidR="00F45BC5" w:rsidRPr="003B3D76" w:rsidRDefault="00F45BC5" w:rsidP="007F6015">
            <w:pPr>
              <w:jc w:val="center"/>
              <w:rPr>
                <w:rFonts w:ascii="Calibri" w:hAnsi="Calibri" w:cs="Calibri"/>
                <w:sz w:val="24"/>
                <w:szCs w:val="24"/>
              </w:rPr>
            </w:pPr>
            <w:r w:rsidRPr="003B3D76">
              <w:rPr>
                <w:rFonts w:ascii="Calibri" w:hAnsi="Calibri" w:cs="Calibri"/>
                <w:sz w:val="24"/>
                <w:szCs w:val="24"/>
              </w:rPr>
              <w:t>Weak Assurance</w:t>
            </w:r>
          </w:p>
        </w:tc>
        <w:tc>
          <w:tcPr>
            <w:tcW w:w="4134" w:type="dxa"/>
          </w:tcPr>
          <w:p w14:paraId="4096350E" w14:textId="77777777" w:rsidR="00F45BC5" w:rsidRDefault="00F45BC5" w:rsidP="007F6015">
            <w:pPr>
              <w:jc w:val="center"/>
            </w:pPr>
            <w:r>
              <w:rPr>
                <w:rFonts w:ascii="Calibri" w:hAnsi="Calibri" w:cs="Calibri"/>
                <w:sz w:val="24"/>
                <w:szCs w:val="24"/>
              </w:rPr>
              <w:t>Q4</w:t>
            </w:r>
            <w:r w:rsidRPr="002B7E74">
              <w:rPr>
                <w:rFonts w:ascii="Calibri" w:hAnsi="Calibri" w:cs="Calibri"/>
                <w:sz w:val="24"/>
                <w:szCs w:val="24"/>
              </w:rPr>
              <w:t xml:space="preserve"> 2023/24</w:t>
            </w:r>
          </w:p>
        </w:tc>
        <w:tc>
          <w:tcPr>
            <w:tcW w:w="2551" w:type="dxa"/>
          </w:tcPr>
          <w:p w14:paraId="5D7E31D3" w14:textId="77777777" w:rsidR="00F45BC5" w:rsidRPr="000E478E" w:rsidRDefault="00F45BC5" w:rsidP="007F6015">
            <w:pPr>
              <w:ind w:left="540" w:hanging="540"/>
              <w:jc w:val="center"/>
              <w:rPr>
                <w:rFonts w:ascii="Calibri" w:hAnsi="Calibri" w:cs="Calibri"/>
                <w:sz w:val="24"/>
                <w:szCs w:val="24"/>
              </w:rPr>
            </w:pPr>
            <w:r w:rsidRPr="000E478E">
              <w:rPr>
                <w:rFonts w:ascii="Calibri" w:hAnsi="Calibri" w:cs="Calibri"/>
                <w:sz w:val="24"/>
                <w:szCs w:val="24"/>
              </w:rPr>
              <w:t>-</w:t>
            </w:r>
          </w:p>
        </w:tc>
        <w:tc>
          <w:tcPr>
            <w:tcW w:w="3119" w:type="dxa"/>
          </w:tcPr>
          <w:p w14:paraId="4D4A6064" w14:textId="77777777" w:rsidR="00F45BC5" w:rsidRPr="00197176" w:rsidRDefault="00F45BC5" w:rsidP="007F6015">
            <w:pPr>
              <w:ind w:left="540" w:hanging="540"/>
              <w:jc w:val="center"/>
              <w:rPr>
                <w:rFonts w:ascii="Calibri" w:hAnsi="Calibri" w:cs="Calibri"/>
                <w:sz w:val="24"/>
                <w:szCs w:val="24"/>
              </w:rPr>
            </w:pPr>
            <w:r>
              <w:rPr>
                <w:rFonts w:ascii="Calibri" w:hAnsi="Calibri" w:cs="Calibri"/>
                <w:sz w:val="24"/>
                <w:szCs w:val="24"/>
              </w:rPr>
              <w:t>April 2024</w:t>
            </w:r>
          </w:p>
        </w:tc>
      </w:tr>
      <w:tr w:rsidR="00F45BC5" w:rsidRPr="000E478E" w14:paraId="4C754223" w14:textId="77777777" w:rsidTr="007F6015">
        <w:tc>
          <w:tcPr>
            <w:tcW w:w="5245" w:type="dxa"/>
          </w:tcPr>
          <w:p w14:paraId="4E33A18D" w14:textId="77777777" w:rsidR="00F45BC5" w:rsidRPr="003B3D76" w:rsidRDefault="00F45BC5" w:rsidP="007F6015">
            <w:pPr>
              <w:rPr>
                <w:rFonts w:ascii="Calibri" w:hAnsi="Calibri" w:cs="Calibri"/>
                <w:bCs/>
                <w:sz w:val="24"/>
                <w:szCs w:val="24"/>
              </w:rPr>
            </w:pPr>
            <w:r w:rsidRPr="003B3D76">
              <w:rPr>
                <w:rFonts w:ascii="Calibri" w:hAnsi="Calibri" w:cs="Calibri"/>
                <w:sz w:val="24"/>
                <w:szCs w:val="24"/>
              </w:rPr>
              <w:t xml:space="preserve">Organisational Response to </w:t>
            </w:r>
            <w:r>
              <w:rPr>
                <w:rFonts w:ascii="Calibri" w:hAnsi="Calibri" w:cs="Calibri"/>
                <w:sz w:val="24"/>
                <w:szCs w:val="24"/>
              </w:rPr>
              <w:t>Pulse Survey Feedback</w:t>
            </w:r>
          </w:p>
        </w:tc>
        <w:tc>
          <w:tcPr>
            <w:tcW w:w="4513" w:type="dxa"/>
          </w:tcPr>
          <w:p w14:paraId="2DC97FDB" w14:textId="77777777" w:rsidR="00F45BC5" w:rsidRPr="003B3D76" w:rsidRDefault="00F45BC5" w:rsidP="007F6015">
            <w:pPr>
              <w:jc w:val="center"/>
              <w:rPr>
                <w:rFonts w:ascii="Calibri" w:hAnsi="Calibri" w:cs="Calibri"/>
                <w:sz w:val="24"/>
                <w:szCs w:val="24"/>
              </w:rPr>
            </w:pPr>
            <w:r w:rsidRPr="003B3D76">
              <w:rPr>
                <w:rFonts w:ascii="Calibri" w:hAnsi="Calibri" w:cs="Calibri"/>
                <w:sz w:val="24"/>
                <w:szCs w:val="24"/>
              </w:rPr>
              <w:t>Corporate Risk 137</w:t>
            </w:r>
          </w:p>
        </w:tc>
        <w:tc>
          <w:tcPr>
            <w:tcW w:w="4134" w:type="dxa"/>
          </w:tcPr>
          <w:p w14:paraId="263AC209" w14:textId="77777777" w:rsidR="00F45BC5" w:rsidRDefault="00F45BC5" w:rsidP="007F6015">
            <w:pPr>
              <w:jc w:val="center"/>
            </w:pPr>
            <w:r w:rsidRPr="00C454F5">
              <w:rPr>
                <w:rFonts w:ascii="Calibri" w:hAnsi="Calibri" w:cs="Calibri"/>
                <w:sz w:val="24"/>
                <w:szCs w:val="24"/>
              </w:rPr>
              <w:t>Report Closure</w:t>
            </w:r>
          </w:p>
        </w:tc>
        <w:tc>
          <w:tcPr>
            <w:tcW w:w="2551" w:type="dxa"/>
          </w:tcPr>
          <w:p w14:paraId="3732A611" w14:textId="77777777" w:rsidR="00F45BC5" w:rsidRPr="000E478E" w:rsidRDefault="00F45BC5" w:rsidP="007F6015">
            <w:pPr>
              <w:ind w:left="540" w:hanging="540"/>
              <w:jc w:val="center"/>
              <w:rPr>
                <w:rFonts w:ascii="Calibri" w:hAnsi="Calibri" w:cs="Calibri"/>
                <w:sz w:val="24"/>
                <w:szCs w:val="24"/>
              </w:rPr>
            </w:pPr>
            <w:r w:rsidRPr="00C454F5">
              <w:rPr>
                <w:rFonts w:ascii="Calibri" w:hAnsi="Calibri" w:cs="Calibri"/>
                <w:sz w:val="24"/>
                <w:szCs w:val="24"/>
              </w:rPr>
              <w:t>TBC</w:t>
            </w:r>
          </w:p>
        </w:tc>
        <w:tc>
          <w:tcPr>
            <w:tcW w:w="3119" w:type="dxa"/>
          </w:tcPr>
          <w:p w14:paraId="2D19A900" w14:textId="77777777" w:rsidR="00F45BC5" w:rsidRPr="00197176" w:rsidRDefault="00F45BC5" w:rsidP="007F6015">
            <w:pPr>
              <w:jc w:val="center"/>
              <w:rPr>
                <w:rFonts w:ascii="Calibri" w:hAnsi="Calibri" w:cs="Calibri"/>
                <w:sz w:val="24"/>
                <w:szCs w:val="24"/>
              </w:rPr>
            </w:pPr>
            <w:r>
              <w:rPr>
                <w:rFonts w:ascii="Calibri" w:hAnsi="Calibri" w:cs="Calibri"/>
                <w:sz w:val="24"/>
                <w:szCs w:val="24"/>
              </w:rPr>
              <w:t>January 2024</w:t>
            </w:r>
          </w:p>
        </w:tc>
      </w:tr>
      <w:tr w:rsidR="00F45BC5" w:rsidRPr="000E478E" w14:paraId="0798E20B" w14:textId="77777777" w:rsidTr="007F6015">
        <w:tc>
          <w:tcPr>
            <w:tcW w:w="5245" w:type="dxa"/>
          </w:tcPr>
          <w:p w14:paraId="49770A16" w14:textId="77777777" w:rsidR="00F45BC5" w:rsidRPr="003B3D76" w:rsidRDefault="00F45BC5" w:rsidP="007F6015">
            <w:pPr>
              <w:rPr>
                <w:rFonts w:ascii="Calibri" w:hAnsi="Calibri" w:cs="Calibri"/>
                <w:bCs/>
                <w:sz w:val="24"/>
                <w:szCs w:val="24"/>
              </w:rPr>
            </w:pPr>
            <w:r w:rsidRPr="003B3D76">
              <w:rPr>
                <w:rFonts w:ascii="Calibri" w:hAnsi="Calibri" w:cs="Calibri"/>
                <w:bCs/>
                <w:sz w:val="24"/>
                <w:szCs w:val="24"/>
              </w:rPr>
              <w:t>Recruitment Challenges</w:t>
            </w:r>
          </w:p>
        </w:tc>
        <w:tc>
          <w:tcPr>
            <w:tcW w:w="4513" w:type="dxa"/>
          </w:tcPr>
          <w:p w14:paraId="76CAD1DE" w14:textId="77777777" w:rsidR="00F45BC5" w:rsidRPr="003B3D76" w:rsidRDefault="00F45BC5" w:rsidP="007F6015">
            <w:pPr>
              <w:jc w:val="center"/>
              <w:rPr>
                <w:rFonts w:ascii="Calibri" w:hAnsi="Calibri" w:cs="Calibri"/>
                <w:sz w:val="24"/>
                <w:szCs w:val="24"/>
              </w:rPr>
            </w:pPr>
            <w:r w:rsidRPr="003B3D76">
              <w:rPr>
                <w:rFonts w:ascii="Calibri" w:hAnsi="Calibri" w:cs="Calibri"/>
                <w:sz w:val="24"/>
                <w:szCs w:val="24"/>
              </w:rPr>
              <w:t>Corporate Risk 137</w:t>
            </w:r>
          </w:p>
        </w:tc>
        <w:tc>
          <w:tcPr>
            <w:tcW w:w="4134" w:type="dxa"/>
          </w:tcPr>
          <w:p w14:paraId="5DE236B8" w14:textId="77777777" w:rsidR="00F45BC5" w:rsidRPr="000E478E" w:rsidRDefault="00F45BC5" w:rsidP="007F6015">
            <w:pPr>
              <w:ind w:left="540" w:hanging="540"/>
              <w:jc w:val="center"/>
              <w:rPr>
                <w:rFonts w:ascii="Calibri" w:hAnsi="Calibri" w:cs="Calibri"/>
                <w:sz w:val="24"/>
                <w:szCs w:val="24"/>
              </w:rPr>
            </w:pPr>
            <w:r>
              <w:rPr>
                <w:rFonts w:ascii="Calibri" w:hAnsi="Calibri" w:cs="Calibri"/>
                <w:sz w:val="24"/>
                <w:szCs w:val="24"/>
              </w:rPr>
              <w:t>Closed</w:t>
            </w:r>
          </w:p>
        </w:tc>
        <w:tc>
          <w:tcPr>
            <w:tcW w:w="2551" w:type="dxa"/>
            <w:shd w:val="clear" w:color="auto" w:fill="FFC000"/>
          </w:tcPr>
          <w:p w14:paraId="4A5A2176" w14:textId="77777777" w:rsidR="00F45BC5" w:rsidRPr="000E478E" w:rsidRDefault="00F45BC5" w:rsidP="007F6015">
            <w:pPr>
              <w:ind w:left="540" w:hanging="540"/>
              <w:jc w:val="center"/>
              <w:rPr>
                <w:rFonts w:ascii="Calibri" w:hAnsi="Calibri" w:cs="Calibri"/>
                <w:sz w:val="24"/>
                <w:szCs w:val="24"/>
              </w:rPr>
            </w:pPr>
            <w:r>
              <w:rPr>
                <w:rFonts w:ascii="Calibri" w:hAnsi="Calibri" w:cs="Calibri"/>
                <w:sz w:val="24"/>
                <w:szCs w:val="24"/>
              </w:rPr>
              <w:t>Limited</w:t>
            </w:r>
          </w:p>
        </w:tc>
        <w:tc>
          <w:tcPr>
            <w:tcW w:w="3119" w:type="dxa"/>
          </w:tcPr>
          <w:p w14:paraId="7EC285ED" w14:textId="77777777" w:rsidR="00F45BC5" w:rsidRPr="00197176" w:rsidRDefault="00F45BC5" w:rsidP="007F6015">
            <w:pPr>
              <w:jc w:val="center"/>
              <w:rPr>
                <w:rFonts w:ascii="Calibri" w:hAnsi="Calibri" w:cs="Calibri"/>
                <w:sz w:val="24"/>
                <w:szCs w:val="24"/>
              </w:rPr>
            </w:pPr>
            <w:r>
              <w:rPr>
                <w:rFonts w:ascii="Calibri" w:hAnsi="Calibri" w:cs="Calibri"/>
                <w:sz w:val="24"/>
                <w:szCs w:val="24"/>
              </w:rPr>
              <w:t>August 2023</w:t>
            </w:r>
          </w:p>
        </w:tc>
      </w:tr>
      <w:tr w:rsidR="00F45BC5" w:rsidRPr="000E478E" w14:paraId="4BB2A219" w14:textId="77777777" w:rsidTr="007F6015">
        <w:tc>
          <w:tcPr>
            <w:tcW w:w="5245" w:type="dxa"/>
          </w:tcPr>
          <w:p w14:paraId="0F2466BD" w14:textId="77777777" w:rsidR="00F45BC5" w:rsidRPr="003B3D76" w:rsidRDefault="00F45BC5" w:rsidP="007F6015">
            <w:pPr>
              <w:rPr>
                <w:rFonts w:ascii="Calibri" w:hAnsi="Calibri" w:cs="Calibri"/>
                <w:bCs/>
                <w:sz w:val="24"/>
                <w:szCs w:val="24"/>
              </w:rPr>
            </w:pPr>
            <w:r w:rsidRPr="003B3D76">
              <w:rPr>
                <w:rFonts w:ascii="Calibri" w:hAnsi="Calibri" w:cs="Calibri"/>
                <w:bCs/>
                <w:sz w:val="24"/>
                <w:szCs w:val="24"/>
              </w:rPr>
              <w:t>Learning and Development</w:t>
            </w:r>
          </w:p>
        </w:tc>
        <w:tc>
          <w:tcPr>
            <w:tcW w:w="4513" w:type="dxa"/>
          </w:tcPr>
          <w:p w14:paraId="0286109E" w14:textId="77777777" w:rsidR="00F45BC5" w:rsidRPr="003B3D76" w:rsidRDefault="00F45BC5" w:rsidP="007F6015">
            <w:pPr>
              <w:jc w:val="center"/>
              <w:rPr>
                <w:rFonts w:ascii="Calibri" w:hAnsi="Calibri" w:cs="Calibri"/>
                <w:sz w:val="24"/>
                <w:szCs w:val="24"/>
              </w:rPr>
            </w:pPr>
            <w:r w:rsidRPr="003B3D76">
              <w:rPr>
                <w:rFonts w:ascii="Calibri" w:hAnsi="Calibri" w:cs="Calibri"/>
                <w:sz w:val="24"/>
                <w:szCs w:val="24"/>
              </w:rPr>
              <w:t>Corporate Risk 137</w:t>
            </w:r>
          </w:p>
        </w:tc>
        <w:tc>
          <w:tcPr>
            <w:tcW w:w="4134" w:type="dxa"/>
          </w:tcPr>
          <w:p w14:paraId="6C383A76" w14:textId="77777777" w:rsidR="00F45BC5" w:rsidRPr="000E478E" w:rsidRDefault="00F45BC5" w:rsidP="007F6015">
            <w:pPr>
              <w:ind w:left="540" w:hanging="540"/>
              <w:jc w:val="center"/>
              <w:rPr>
                <w:rFonts w:ascii="Calibri" w:hAnsi="Calibri" w:cs="Calibri"/>
                <w:sz w:val="24"/>
                <w:szCs w:val="24"/>
              </w:rPr>
            </w:pPr>
            <w:r>
              <w:rPr>
                <w:rFonts w:ascii="Calibri" w:hAnsi="Calibri" w:cs="Calibri"/>
                <w:sz w:val="24"/>
                <w:szCs w:val="24"/>
              </w:rPr>
              <w:t>Closed</w:t>
            </w:r>
          </w:p>
        </w:tc>
        <w:tc>
          <w:tcPr>
            <w:tcW w:w="2551" w:type="dxa"/>
            <w:shd w:val="clear" w:color="auto" w:fill="FFC000"/>
          </w:tcPr>
          <w:p w14:paraId="4427C27F" w14:textId="77777777" w:rsidR="00F45BC5" w:rsidRPr="000E478E" w:rsidRDefault="00F45BC5" w:rsidP="007F6015">
            <w:pPr>
              <w:ind w:left="540" w:hanging="540"/>
              <w:jc w:val="center"/>
              <w:rPr>
                <w:rFonts w:ascii="Calibri" w:hAnsi="Calibri" w:cs="Calibri"/>
                <w:sz w:val="24"/>
                <w:szCs w:val="24"/>
              </w:rPr>
            </w:pPr>
            <w:r>
              <w:rPr>
                <w:rFonts w:ascii="Calibri" w:hAnsi="Calibri" w:cs="Calibri"/>
                <w:sz w:val="24"/>
                <w:szCs w:val="24"/>
              </w:rPr>
              <w:t>Limited</w:t>
            </w:r>
          </w:p>
        </w:tc>
        <w:tc>
          <w:tcPr>
            <w:tcW w:w="3119" w:type="dxa"/>
          </w:tcPr>
          <w:p w14:paraId="445D55D5" w14:textId="77777777" w:rsidR="00F45BC5" w:rsidRPr="00197176" w:rsidRDefault="00F45BC5" w:rsidP="007F6015">
            <w:pPr>
              <w:ind w:left="540" w:hanging="540"/>
              <w:jc w:val="center"/>
              <w:rPr>
                <w:rFonts w:ascii="Calibri" w:hAnsi="Calibri" w:cs="Calibri"/>
                <w:sz w:val="24"/>
                <w:szCs w:val="24"/>
              </w:rPr>
            </w:pPr>
            <w:r>
              <w:rPr>
                <w:rFonts w:ascii="Calibri" w:hAnsi="Calibri" w:cs="Calibri"/>
                <w:sz w:val="24"/>
                <w:szCs w:val="24"/>
              </w:rPr>
              <w:t>November 2023</w:t>
            </w:r>
          </w:p>
        </w:tc>
      </w:tr>
      <w:tr w:rsidR="00F45BC5" w:rsidRPr="000E478E" w14:paraId="40F57B38" w14:textId="77777777" w:rsidTr="007F6015">
        <w:tc>
          <w:tcPr>
            <w:tcW w:w="5245" w:type="dxa"/>
          </w:tcPr>
          <w:p w14:paraId="1F016B21" w14:textId="77777777" w:rsidR="00F45BC5" w:rsidRPr="003B3D76" w:rsidRDefault="00F45BC5" w:rsidP="007F6015">
            <w:pPr>
              <w:rPr>
                <w:rFonts w:ascii="Calibri" w:hAnsi="Calibri" w:cs="Calibri"/>
                <w:bCs/>
                <w:sz w:val="24"/>
                <w:szCs w:val="24"/>
              </w:rPr>
            </w:pPr>
            <w:r w:rsidRPr="003B3D76">
              <w:rPr>
                <w:rFonts w:ascii="Calibri" w:hAnsi="Calibri" w:cs="Calibri"/>
                <w:bCs/>
                <w:sz w:val="24"/>
                <w:szCs w:val="24"/>
              </w:rPr>
              <w:t>Net Zero Plan</w:t>
            </w:r>
          </w:p>
        </w:tc>
        <w:tc>
          <w:tcPr>
            <w:tcW w:w="4513" w:type="dxa"/>
          </w:tcPr>
          <w:p w14:paraId="1477A6DC" w14:textId="77777777" w:rsidR="00F45BC5" w:rsidRPr="003B3D76" w:rsidRDefault="00F45BC5" w:rsidP="007F6015">
            <w:pPr>
              <w:jc w:val="center"/>
              <w:rPr>
                <w:rFonts w:ascii="Calibri" w:hAnsi="Calibri" w:cs="Calibri"/>
                <w:sz w:val="24"/>
                <w:szCs w:val="24"/>
              </w:rPr>
            </w:pPr>
            <w:r w:rsidRPr="003B3D76">
              <w:rPr>
                <w:rFonts w:ascii="Calibri" w:hAnsi="Calibri" w:cs="Calibri"/>
                <w:sz w:val="24"/>
                <w:szCs w:val="24"/>
              </w:rPr>
              <w:t>Corporate Risk 646</w:t>
            </w:r>
          </w:p>
        </w:tc>
        <w:tc>
          <w:tcPr>
            <w:tcW w:w="4134" w:type="dxa"/>
          </w:tcPr>
          <w:p w14:paraId="4D48FF8B" w14:textId="77777777" w:rsidR="00F45BC5" w:rsidRPr="000E478E" w:rsidRDefault="00F45BC5" w:rsidP="007F6015">
            <w:pPr>
              <w:ind w:left="540" w:hanging="540"/>
              <w:jc w:val="center"/>
              <w:rPr>
                <w:rFonts w:ascii="Calibri" w:hAnsi="Calibri" w:cs="Calibri"/>
                <w:sz w:val="24"/>
                <w:szCs w:val="24"/>
              </w:rPr>
            </w:pPr>
            <w:r>
              <w:rPr>
                <w:rFonts w:ascii="Calibri" w:hAnsi="Calibri" w:cs="Calibri"/>
                <w:sz w:val="24"/>
                <w:szCs w:val="24"/>
              </w:rPr>
              <w:t>Closed</w:t>
            </w:r>
          </w:p>
        </w:tc>
        <w:tc>
          <w:tcPr>
            <w:tcW w:w="2551" w:type="dxa"/>
            <w:shd w:val="clear" w:color="auto" w:fill="92D050"/>
          </w:tcPr>
          <w:p w14:paraId="04804520" w14:textId="77777777" w:rsidR="00F45BC5" w:rsidRPr="000E478E" w:rsidRDefault="00F45BC5" w:rsidP="007F6015">
            <w:pPr>
              <w:ind w:left="540" w:hanging="540"/>
              <w:jc w:val="center"/>
              <w:rPr>
                <w:rFonts w:ascii="Calibri" w:hAnsi="Calibri" w:cs="Calibri"/>
                <w:sz w:val="24"/>
                <w:szCs w:val="24"/>
              </w:rPr>
            </w:pPr>
            <w:r>
              <w:rPr>
                <w:rFonts w:ascii="Calibri" w:hAnsi="Calibri" w:cs="Calibri"/>
                <w:sz w:val="24"/>
                <w:szCs w:val="24"/>
              </w:rPr>
              <w:t>Satisfactory</w:t>
            </w:r>
          </w:p>
        </w:tc>
        <w:tc>
          <w:tcPr>
            <w:tcW w:w="3119" w:type="dxa"/>
          </w:tcPr>
          <w:p w14:paraId="47E896FE" w14:textId="77777777" w:rsidR="00F45BC5" w:rsidRPr="00197176" w:rsidRDefault="00F45BC5" w:rsidP="007F6015">
            <w:pPr>
              <w:jc w:val="center"/>
              <w:rPr>
                <w:rFonts w:ascii="Calibri" w:hAnsi="Calibri" w:cs="Calibri"/>
                <w:sz w:val="24"/>
                <w:szCs w:val="24"/>
              </w:rPr>
            </w:pPr>
            <w:r>
              <w:rPr>
                <w:rFonts w:ascii="Calibri" w:hAnsi="Calibri" w:cs="Calibri"/>
                <w:sz w:val="24"/>
                <w:szCs w:val="24"/>
              </w:rPr>
              <w:t>September 2023</w:t>
            </w:r>
          </w:p>
        </w:tc>
      </w:tr>
      <w:tr w:rsidR="00F45BC5" w:rsidRPr="000E478E" w14:paraId="351E2A77" w14:textId="77777777" w:rsidTr="007F6015">
        <w:tc>
          <w:tcPr>
            <w:tcW w:w="5245" w:type="dxa"/>
          </w:tcPr>
          <w:p w14:paraId="2484F13B" w14:textId="77777777" w:rsidR="00F45BC5" w:rsidRPr="003B3D76" w:rsidRDefault="00F45BC5" w:rsidP="007F6015">
            <w:pPr>
              <w:rPr>
                <w:rFonts w:ascii="Calibri" w:hAnsi="Calibri" w:cs="Calibri"/>
                <w:bCs/>
                <w:sz w:val="24"/>
                <w:szCs w:val="24"/>
              </w:rPr>
            </w:pPr>
            <w:r>
              <w:rPr>
                <w:rFonts w:ascii="Calibri" w:hAnsi="Calibri" w:cs="Calibri"/>
                <w:bCs/>
                <w:sz w:val="24"/>
                <w:szCs w:val="24"/>
              </w:rPr>
              <w:t>Licensing and Deerline Stock Take</w:t>
            </w:r>
          </w:p>
        </w:tc>
        <w:tc>
          <w:tcPr>
            <w:tcW w:w="4513" w:type="dxa"/>
          </w:tcPr>
          <w:p w14:paraId="1B272EC4" w14:textId="77777777" w:rsidR="00F45BC5" w:rsidRPr="003B3D76" w:rsidRDefault="00F45BC5" w:rsidP="007F6015">
            <w:pPr>
              <w:jc w:val="center"/>
              <w:rPr>
                <w:rFonts w:ascii="Calibri" w:hAnsi="Calibri" w:cs="Calibri"/>
                <w:sz w:val="24"/>
                <w:szCs w:val="24"/>
              </w:rPr>
            </w:pPr>
            <w:r>
              <w:rPr>
                <w:rFonts w:ascii="Calibri" w:hAnsi="Calibri" w:cs="Calibri"/>
                <w:sz w:val="24"/>
                <w:szCs w:val="24"/>
              </w:rPr>
              <w:t>Corporate Risk 21 &amp; 85</w:t>
            </w:r>
          </w:p>
        </w:tc>
        <w:tc>
          <w:tcPr>
            <w:tcW w:w="4134" w:type="dxa"/>
          </w:tcPr>
          <w:p w14:paraId="4939CFDF" w14:textId="77777777" w:rsidR="00F45BC5" w:rsidRDefault="00F45BC5" w:rsidP="007F6015">
            <w:pPr>
              <w:ind w:left="540" w:hanging="540"/>
              <w:jc w:val="center"/>
              <w:rPr>
                <w:rFonts w:ascii="Calibri" w:hAnsi="Calibri" w:cs="Calibri"/>
                <w:sz w:val="24"/>
                <w:szCs w:val="24"/>
              </w:rPr>
            </w:pPr>
            <w:r>
              <w:rPr>
                <w:rFonts w:ascii="Calibri" w:hAnsi="Calibri" w:cs="Calibri"/>
                <w:sz w:val="24"/>
                <w:szCs w:val="24"/>
              </w:rPr>
              <w:t>Closed</w:t>
            </w:r>
          </w:p>
        </w:tc>
        <w:tc>
          <w:tcPr>
            <w:tcW w:w="2551" w:type="dxa"/>
            <w:shd w:val="clear" w:color="auto" w:fill="FF0000"/>
          </w:tcPr>
          <w:p w14:paraId="49E88078" w14:textId="77777777" w:rsidR="00F45BC5" w:rsidRDefault="00F45BC5" w:rsidP="007F6015">
            <w:pPr>
              <w:ind w:left="540" w:hanging="540"/>
              <w:jc w:val="center"/>
              <w:rPr>
                <w:rFonts w:ascii="Calibri" w:hAnsi="Calibri" w:cs="Calibri"/>
                <w:sz w:val="24"/>
                <w:szCs w:val="24"/>
              </w:rPr>
            </w:pPr>
            <w:r>
              <w:rPr>
                <w:rFonts w:ascii="Calibri" w:hAnsi="Calibri" w:cs="Calibri"/>
                <w:sz w:val="24"/>
                <w:szCs w:val="24"/>
              </w:rPr>
              <w:t>Limited</w:t>
            </w:r>
          </w:p>
        </w:tc>
        <w:tc>
          <w:tcPr>
            <w:tcW w:w="3119" w:type="dxa"/>
            <w:shd w:val="clear" w:color="auto" w:fill="auto"/>
          </w:tcPr>
          <w:p w14:paraId="779548FE" w14:textId="77777777" w:rsidR="00F45BC5" w:rsidRDefault="00F45BC5" w:rsidP="007F6015">
            <w:pPr>
              <w:jc w:val="center"/>
              <w:rPr>
                <w:rFonts w:ascii="Calibri" w:hAnsi="Calibri" w:cs="Calibri"/>
                <w:sz w:val="24"/>
                <w:szCs w:val="24"/>
              </w:rPr>
            </w:pPr>
            <w:r w:rsidRPr="00C454F5">
              <w:rPr>
                <w:rFonts w:ascii="Calibri" w:hAnsi="Calibri" w:cs="Calibri"/>
                <w:sz w:val="24"/>
                <w:szCs w:val="24"/>
              </w:rPr>
              <w:t>October 2023</w:t>
            </w:r>
          </w:p>
        </w:tc>
      </w:tr>
      <w:tr w:rsidR="00F45BC5" w:rsidRPr="000E478E" w14:paraId="10E34F48" w14:textId="77777777" w:rsidTr="007F6015">
        <w:tc>
          <w:tcPr>
            <w:tcW w:w="5245" w:type="dxa"/>
          </w:tcPr>
          <w:p w14:paraId="614FEA2D" w14:textId="77777777" w:rsidR="00F45BC5" w:rsidRPr="003B3D76" w:rsidRDefault="00F45BC5" w:rsidP="007F6015">
            <w:pPr>
              <w:rPr>
                <w:rFonts w:ascii="Calibri" w:hAnsi="Calibri" w:cs="Calibri"/>
                <w:bCs/>
                <w:sz w:val="24"/>
                <w:szCs w:val="24"/>
              </w:rPr>
            </w:pPr>
            <w:r>
              <w:rPr>
                <w:rFonts w:ascii="Calibri" w:hAnsi="Calibri" w:cs="Calibri"/>
                <w:bCs/>
                <w:sz w:val="24"/>
                <w:szCs w:val="24"/>
              </w:rPr>
              <w:t>Review of NatureScot CivTech Processes</w:t>
            </w:r>
          </w:p>
        </w:tc>
        <w:tc>
          <w:tcPr>
            <w:tcW w:w="4513" w:type="dxa"/>
          </w:tcPr>
          <w:p w14:paraId="51D79D1C" w14:textId="77777777" w:rsidR="00F45BC5" w:rsidRPr="003B3D76" w:rsidRDefault="00F45BC5" w:rsidP="007F6015">
            <w:pPr>
              <w:jc w:val="center"/>
              <w:rPr>
                <w:rFonts w:ascii="Calibri" w:hAnsi="Calibri" w:cs="Calibri"/>
                <w:sz w:val="24"/>
                <w:szCs w:val="24"/>
              </w:rPr>
            </w:pPr>
            <w:r>
              <w:rPr>
                <w:rFonts w:ascii="Calibri" w:hAnsi="Calibri" w:cs="Calibri"/>
                <w:sz w:val="24"/>
                <w:szCs w:val="24"/>
              </w:rPr>
              <w:t>Corporate Risk 21 &amp; 85</w:t>
            </w:r>
          </w:p>
        </w:tc>
        <w:tc>
          <w:tcPr>
            <w:tcW w:w="4134" w:type="dxa"/>
            <w:shd w:val="clear" w:color="auto" w:fill="auto"/>
          </w:tcPr>
          <w:p w14:paraId="57B31011" w14:textId="77777777" w:rsidR="00F45BC5" w:rsidRDefault="00F45BC5" w:rsidP="007F6015">
            <w:pPr>
              <w:ind w:left="540" w:hanging="540"/>
              <w:jc w:val="center"/>
              <w:rPr>
                <w:rFonts w:ascii="Calibri" w:hAnsi="Calibri" w:cs="Calibri"/>
                <w:sz w:val="24"/>
                <w:szCs w:val="24"/>
              </w:rPr>
            </w:pPr>
            <w:r w:rsidRPr="00C454F5">
              <w:rPr>
                <w:rFonts w:ascii="Calibri" w:hAnsi="Calibri" w:cs="Calibri"/>
                <w:sz w:val="24"/>
                <w:szCs w:val="24"/>
              </w:rPr>
              <w:t>Fieldwork starting early November</w:t>
            </w:r>
          </w:p>
        </w:tc>
        <w:tc>
          <w:tcPr>
            <w:tcW w:w="2551" w:type="dxa"/>
            <w:shd w:val="clear" w:color="auto" w:fill="auto"/>
          </w:tcPr>
          <w:p w14:paraId="0B7C2E4D" w14:textId="77777777" w:rsidR="00F45BC5" w:rsidRDefault="00F45BC5" w:rsidP="007F6015">
            <w:pPr>
              <w:ind w:left="540" w:hanging="540"/>
              <w:jc w:val="center"/>
              <w:rPr>
                <w:rFonts w:ascii="Calibri" w:hAnsi="Calibri" w:cs="Calibri"/>
                <w:sz w:val="24"/>
                <w:szCs w:val="24"/>
              </w:rPr>
            </w:pPr>
            <w:r>
              <w:rPr>
                <w:rFonts w:ascii="Calibri" w:hAnsi="Calibri" w:cs="Calibri"/>
                <w:sz w:val="24"/>
                <w:szCs w:val="24"/>
              </w:rPr>
              <w:t>-</w:t>
            </w:r>
          </w:p>
        </w:tc>
        <w:tc>
          <w:tcPr>
            <w:tcW w:w="3119" w:type="dxa"/>
          </w:tcPr>
          <w:p w14:paraId="3608F672" w14:textId="77777777" w:rsidR="00F45BC5" w:rsidRDefault="00F45BC5" w:rsidP="007F6015">
            <w:pPr>
              <w:jc w:val="center"/>
              <w:rPr>
                <w:rFonts w:ascii="Calibri" w:hAnsi="Calibri" w:cs="Calibri"/>
                <w:sz w:val="24"/>
                <w:szCs w:val="24"/>
              </w:rPr>
            </w:pPr>
            <w:r>
              <w:rPr>
                <w:rFonts w:ascii="Calibri" w:hAnsi="Calibri" w:cs="Calibri"/>
                <w:sz w:val="24"/>
                <w:szCs w:val="24"/>
              </w:rPr>
              <w:t>February 2024</w:t>
            </w:r>
          </w:p>
        </w:tc>
      </w:tr>
    </w:tbl>
    <w:p w14:paraId="6B3801AE" w14:textId="77777777" w:rsidR="00BB3514" w:rsidRPr="00BB3514" w:rsidRDefault="00BB3514" w:rsidP="00BB3514"/>
    <w:sectPr w:rsidR="00BB3514" w:rsidRPr="00BB3514" w:rsidSect="005F5A08">
      <w:pgSz w:w="16838" w:h="11906" w:orient="landscape"/>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11457" w14:textId="77777777" w:rsidR="005F5A08" w:rsidRDefault="005F5A08" w:rsidP="00204D20">
      <w:pPr>
        <w:spacing w:after="0" w:line="240" w:lineRule="auto"/>
      </w:pPr>
      <w:r>
        <w:separator/>
      </w:r>
    </w:p>
  </w:endnote>
  <w:endnote w:type="continuationSeparator" w:id="0">
    <w:p w14:paraId="72A3EAF9" w14:textId="77777777" w:rsidR="005F5A08" w:rsidRDefault="005F5A08"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B7D1B" w14:textId="77777777" w:rsidR="005F5A08" w:rsidRDefault="005F5A08" w:rsidP="00204D20">
      <w:pPr>
        <w:spacing w:after="0" w:line="240" w:lineRule="auto"/>
      </w:pPr>
      <w:r>
        <w:separator/>
      </w:r>
    </w:p>
  </w:footnote>
  <w:footnote w:type="continuationSeparator" w:id="0">
    <w:p w14:paraId="282FDB52" w14:textId="77777777" w:rsidR="005F5A08" w:rsidRDefault="005F5A08" w:rsidP="00204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C6D1B" w14:textId="0440B557" w:rsidR="00E94E5C" w:rsidRPr="006F50D7" w:rsidRDefault="00EF0075" w:rsidP="006F50D7">
    <w:pPr>
      <w:pStyle w:val="Header"/>
      <w:jc w:val="right"/>
      <w:rPr>
        <w:b/>
        <w:sz w:val="24"/>
        <w:szCs w:val="24"/>
      </w:rPr>
    </w:pPr>
    <w:r>
      <w:rPr>
        <w:b/>
        <w:sz w:val="24"/>
        <w:szCs w:val="24"/>
      </w:rPr>
      <w:t>BOARD/</w:t>
    </w:r>
    <w:r w:rsidR="00957288">
      <w:rPr>
        <w:b/>
        <w:sz w:val="24"/>
        <w:szCs w:val="24"/>
      </w:rPr>
      <w:t>212/10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0B8"/>
    <w:multiLevelType w:val="hybridMultilevel"/>
    <w:tmpl w:val="271E28B4"/>
    <w:lvl w:ilvl="0" w:tplc="13504690">
      <w:start w:val="30"/>
      <w:numFmt w:val="decimal"/>
      <w:lvlText w:val="%1."/>
      <w:lvlJc w:val="left"/>
      <w:pPr>
        <w:ind w:left="377" w:hanging="360"/>
      </w:pPr>
      <w:rPr>
        <w:rFonts w:hint="default"/>
      </w:rPr>
    </w:lvl>
    <w:lvl w:ilvl="1" w:tplc="08090019" w:tentative="1">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abstractNum w:abstractNumId="1" w15:restartNumberingAfterBreak="0">
    <w:nsid w:val="03BD18B6"/>
    <w:multiLevelType w:val="hybridMultilevel"/>
    <w:tmpl w:val="6FF21B66"/>
    <w:lvl w:ilvl="0" w:tplc="917CA626">
      <w:start w:val="29"/>
      <w:numFmt w:val="decimal"/>
      <w:lvlText w:val="%1."/>
      <w:lvlJc w:val="left"/>
      <w:pPr>
        <w:ind w:left="377" w:hanging="360"/>
      </w:pPr>
      <w:rPr>
        <w:rFonts w:hint="default"/>
      </w:rPr>
    </w:lvl>
    <w:lvl w:ilvl="1" w:tplc="08090019" w:tentative="1">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abstractNum w:abstractNumId="2" w15:restartNumberingAfterBreak="0">
    <w:nsid w:val="04A15718"/>
    <w:multiLevelType w:val="hybridMultilevel"/>
    <w:tmpl w:val="F2289DA6"/>
    <w:lvl w:ilvl="0" w:tplc="7D664E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E1A57"/>
    <w:multiLevelType w:val="hybridMultilevel"/>
    <w:tmpl w:val="859E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211FE"/>
    <w:multiLevelType w:val="hybridMultilevel"/>
    <w:tmpl w:val="7422CC44"/>
    <w:lvl w:ilvl="0" w:tplc="574A0746">
      <w:start w:val="33"/>
      <w:numFmt w:val="decimal"/>
      <w:lvlText w:val="%1."/>
      <w:lvlJc w:val="left"/>
      <w:pPr>
        <w:ind w:left="737" w:hanging="360"/>
      </w:pPr>
      <w:rPr>
        <w:rFonts w:hint="default"/>
      </w:rPr>
    </w:lvl>
    <w:lvl w:ilvl="1" w:tplc="08090019" w:tentative="1">
      <w:start w:val="1"/>
      <w:numFmt w:val="lowerLetter"/>
      <w:lvlText w:val="%2."/>
      <w:lvlJc w:val="left"/>
      <w:pPr>
        <w:ind w:left="1457" w:hanging="360"/>
      </w:pPr>
    </w:lvl>
    <w:lvl w:ilvl="2" w:tplc="0809001B" w:tentative="1">
      <w:start w:val="1"/>
      <w:numFmt w:val="lowerRoman"/>
      <w:lvlText w:val="%3."/>
      <w:lvlJc w:val="right"/>
      <w:pPr>
        <w:ind w:left="2177" w:hanging="180"/>
      </w:pPr>
    </w:lvl>
    <w:lvl w:ilvl="3" w:tplc="0809000F" w:tentative="1">
      <w:start w:val="1"/>
      <w:numFmt w:val="decimal"/>
      <w:lvlText w:val="%4."/>
      <w:lvlJc w:val="left"/>
      <w:pPr>
        <w:ind w:left="2897" w:hanging="360"/>
      </w:pPr>
    </w:lvl>
    <w:lvl w:ilvl="4" w:tplc="08090019" w:tentative="1">
      <w:start w:val="1"/>
      <w:numFmt w:val="lowerLetter"/>
      <w:lvlText w:val="%5."/>
      <w:lvlJc w:val="left"/>
      <w:pPr>
        <w:ind w:left="3617" w:hanging="360"/>
      </w:pPr>
    </w:lvl>
    <w:lvl w:ilvl="5" w:tplc="0809001B" w:tentative="1">
      <w:start w:val="1"/>
      <w:numFmt w:val="lowerRoman"/>
      <w:lvlText w:val="%6."/>
      <w:lvlJc w:val="right"/>
      <w:pPr>
        <w:ind w:left="4337" w:hanging="180"/>
      </w:pPr>
    </w:lvl>
    <w:lvl w:ilvl="6" w:tplc="0809000F" w:tentative="1">
      <w:start w:val="1"/>
      <w:numFmt w:val="decimal"/>
      <w:lvlText w:val="%7."/>
      <w:lvlJc w:val="left"/>
      <w:pPr>
        <w:ind w:left="5057" w:hanging="360"/>
      </w:pPr>
    </w:lvl>
    <w:lvl w:ilvl="7" w:tplc="08090019" w:tentative="1">
      <w:start w:val="1"/>
      <w:numFmt w:val="lowerLetter"/>
      <w:lvlText w:val="%8."/>
      <w:lvlJc w:val="left"/>
      <w:pPr>
        <w:ind w:left="5777" w:hanging="360"/>
      </w:pPr>
    </w:lvl>
    <w:lvl w:ilvl="8" w:tplc="0809001B" w:tentative="1">
      <w:start w:val="1"/>
      <w:numFmt w:val="lowerRoman"/>
      <w:lvlText w:val="%9."/>
      <w:lvlJc w:val="right"/>
      <w:pPr>
        <w:ind w:left="6497" w:hanging="180"/>
      </w:pPr>
    </w:lvl>
  </w:abstractNum>
  <w:abstractNum w:abstractNumId="5" w15:restartNumberingAfterBreak="0">
    <w:nsid w:val="0D7B674C"/>
    <w:multiLevelType w:val="hybridMultilevel"/>
    <w:tmpl w:val="15F24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14AE8"/>
    <w:multiLevelType w:val="hybridMultilevel"/>
    <w:tmpl w:val="37F03934"/>
    <w:lvl w:ilvl="0" w:tplc="8ADA3E48">
      <w:start w:val="25"/>
      <w:numFmt w:val="decimal"/>
      <w:lvlText w:val="%1."/>
      <w:lvlJc w:val="left"/>
      <w:pPr>
        <w:ind w:left="377" w:hanging="360"/>
      </w:pPr>
      <w:rPr>
        <w:rFonts w:hint="default"/>
      </w:rPr>
    </w:lvl>
    <w:lvl w:ilvl="1" w:tplc="08090019" w:tentative="1">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abstractNum w:abstractNumId="7" w15:restartNumberingAfterBreak="0">
    <w:nsid w:val="14606B4A"/>
    <w:multiLevelType w:val="hybridMultilevel"/>
    <w:tmpl w:val="F9F4A9A0"/>
    <w:lvl w:ilvl="0" w:tplc="17C8B082">
      <w:start w:val="30"/>
      <w:numFmt w:val="decimal"/>
      <w:lvlText w:val="%1."/>
      <w:lvlJc w:val="left"/>
      <w:pPr>
        <w:ind w:left="377" w:hanging="360"/>
      </w:pPr>
      <w:rPr>
        <w:rFonts w:hint="default"/>
      </w:rPr>
    </w:lvl>
    <w:lvl w:ilvl="1" w:tplc="08090019" w:tentative="1">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abstractNum w:abstractNumId="8" w15:restartNumberingAfterBreak="0">
    <w:nsid w:val="16753D00"/>
    <w:multiLevelType w:val="hybridMultilevel"/>
    <w:tmpl w:val="95CE7B28"/>
    <w:lvl w:ilvl="0" w:tplc="41049946">
      <w:start w:val="30"/>
      <w:numFmt w:val="decimal"/>
      <w:lvlText w:val="%1."/>
      <w:lvlJc w:val="left"/>
      <w:pPr>
        <w:ind w:left="377" w:hanging="360"/>
      </w:pPr>
      <w:rPr>
        <w:rFonts w:hint="default"/>
      </w:rPr>
    </w:lvl>
    <w:lvl w:ilvl="1" w:tplc="08090019" w:tentative="1">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abstractNum w:abstractNumId="9" w15:restartNumberingAfterBreak="0">
    <w:nsid w:val="1A707238"/>
    <w:multiLevelType w:val="hybridMultilevel"/>
    <w:tmpl w:val="5F6C15C8"/>
    <w:lvl w:ilvl="0" w:tplc="08090001">
      <w:start w:val="1"/>
      <w:numFmt w:val="bullet"/>
      <w:lvlText w:val=""/>
      <w:lvlJc w:val="left"/>
      <w:pPr>
        <w:ind w:left="737" w:hanging="360"/>
      </w:pPr>
      <w:rPr>
        <w:rFonts w:ascii="Symbol" w:hAnsi="Symbol" w:hint="default"/>
      </w:rPr>
    </w:lvl>
    <w:lvl w:ilvl="1" w:tplc="08090003" w:tentative="1">
      <w:start w:val="1"/>
      <w:numFmt w:val="bullet"/>
      <w:lvlText w:val="o"/>
      <w:lvlJc w:val="left"/>
      <w:pPr>
        <w:ind w:left="1457" w:hanging="360"/>
      </w:pPr>
      <w:rPr>
        <w:rFonts w:ascii="Courier New" w:hAnsi="Courier New" w:cs="Courier New" w:hint="default"/>
      </w:rPr>
    </w:lvl>
    <w:lvl w:ilvl="2" w:tplc="08090005" w:tentative="1">
      <w:start w:val="1"/>
      <w:numFmt w:val="bullet"/>
      <w:lvlText w:val=""/>
      <w:lvlJc w:val="left"/>
      <w:pPr>
        <w:ind w:left="2177" w:hanging="360"/>
      </w:pPr>
      <w:rPr>
        <w:rFonts w:ascii="Wingdings" w:hAnsi="Wingdings" w:hint="default"/>
      </w:rPr>
    </w:lvl>
    <w:lvl w:ilvl="3" w:tplc="08090001" w:tentative="1">
      <w:start w:val="1"/>
      <w:numFmt w:val="bullet"/>
      <w:lvlText w:val=""/>
      <w:lvlJc w:val="left"/>
      <w:pPr>
        <w:ind w:left="2897" w:hanging="360"/>
      </w:pPr>
      <w:rPr>
        <w:rFonts w:ascii="Symbol" w:hAnsi="Symbol" w:hint="default"/>
      </w:rPr>
    </w:lvl>
    <w:lvl w:ilvl="4" w:tplc="08090003" w:tentative="1">
      <w:start w:val="1"/>
      <w:numFmt w:val="bullet"/>
      <w:lvlText w:val="o"/>
      <w:lvlJc w:val="left"/>
      <w:pPr>
        <w:ind w:left="3617" w:hanging="360"/>
      </w:pPr>
      <w:rPr>
        <w:rFonts w:ascii="Courier New" w:hAnsi="Courier New" w:cs="Courier New" w:hint="default"/>
      </w:rPr>
    </w:lvl>
    <w:lvl w:ilvl="5" w:tplc="08090005" w:tentative="1">
      <w:start w:val="1"/>
      <w:numFmt w:val="bullet"/>
      <w:lvlText w:val=""/>
      <w:lvlJc w:val="left"/>
      <w:pPr>
        <w:ind w:left="4337" w:hanging="360"/>
      </w:pPr>
      <w:rPr>
        <w:rFonts w:ascii="Wingdings" w:hAnsi="Wingdings" w:hint="default"/>
      </w:rPr>
    </w:lvl>
    <w:lvl w:ilvl="6" w:tplc="08090001" w:tentative="1">
      <w:start w:val="1"/>
      <w:numFmt w:val="bullet"/>
      <w:lvlText w:val=""/>
      <w:lvlJc w:val="left"/>
      <w:pPr>
        <w:ind w:left="5057" w:hanging="360"/>
      </w:pPr>
      <w:rPr>
        <w:rFonts w:ascii="Symbol" w:hAnsi="Symbol" w:hint="default"/>
      </w:rPr>
    </w:lvl>
    <w:lvl w:ilvl="7" w:tplc="08090003" w:tentative="1">
      <w:start w:val="1"/>
      <w:numFmt w:val="bullet"/>
      <w:lvlText w:val="o"/>
      <w:lvlJc w:val="left"/>
      <w:pPr>
        <w:ind w:left="5777" w:hanging="360"/>
      </w:pPr>
      <w:rPr>
        <w:rFonts w:ascii="Courier New" w:hAnsi="Courier New" w:cs="Courier New" w:hint="default"/>
      </w:rPr>
    </w:lvl>
    <w:lvl w:ilvl="8" w:tplc="08090005" w:tentative="1">
      <w:start w:val="1"/>
      <w:numFmt w:val="bullet"/>
      <w:lvlText w:val=""/>
      <w:lvlJc w:val="left"/>
      <w:pPr>
        <w:ind w:left="6497" w:hanging="360"/>
      </w:pPr>
      <w:rPr>
        <w:rFonts w:ascii="Wingdings" w:hAnsi="Wingdings" w:hint="default"/>
      </w:rPr>
    </w:lvl>
  </w:abstractNum>
  <w:abstractNum w:abstractNumId="10" w15:restartNumberingAfterBreak="0">
    <w:nsid w:val="1AD168C5"/>
    <w:multiLevelType w:val="hybridMultilevel"/>
    <w:tmpl w:val="DC704350"/>
    <w:lvl w:ilvl="0" w:tplc="0809000F">
      <w:start w:val="1"/>
      <w:numFmt w:val="decimal"/>
      <w:lvlText w:val="%1."/>
      <w:lvlJc w:val="left"/>
      <w:pPr>
        <w:ind w:left="786"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EF4832"/>
    <w:multiLevelType w:val="hybridMultilevel"/>
    <w:tmpl w:val="5F6C15C8"/>
    <w:lvl w:ilvl="0" w:tplc="08090001">
      <w:start w:val="1"/>
      <w:numFmt w:val="bullet"/>
      <w:lvlText w:val=""/>
      <w:lvlJc w:val="left"/>
      <w:pPr>
        <w:ind w:left="737" w:hanging="360"/>
      </w:pPr>
      <w:rPr>
        <w:rFonts w:ascii="Symbol" w:hAnsi="Symbol" w:hint="default"/>
      </w:rPr>
    </w:lvl>
    <w:lvl w:ilvl="1" w:tplc="08090003" w:tentative="1">
      <w:start w:val="1"/>
      <w:numFmt w:val="bullet"/>
      <w:lvlText w:val="o"/>
      <w:lvlJc w:val="left"/>
      <w:pPr>
        <w:ind w:left="1457" w:hanging="360"/>
      </w:pPr>
      <w:rPr>
        <w:rFonts w:ascii="Courier New" w:hAnsi="Courier New" w:cs="Courier New" w:hint="default"/>
      </w:rPr>
    </w:lvl>
    <w:lvl w:ilvl="2" w:tplc="08090005" w:tentative="1">
      <w:start w:val="1"/>
      <w:numFmt w:val="bullet"/>
      <w:lvlText w:val=""/>
      <w:lvlJc w:val="left"/>
      <w:pPr>
        <w:ind w:left="2177" w:hanging="360"/>
      </w:pPr>
      <w:rPr>
        <w:rFonts w:ascii="Wingdings" w:hAnsi="Wingdings" w:hint="default"/>
      </w:rPr>
    </w:lvl>
    <w:lvl w:ilvl="3" w:tplc="08090001" w:tentative="1">
      <w:start w:val="1"/>
      <w:numFmt w:val="bullet"/>
      <w:lvlText w:val=""/>
      <w:lvlJc w:val="left"/>
      <w:pPr>
        <w:ind w:left="2897" w:hanging="360"/>
      </w:pPr>
      <w:rPr>
        <w:rFonts w:ascii="Symbol" w:hAnsi="Symbol" w:hint="default"/>
      </w:rPr>
    </w:lvl>
    <w:lvl w:ilvl="4" w:tplc="08090003" w:tentative="1">
      <w:start w:val="1"/>
      <w:numFmt w:val="bullet"/>
      <w:lvlText w:val="o"/>
      <w:lvlJc w:val="left"/>
      <w:pPr>
        <w:ind w:left="3617" w:hanging="360"/>
      </w:pPr>
      <w:rPr>
        <w:rFonts w:ascii="Courier New" w:hAnsi="Courier New" w:cs="Courier New" w:hint="default"/>
      </w:rPr>
    </w:lvl>
    <w:lvl w:ilvl="5" w:tplc="08090005" w:tentative="1">
      <w:start w:val="1"/>
      <w:numFmt w:val="bullet"/>
      <w:lvlText w:val=""/>
      <w:lvlJc w:val="left"/>
      <w:pPr>
        <w:ind w:left="4337" w:hanging="360"/>
      </w:pPr>
      <w:rPr>
        <w:rFonts w:ascii="Wingdings" w:hAnsi="Wingdings" w:hint="default"/>
      </w:rPr>
    </w:lvl>
    <w:lvl w:ilvl="6" w:tplc="08090001" w:tentative="1">
      <w:start w:val="1"/>
      <w:numFmt w:val="bullet"/>
      <w:lvlText w:val=""/>
      <w:lvlJc w:val="left"/>
      <w:pPr>
        <w:ind w:left="5057" w:hanging="360"/>
      </w:pPr>
      <w:rPr>
        <w:rFonts w:ascii="Symbol" w:hAnsi="Symbol" w:hint="default"/>
      </w:rPr>
    </w:lvl>
    <w:lvl w:ilvl="7" w:tplc="08090003" w:tentative="1">
      <w:start w:val="1"/>
      <w:numFmt w:val="bullet"/>
      <w:lvlText w:val="o"/>
      <w:lvlJc w:val="left"/>
      <w:pPr>
        <w:ind w:left="5777" w:hanging="360"/>
      </w:pPr>
      <w:rPr>
        <w:rFonts w:ascii="Courier New" w:hAnsi="Courier New" w:cs="Courier New" w:hint="default"/>
      </w:rPr>
    </w:lvl>
    <w:lvl w:ilvl="8" w:tplc="08090005" w:tentative="1">
      <w:start w:val="1"/>
      <w:numFmt w:val="bullet"/>
      <w:lvlText w:val=""/>
      <w:lvlJc w:val="left"/>
      <w:pPr>
        <w:ind w:left="6497" w:hanging="360"/>
      </w:pPr>
      <w:rPr>
        <w:rFonts w:ascii="Wingdings" w:hAnsi="Wingdings" w:hint="default"/>
      </w:rPr>
    </w:lvl>
  </w:abstractNum>
  <w:abstractNum w:abstractNumId="12" w15:restartNumberingAfterBreak="0">
    <w:nsid w:val="1D15699E"/>
    <w:multiLevelType w:val="hybridMultilevel"/>
    <w:tmpl w:val="4C142426"/>
    <w:lvl w:ilvl="0" w:tplc="91A63402">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1274E4"/>
    <w:multiLevelType w:val="hybridMultilevel"/>
    <w:tmpl w:val="4936FF0A"/>
    <w:lvl w:ilvl="0" w:tplc="08090003">
      <w:start w:val="1"/>
      <w:numFmt w:val="bullet"/>
      <w:lvlText w:val="o"/>
      <w:lvlJc w:val="left"/>
      <w:pPr>
        <w:ind w:left="737" w:hanging="360"/>
      </w:pPr>
      <w:rPr>
        <w:rFonts w:ascii="Courier New" w:hAnsi="Courier New" w:cs="Courier New" w:hint="default"/>
      </w:rPr>
    </w:lvl>
    <w:lvl w:ilvl="1" w:tplc="08090003" w:tentative="1">
      <w:start w:val="1"/>
      <w:numFmt w:val="bullet"/>
      <w:lvlText w:val="o"/>
      <w:lvlJc w:val="left"/>
      <w:pPr>
        <w:ind w:left="1457" w:hanging="360"/>
      </w:pPr>
      <w:rPr>
        <w:rFonts w:ascii="Courier New" w:hAnsi="Courier New" w:cs="Courier New" w:hint="default"/>
      </w:rPr>
    </w:lvl>
    <w:lvl w:ilvl="2" w:tplc="08090005" w:tentative="1">
      <w:start w:val="1"/>
      <w:numFmt w:val="bullet"/>
      <w:lvlText w:val=""/>
      <w:lvlJc w:val="left"/>
      <w:pPr>
        <w:ind w:left="2177" w:hanging="360"/>
      </w:pPr>
      <w:rPr>
        <w:rFonts w:ascii="Wingdings" w:hAnsi="Wingdings" w:hint="default"/>
      </w:rPr>
    </w:lvl>
    <w:lvl w:ilvl="3" w:tplc="08090001" w:tentative="1">
      <w:start w:val="1"/>
      <w:numFmt w:val="bullet"/>
      <w:lvlText w:val=""/>
      <w:lvlJc w:val="left"/>
      <w:pPr>
        <w:ind w:left="2897" w:hanging="360"/>
      </w:pPr>
      <w:rPr>
        <w:rFonts w:ascii="Symbol" w:hAnsi="Symbol" w:hint="default"/>
      </w:rPr>
    </w:lvl>
    <w:lvl w:ilvl="4" w:tplc="08090003" w:tentative="1">
      <w:start w:val="1"/>
      <w:numFmt w:val="bullet"/>
      <w:lvlText w:val="o"/>
      <w:lvlJc w:val="left"/>
      <w:pPr>
        <w:ind w:left="3617" w:hanging="360"/>
      </w:pPr>
      <w:rPr>
        <w:rFonts w:ascii="Courier New" w:hAnsi="Courier New" w:cs="Courier New" w:hint="default"/>
      </w:rPr>
    </w:lvl>
    <w:lvl w:ilvl="5" w:tplc="08090005" w:tentative="1">
      <w:start w:val="1"/>
      <w:numFmt w:val="bullet"/>
      <w:lvlText w:val=""/>
      <w:lvlJc w:val="left"/>
      <w:pPr>
        <w:ind w:left="4337" w:hanging="360"/>
      </w:pPr>
      <w:rPr>
        <w:rFonts w:ascii="Wingdings" w:hAnsi="Wingdings" w:hint="default"/>
      </w:rPr>
    </w:lvl>
    <w:lvl w:ilvl="6" w:tplc="08090001" w:tentative="1">
      <w:start w:val="1"/>
      <w:numFmt w:val="bullet"/>
      <w:lvlText w:val=""/>
      <w:lvlJc w:val="left"/>
      <w:pPr>
        <w:ind w:left="5057" w:hanging="360"/>
      </w:pPr>
      <w:rPr>
        <w:rFonts w:ascii="Symbol" w:hAnsi="Symbol" w:hint="default"/>
      </w:rPr>
    </w:lvl>
    <w:lvl w:ilvl="7" w:tplc="08090003" w:tentative="1">
      <w:start w:val="1"/>
      <w:numFmt w:val="bullet"/>
      <w:lvlText w:val="o"/>
      <w:lvlJc w:val="left"/>
      <w:pPr>
        <w:ind w:left="5777" w:hanging="360"/>
      </w:pPr>
      <w:rPr>
        <w:rFonts w:ascii="Courier New" w:hAnsi="Courier New" w:cs="Courier New" w:hint="default"/>
      </w:rPr>
    </w:lvl>
    <w:lvl w:ilvl="8" w:tplc="08090005" w:tentative="1">
      <w:start w:val="1"/>
      <w:numFmt w:val="bullet"/>
      <w:lvlText w:val=""/>
      <w:lvlJc w:val="left"/>
      <w:pPr>
        <w:ind w:left="6497" w:hanging="360"/>
      </w:pPr>
      <w:rPr>
        <w:rFonts w:ascii="Wingdings" w:hAnsi="Wingdings" w:hint="default"/>
      </w:rPr>
    </w:lvl>
  </w:abstractNum>
  <w:abstractNum w:abstractNumId="14" w15:restartNumberingAfterBreak="0">
    <w:nsid w:val="27B804DA"/>
    <w:multiLevelType w:val="hybridMultilevel"/>
    <w:tmpl w:val="96F0FD6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A92769"/>
    <w:multiLevelType w:val="hybridMultilevel"/>
    <w:tmpl w:val="FB2A1660"/>
    <w:lvl w:ilvl="0" w:tplc="FD125748">
      <w:start w:val="32"/>
      <w:numFmt w:val="decimal"/>
      <w:lvlText w:val="%1."/>
      <w:lvlJc w:val="left"/>
      <w:pPr>
        <w:ind w:left="377" w:hanging="360"/>
      </w:pPr>
      <w:rPr>
        <w:rFonts w:hint="default"/>
      </w:rPr>
    </w:lvl>
    <w:lvl w:ilvl="1" w:tplc="08090019" w:tentative="1">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abstractNum w:abstractNumId="16" w15:restartNumberingAfterBreak="0">
    <w:nsid w:val="2EEA7F9C"/>
    <w:multiLevelType w:val="hybridMultilevel"/>
    <w:tmpl w:val="A4A02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B236A2"/>
    <w:multiLevelType w:val="hybridMultilevel"/>
    <w:tmpl w:val="45983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720E5D"/>
    <w:multiLevelType w:val="hybridMultilevel"/>
    <w:tmpl w:val="02A61C10"/>
    <w:lvl w:ilvl="0" w:tplc="DC1CE006">
      <w:start w:val="31"/>
      <w:numFmt w:val="decimal"/>
      <w:lvlText w:val="%1."/>
      <w:lvlJc w:val="left"/>
      <w:pPr>
        <w:ind w:left="377" w:hanging="360"/>
      </w:pPr>
      <w:rPr>
        <w:rFonts w:hint="default"/>
      </w:rPr>
    </w:lvl>
    <w:lvl w:ilvl="1" w:tplc="08090019" w:tentative="1">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abstractNum w:abstractNumId="19" w15:restartNumberingAfterBreak="0">
    <w:nsid w:val="39645EE2"/>
    <w:multiLevelType w:val="hybridMultilevel"/>
    <w:tmpl w:val="963C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AD48B2"/>
    <w:multiLevelType w:val="hybridMultilevel"/>
    <w:tmpl w:val="10A4B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8E15AA"/>
    <w:multiLevelType w:val="hybridMultilevel"/>
    <w:tmpl w:val="70E45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A2718A"/>
    <w:multiLevelType w:val="hybridMultilevel"/>
    <w:tmpl w:val="DB3E8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1256C8"/>
    <w:multiLevelType w:val="hybridMultilevel"/>
    <w:tmpl w:val="079E9BC2"/>
    <w:lvl w:ilvl="0" w:tplc="78BA0EDA">
      <w:start w:val="32"/>
      <w:numFmt w:val="decimal"/>
      <w:lvlText w:val="%1."/>
      <w:lvlJc w:val="left"/>
      <w:pPr>
        <w:ind w:left="377" w:hanging="360"/>
      </w:pPr>
      <w:rPr>
        <w:rFonts w:hint="default"/>
      </w:rPr>
    </w:lvl>
    <w:lvl w:ilvl="1" w:tplc="08090019" w:tentative="1">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abstractNum w:abstractNumId="24" w15:restartNumberingAfterBreak="0">
    <w:nsid w:val="4436021D"/>
    <w:multiLevelType w:val="hybridMultilevel"/>
    <w:tmpl w:val="42562C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567339A"/>
    <w:multiLevelType w:val="hybridMultilevel"/>
    <w:tmpl w:val="8B328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5E53DF"/>
    <w:multiLevelType w:val="hybridMultilevel"/>
    <w:tmpl w:val="271E28B4"/>
    <w:lvl w:ilvl="0" w:tplc="FFFFFFFF">
      <w:start w:val="30"/>
      <w:numFmt w:val="decimal"/>
      <w:lvlText w:val="%1."/>
      <w:lvlJc w:val="left"/>
      <w:pPr>
        <w:ind w:left="377" w:hanging="360"/>
      </w:pPr>
      <w:rPr>
        <w:rFonts w:hint="default"/>
      </w:rPr>
    </w:lvl>
    <w:lvl w:ilvl="1" w:tplc="FFFFFFFF" w:tentative="1">
      <w:start w:val="1"/>
      <w:numFmt w:val="lowerLetter"/>
      <w:lvlText w:val="%2."/>
      <w:lvlJc w:val="left"/>
      <w:pPr>
        <w:ind w:left="1097" w:hanging="360"/>
      </w:pPr>
    </w:lvl>
    <w:lvl w:ilvl="2" w:tplc="FFFFFFFF" w:tentative="1">
      <w:start w:val="1"/>
      <w:numFmt w:val="lowerRoman"/>
      <w:lvlText w:val="%3."/>
      <w:lvlJc w:val="right"/>
      <w:pPr>
        <w:ind w:left="1817" w:hanging="180"/>
      </w:pPr>
    </w:lvl>
    <w:lvl w:ilvl="3" w:tplc="FFFFFFFF" w:tentative="1">
      <w:start w:val="1"/>
      <w:numFmt w:val="decimal"/>
      <w:lvlText w:val="%4."/>
      <w:lvlJc w:val="left"/>
      <w:pPr>
        <w:ind w:left="2537" w:hanging="360"/>
      </w:pPr>
    </w:lvl>
    <w:lvl w:ilvl="4" w:tplc="FFFFFFFF" w:tentative="1">
      <w:start w:val="1"/>
      <w:numFmt w:val="lowerLetter"/>
      <w:lvlText w:val="%5."/>
      <w:lvlJc w:val="left"/>
      <w:pPr>
        <w:ind w:left="3257" w:hanging="360"/>
      </w:pPr>
    </w:lvl>
    <w:lvl w:ilvl="5" w:tplc="FFFFFFFF" w:tentative="1">
      <w:start w:val="1"/>
      <w:numFmt w:val="lowerRoman"/>
      <w:lvlText w:val="%6."/>
      <w:lvlJc w:val="right"/>
      <w:pPr>
        <w:ind w:left="3977" w:hanging="180"/>
      </w:pPr>
    </w:lvl>
    <w:lvl w:ilvl="6" w:tplc="FFFFFFFF" w:tentative="1">
      <w:start w:val="1"/>
      <w:numFmt w:val="decimal"/>
      <w:lvlText w:val="%7."/>
      <w:lvlJc w:val="left"/>
      <w:pPr>
        <w:ind w:left="4697" w:hanging="360"/>
      </w:pPr>
    </w:lvl>
    <w:lvl w:ilvl="7" w:tplc="FFFFFFFF" w:tentative="1">
      <w:start w:val="1"/>
      <w:numFmt w:val="lowerLetter"/>
      <w:lvlText w:val="%8."/>
      <w:lvlJc w:val="left"/>
      <w:pPr>
        <w:ind w:left="5417" w:hanging="360"/>
      </w:pPr>
    </w:lvl>
    <w:lvl w:ilvl="8" w:tplc="FFFFFFFF" w:tentative="1">
      <w:start w:val="1"/>
      <w:numFmt w:val="lowerRoman"/>
      <w:lvlText w:val="%9."/>
      <w:lvlJc w:val="right"/>
      <w:pPr>
        <w:ind w:left="6137" w:hanging="180"/>
      </w:pPr>
    </w:lvl>
  </w:abstractNum>
  <w:abstractNum w:abstractNumId="27" w15:restartNumberingAfterBreak="0">
    <w:nsid w:val="4A2E039E"/>
    <w:multiLevelType w:val="hybridMultilevel"/>
    <w:tmpl w:val="C43268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B2C1553"/>
    <w:multiLevelType w:val="hybridMultilevel"/>
    <w:tmpl w:val="698A3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A22292"/>
    <w:multiLevelType w:val="hybridMultilevel"/>
    <w:tmpl w:val="DD48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310FA7"/>
    <w:multiLevelType w:val="hybridMultilevel"/>
    <w:tmpl w:val="7F601FB4"/>
    <w:lvl w:ilvl="0" w:tplc="1CBA904A">
      <w:start w:val="33"/>
      <w:numFmt w:val="decimal"/>
      <w:lvlText w:val="%1."/>
      <w:lvlJc w:val="left"/>
      <w:pPr>
        <w:ind w:left="3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0D4DC2"/>
    <w:multiLevelType w:val="hybridMultilevel"/>
    <w:tmpl w:val="B226FD26"/>
    <w:lvl w:ilvl="0" w:tplc="5016AE06">
      <w:start w:val="28"/>
      <w:numFmt w:val="decimal"/>
      <w:lvlText w:val="%1."/>
      <w:lvlJc w:val="left"/>
      <w:pPr>
        <w:ind w:left="377" w:hanging="360"/>
      </w:pPr>
      <w:rPr>
        <w:rFonts w:hint="default"/>
      </w:rPr>
    </w:lvl>
    <w:lvl w:ilvl="1" w:tplc="08090019" w:tentative="1">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abstractNum w:abstractNumId="32" w15:restartNumberingAfterBreak="0">
    <w:nsid w:val="58EE6A62"/>
    <w:multiLevelType w:val="hybridMultilevel"/>
    <w:tmpl w:val="051A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03435A"/>
    <w:multiLevelType w:val="hybridMultilevel"/>
    <w:tmpl w:val="B706EB3C"/>
    <w:lvl w:ilvl="0" w:tplc="C654188A">
      <w:start w:val="1"/>
      <w:numFmt w:val="decimal"/>
      <w:lvlText w:val="%1."/>
      <w:lvlJc w:val="left"/>
      <w:pPr>
        <w:ind w:left="284" w:hanging="360"/>
      </w:pPr>
      <w:rPr>
        <w:rFonts w:hint="default"/>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34" w15:restartNumberingAfterBreak="0">
    <w:nsid w:val="5F785466"/>
    <w:multiLevelType w:val="hybridMultilevel"/>
    <w:tmpl w:val="259E6740"/>
    <w:lvl w:ilvl="0" w:tplc="745A3100">
      <w:start w:val="31"/>
      <w:numFmt w:val="decimal"/>
      <w:lvlText w:val="%1."/>
      <w:lvlJc w:val="left"/>
      <w:pPr>
        <w:ind w:left="377" w:hanging="360"/>
      </w:pPr>
      <w:rPr>
        <w:rFonts w:hint="default"/>
      </w:rPr>
    </w:lvl>
    <w:lvl w:ilvl="1" w:tplc="08090019" w:tentative="1">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abstractNum w:abstractNumId="35" w15:restartNumberingAfterBreak="0">
    <w:nsid w:val="64F968C1"/>
    <w:multiLevelType w:val="hybridMultilevel"/>
    <w:tmpl w:val="86D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16491C"/>
    <w:multiLevelType w:val="hybridMultilevel"/>
    <w:tmpl w:val="ECD42AC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37" w15:restartNumberingAfterBreak="0">
    <w:nsid w:val="67045449"/>
    <w:multiLevelType w:val="hybridMultilevel"/>
    <w:tmpl w:val="79FE6536"/>
    <w:lvl w:ilvl="0" w:tplc="08090001">
      <w:start w:val="1"/>
      <w:numFmt w:val="bullet"/>
      <w:lvlText w:val=""/>
      <w:lvlJc w:val="left"/>
      <w:pPr>
        <w:ind w:left="737" w:hanging="360"/>
      </w:pPr>
      <w:rPr>
        <w:rFonts w:ascii="Symbol" w:hAnsi="Symbol" w:hint="default"/>
      </w:rPr>
    </w:lvl>
    <w:lvl w:ilvl="1" w:tplc="08090003" w:tentative="1">
      <w:start w:val="1"/>
      <w:numFmt w:val="bullet"/>
      <w:lvlText w:val="o"/>
      <w:lvlJc w:val="left"/>
      <w:pPr>
        <w:ind w:left="1457" w:hanging="360"/>
      </w:pPr>
      <w:rPr>
        <w:rFonts w:ascii="Courier New" w:hAnsi="Courier New" w:cs="Courier New" w:hint="default"/>
      </w:rPr>
    </w:lvl>
    <w:lvl w:ilvl="2" w:tplc="08090005" w:tentative="1">
      <w:start w:val="1"/>
      <w:numFmt w:val="bullet"/>
      <w:lvlText w:val=""/>
      <w:lvlJc w:val="left"/>
      <w:pPr>
        <w:ind w:left="2177" w:hanging="360"/>
      </w:pPr>
      <w:rPr>
        <w:rFonts w:ascii="Wingdings" w:hAnsi="Wingdings" w:hint="default"/>
      </w:rPr>
    </w:lvl>
    <w:lvl w:ilvl="3" w:tplc="08090001" w:tentative="1">
      <w:start w:val="1"/>
      <w:numFmt w:val="bullet"/>
      <w:lvlText w:val=""/>
      <w:lvlJc w:val="left"/>
      <w:pPr>
        <w:ind w:left="2897" w:hanging="360"/>
      </w:pPr>
      <w:rPr>
        <w:rFonts w:ascii="Symbol" w:hAnsi="Symbol" w:hint="default"/>
      </w:rPr>
    </w:lvl>
    <w:lvl w:ilvl="4" w:tplc="08090003" w:tentative="1">
      <w:start w:val="1"/>
      <w:numFmt w:val="bullet"/>
      <w:lvlText w:val="o"/>
      <w:lvlJc w:val="left"/>
      <w:pPr>
        <w:ind w:left="3617" w:hanging="360"/>
      </w:pPr>
      <w:rPr>
        <w:rFonts w:ascii="Courier New" w:hAnsi="Courier New" w:cs="Courier New" w:hint="default"/>
      </w:rPr>
    </w:lvl>
    <w:lvl w:ilvl="5" w:tplc="08090005" w:tentative="1">
      <w:start w:val="1"/>
      <w:numFmt w:val="bullet"/>
      <w:lvlText w:val=""/>
      <w:lvlJc w:val="left"/>
      <w:pPr>
        <w:ind w:left="4337" w:hanging="360"/>
      </w:pPr>
      <w:rPr>
        <w:rFonts w:ascii="Wingdings" w:hAnsi="Wingdings" w:hint="default"/>
      </w:rPr>
    </w:lvl>
    <w:lvl w:ilvl="6" w:tplc="08090001" w:tentative="1">
      <w:start w:val="1"/>
      <w:numFmt w:val="bullet"/>
      <w:lvlText w:val=""/>
      <w:lvlJc w:val="left"/>
      <w:pPr>
        <w:ind w:left="5057" w:hanging="360"/>
      </w:pPr>
      <w:rPr>
        <w:rFonts w:ascii="Symbol" w:hAnsi="Symbol" w:hint="default"/>
      </w:rPr>
    </w:lvl>
    <w:lvl w:ilvl="7" w:tplc="08090003" w:tentative="1">
      <w:start w:val="1"/>
      <w:numFmt w:val="bullet"/>
      <w:lvlText w:val="o"/>
      <w:lvlJc w:val="left"/>
      <w:pPr>
        <w:ind w:left="5777" w:hanging="360"/>
      </w:pPr>
      <w:rPr>
        <w:rFonts w:ascii="Courier New" w:hAnsi="Courier New" w:cs="Courier New" w:hint="default"/>
      </w:rPr>
    </w:lvl>
    <w:lvl w:ilvl="8" w:tplc="08090005" w:tentative="1">
      <w:start w:val="1"/>
      <w:numFmt w:val="bullet"/>
      <w:lvlText w:val=""/>
      <w:lvlJc w:val="left"/>
      <w:pPr>
        <w:ind w:left="6497" w:hanging="360"/>
      </w:pPr>
      <w:rPr>
        <w:rFonts w:ascii="Wingdings" w:hAnsi="Wingdings" w:hint="default"/>
      </w:rPr>
    </w:lvl>
  </w:abstractNum>
  <w:abstractNum w:abstractNumId="38" w15:restartNumberingAfterBreak="0">
    <w:nsid w:val="6A022CAA"/>
    <w:multiLevelType w:val="hybridMultilevel"/>
    <w:tmpl w:val="555A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DC3D1A"/>
    <w:multiLevelType w:val="hybridMultilevel"/>
    <w:tmpl w:val="583EB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B0564C"/>
    <w:multiLevelType w:val="hybridMultilevel"/>
    <w:tmpl w:val="BE347948"/>
    <w:lvl w:ilvl="0" w:tplc="7D664E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172D16"/>
    <w:multiLevelType w:val="hybridMultilevel"/>
    <w:tmpl w:val="9FE24B3C"/>
    <w:lvl w:ilvl="0" w:tplc="08090001">
      <w:start w:val="1"/>
      <w:numFmt w:val="bullet"/>
      <w:lvlText w:val=""/>
      <w:lvlJc w:val="left"/>
      <w:pPr>
        <w:ind w:left="73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1F125C"/>
    <w:multiLevelType w:val="hybridMultilevel"/>
    <w:tmpl w:val="5604706E"/>
    <w:lvl w:ilvl="0" w:tplc="3E04A7F0">
      <w:start w:val="32"/>
      <w:numFmt w:val="decimal"/>
      <w:lvlText w:val="%1."/>
      <w:lvlJc w:val="left"/>
      <w:pPr>
        <w:ind w:left="377" w:hanging="360"/>
      </w:pPr>
      <w:rPr>
        <w:rFonts w:hint="default"/>
      </w:rPr>
    </w:lvl>
    <w:lvl w:ilvl="1" w:tplc="08090019" w:tentative="1">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abstractNum w:abstractNumId="43" w15:restartNumberingAfterBreak="0">
    <w:nsid w:val="7DEA4FF2"/>
    <w:multiLevelType w:val="hybridMultilevel"/>
    <w:tmpl w:val="455A20CE"/>
    <w:lvl w:ilvl="0" w:tplc="08090001">
      <w:start w:val="1"/>
      <w:numFmt w:val="bullet"/>
      <w:lvlText w:val=""/>
      <w:lvlJc w:val="left"/>
      <w:pPr>
        <w:ind w:left="737" w:hanging="360"/>
      </w:pPr>
      <w:rPr>
        <w:rFonts w:ascii="Symbol" w:hAnsi="Symbol" w:hint="default"/>
      </w:rPr>
    </w:lvl>
    <w:lvl w:ilvl="1" w:tplc="08090003">
      <w:start w:val="1"/>
      <w:numFmt w:val="bullet"/>
      <w:lvlText w:val="o"/>
      <w:lvlJc w:val="left"/>
      <w:pPr>
        <w:ind w:left="1457" w:hanging="360"/>
      </w:pPr>
      <w:rPr>
        <w:rFonts w:ascii="Courier New" w:hAnsi="Courier New" w:cs="Courier New" w:hint="default"/>
      </w:rPr>
    </w:lvl>
    <w:lvl w:ilvl="2" w:tplc="08090005" w:tentative="1">
      <w:start w:val="1"/>
      <w:numFmt w:val="bullet"/>
      <w:lvlText w:val=""/>
      <w:lvlJc w:val="left"/>
      <w:pPr>
        <w:ind w:left="2177" w:hanging="360"/>
      </w:pPr>
      <w:rPr>
        <w:rFonts w:ascii="Wingdings" w:hAnsi="Wingdings" w:hint="default"/>
      </w:rPr>
    </w:lvl>
    <w:lvl w:ilvl="3" w:tplc="08090001" w:tentative="1">
      <w:start w:val="1"/>
      <w:numFmt w:val="bullet"/>
      <w:lvlText w:val=""/>
      <w:lvlJc w:val="left"/>
      <w:pPr>
        <w:ind w:left="2897" w:hanging="360"/>
      </w:pPr>
      <w:rPr>
        <w:rFonts w:ascii="Symbol" w:hAnsi="Symbol" w:hint="default"/>
      </w:rPr>
    </w:lvl>
    <w:lvl w:ilvl="4" w:tplc="08090003" w:tentative="1">
      <w:start w:val="1"/>
      <w:numFmt w:val="bullet"/>
      <w:lvlText w:val="o"/>
      <w:lvlJc w:val="left"/>
      <w:pPr>
        <w:ind w:left="3617" w:hanging="360"/>
      </w:pPr>
      <w:rPr>
        <w:rFonts w:ascii="Courier New" w:hAnsi="Courier New" w:cs="Courier New" w:hint="default"/>
      </w:rPr>
    </w:lvl>
    <w:lvl w:ilvl="5" w:tplc="08090005" w:tentative="1">
      <w:start w:val="1"/>
      <w:numFmt w:val="bullet"/>
      <w:lvlText w:val=""/>
      <w:lvlJc w:val="left"/>
      <w:pPr>
        <w:ind w:left="4337" w:hanging="360"/>
      </w:pPr>
      <w:rPr>
        <w:rFonts w:ascii="Wingdings" w:hAnsi="Wingdings" w:hint="default"/>
      </w:rPr>
    </w:lvl>
    <w:lvl w:ilvl="6" w:tplc="08090001" w:tentative="1">
      <w:start w:val="1"/>
      <w:numFmt w:val="bullet"/>
      <w:lvlText w:val=""/>
      <w:lvlJc w:val="left"/>
      <w:pPr>
        <w:ind w:left="5057" w:hanging="360"/>
      </w:pPr>
      <w:rPr>
        <w:rFonts w:ascii="Symbol" w:hAnsi="Symbol" w:hint="default"/>
      </w:rPr>
    </w:lvl>
    <w:lvl w:ilvl="7" w:tplc="08090003" w:tentative="1">
      <w:start w:val="1"/>
      <w:numFmt w:val="bullet"/>
      <w:lvlText w:val="o"/>
      <w:lvlJc w:val="left"/>
      <w:pPr>
        <w:ind w:left="5777" w:hanging="360"/>
      </w:pPr>
      <w:rPr>
        <w:rFonts w:ascii="Courier New" w:hAnsi="Courier New" w:cs="Courier New" w:hint="default"/>
      </w:rPr>
    </w:lvl>
    <w:lvl w:ilvl="8" w:tplc="08090005" w:tentative="1">
      <w:start w:val="1"/>
      <w:numFmt w:val="bullet"/>
      <w:lvlText w:val=""/>
      <w:lvlJc w:val="left"/>
      <w:pPr>
        <w:ind w:left="6497" w:hanging="360"/>
      </w:pPr>
      <w:rPr>
        <w:rFonts w:ascii="Wingdings" w:hAnsi="Wingdings" w:hint="default"/>
      </w:rPr>
    </w:lvl>
  </w:abstractNum>
  <w:num w:numId="1" w16cid:durableId="1919365292">
    <w:abstractNumId w:val="39"/>
  </w:num>
  <w:num w:numId="2" w16cid:durableId="237907700">
    <w:abstractNumId w:val="22"/>
  </w:num>
  <w:num w:numId="3" w16cid:durableId="1675690579">
    <w:abstractNumId w:val="38"/>
  </w:num>
  <w:num w:numId="4" w16cid:durableId="904029715">
    <w:abstractNumId w:val="19"/>
  </w:num>
  <w:num w:numId="5" w16cid:durableId="771123077">
    <w:abstractNumId w:val="14"/>
  </w:num>
  <w:num w:numId="6" w16cid:durableId="1538153961">
    <w:abstractNumId w:val="12"/>
  </w:num>
  <w:num w:numId="7" w16cid:durableId="328291532">
    <w:abstractNumId w:val="25"/>
  </w:num>
  <w:num w:numId="8" w16cid:durableId="1170173017">
    <w:abstractNumId w:val="20"/>
  </w:num>
  <w:num w:numId="9" w16cid:durableId="562448262">
    <w:abstractNumId w:val="5"/>
  </w:num>
  <w:num w:numId="10" w16cid:durableId="1680043020">
    <w:abstractNumId w:val="29"/>
  </w:num>
  <w:num w:numId="11" w16cid:durableId="71975739">
    <w:abstractNumId w:val="3"/>
  </w:num>
  <w:num w:numId="12" w16cid:durableId="1090003427">
    <w:abstractNumId w:val="35"/>
  </w:num>
  <w:num w:numId="13" w16cid:durableId="1764302413">
    <w:abstractNumId w:val="33"/>
  </w:num>
  <w:num w:numId="14" w16cid:durableId="112529673">
    <w:abstractNumId w:val="21"/>
  </w:num>
  <w:num w:numId="15" w16cid:durableId="181015247">
    <w:abstractNumId w:val="43"/>
  </w:num>
  <w:num w:numId="16" w16cid:durableId="1784496848">
    <w:abstractNumId w:val="13"/>
  </w:num>
  <w:num w:numId="17" w16cid:durableId="1322392401">
    <w:abstractNumId w:val="28"/>
  </w:num>
  <w:num w:numId="18" w16cid:durableId="1177042603">
    <w:abstractNumId w:val="32"/>
  </w:num>
  <w:num w:numId="19" w16cid:durableId="1376538045">
    <w:abstractNumId w:val="10"/>
  </w:num>
  <w:num w:numId="20" w16cid:durableId="51659693">
    <w:abstractNumId w:val="9"/>
  </w:num>
  <w:num w:numId="21" w16cid:durableId="576597390">
    <w:abstractNumId w:val="17"/>
  </w:num>
  <w:num w:numId="22" w16cid:durableId="1066149339">
    <w:abstractNumId w:val="6"/>
  </w:num>
  <w:num w:numId="23" w16cid:durableId="1275409359">
    <w:abstractNumId w:val="36"/>
  </w:num>
  <w:num w:numId="24" w16cid:durableId="227805638">
    <w:abstractNumId w:val="11"/>
  </w:num>
  <w:num w:numId="25" w16cid:durableId="148636695">
    <w:abstractNumId w:val="31"/>
  </w:num>
  <w:num w:numId="26" w16cid:durableId="1667703703">
    <w:abstractNumId w:val="7"/>
  </w:num>
  <w:num w:numId="27" w16cid:durableId="141315001">
    <w:abstractNumId w:val="41"/>
  </w:num>
  <w:num w:numId="28" w16cid:durableId="1123839510">
    <w:abstractNumId w:val="40"/>
  </w:num>
  <w:num w:numId="29" w16cid:durableId="824056819">
    <w:abstractNumId w:val="2"/>
  </w:num>
  <w:num w:numId="30" w16cid:durableId="901864450">
    <w:abstractNumId w:val="8"/>
  </w:num>
  <w:num w:numId="31" w16cid:durableId="1307664736">
    <w:abstractNumId w:val="23"/>
  </w:num>
  <w:num w:numId="32" w16cid:durableId="728266177">
    <w:abstractNumId w:val="1"/>
  </w:num>
  <w:num w:numId="33" w16cid:durableId="429742430">
    <w:abstractNumId w:val="18"/>
  </w:num>
  <w:num w:numId="34" w16cid:durableId="219556571">
    <w:abstractNumId w:val="0"/>
  </w:num>
  <w:num w:numId="35" w16cid:durableId="897978622">
    <w:abstractNumId w:val="15"/>
  </w:num>
  <w:num w:numId="36" w16cid:durableId="710573308">
    <w:abstractNumId w:val="27"/>
  </w:num>
  <w:num w:numId="37" w16cid:durableId="1747065793">
    <w:abstractNumId w:val="37"/>
  </w:num>
  <w:num w:numId="38" w16cid:durableId="1370030276">
    <w:abstractNumId w:val="26"/>
  </w:num>
  <w:num w:numId="39" w16cid:durableId="1103261293">
    <w:abstractNumId w:val="4"/>
  </w:num>
  <w:num w:numId="40" w16cid:durableId="386731390">
    <w:abstractNumId w:val="30"/>
  </w:num>
  <w:num w:numId="41" w16cid:durableId="1119882622">
    <w:abstractNumId w:val="34"/>
  </w:num>
  <w:num w:numId="42" w16cid:durableId="1021468565">
    <w:abstractNumId w:val="24"/>
  </w:num>
  <w:num w:numId="43" w16cid:durableId="1414283649">
    <w:abstractNumId w:val="16"/>
  </w:num>
  <w:num w:numId="44" w16cid:durableId="208228980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20"/>
    <w:rsid w:val="0001320C"/>
    <w:rsid w:val="00035D86"/>
    <w:rsid w:val="00037B39"/>
    <w:rsid w:val="00046E7D"/>
    <w:rsid w:val="0007587E"/>
    <w:rsid w:val="00076273"/>
    <w:rsid w:val="00092BC9"/>
    <w:rsid w:val="00094F17"/>
    <w:rsid w:val="000A5194"/>
    <w:rsid w:val="000B23BB"/>
    <w:rsid w:val="000B71F8"/>
    <w:rsid w:val="000C6856"/>
    <w:rsid w:val="000D4FF1"/>
    <w:rsid w:val="000E2B2A"/>
    <w:rsid w:val="000F65E3"/>
    <w:rsid w:val="001033FB"/>
    <w:rsid w:val="00111B84"/>
    <w:rsid w:val="001160F9"/>
    <w:rsid w:val="001172EF"/>
    <w:rsid w:val="001324E3"/>
    <w:rsid w:val="00146276"/>
    <w:rsid w:val="001558B4"/>
    <w:rsid w:val="00162D90"/>
    <w:rsid w:val="0016593B"/>
    <w:rsid w:val="00170D6B"/>
    <w:rsid w:val="00180319"/>
    <w:rsid w:val="001A010B"/>
    <w:rsid w:val="001A79D3"/>
    <w:rsid w:val="001C1FA7"/>
    <w:rsid w:val="001D0F96"/>
    <w:rsid w:val="001D361C"/>
    <w:rsid w:val="001F3647"/>
    <w:rsid w:val="001F4D7A"/>
    <w:rsid w:val="00204D20"/>
    <w:rsid w:val="00216132"/>
    <w:rsid w:val="00231239"/>
    <w:rsid w:val="0024272D"/>
    <w:rsid w:val="00264512"/>
    <w:rsid w:val="00270D81"/>
    <w:rsid w:val="00270DC3"/>
    <w:rsid w:val="00280950"/>
    <w:rsid w:val="002A4CEE"/>
    <w:rsid w:val="002C5E50"/>
    <w:rsid w:val="002E0818"/>
    <w:rsid w:val="002F7FE4"/>
    <w:rsid w:val="00300322"/>
    <w:rsid w:val="003052E4"/>
    <w:rsid w:val="003069FE"/>
    <w:rsid w:val="00322D98"/>
    <w:rsid w:val="003344F1"/>
    <w:rsid w:val="003574D9"/>
    <w:rsid w:val="00366E4B"/>
    <w:rsid w:val="0037410A"/>
    <w:rsid w:val="003833A4"/>
    <w:rsid w:val="0038596E"/>
    <w:rsid w:val="00390CF8"/>
    <w:rsid w:val="003A4359"/>
    <w:rsid w:val="003B32BF"/>
    <w:rsid w:val="003B7B5E"/>
    <w:rsid w:val="003D27C3"/>
    <w:rsid w:val="003D5896"/>
    <w:rsid w:val="003D5C03"/>
    <w:rsid w:val="003F0386"/>
    <w:rsid w:val="003F57D4"/>
    <w:rsid w:val="004256C5"/>
    <w:rsid w:val="00437129"/>
    <w:rsid w:val="004433E5"/>
    <w:rsid w:val="00451C94"/>
    <w:rsid w:val="00457463"/>
    <w:rsid w:val="004679EE"/>
    <w:rsid w:val="00474D07"/>
    <w:rsid w:val="00476EB6"/>
    <w:rsid w:val="0049756A"/>
    <w:rsid w:val="004A6D84"/>
    <w:rsid w:val="004A7FBF"/>
    <w:rsid w:val="004B2CD5"/>
    <w:rsid w:val="004C1AC0"/>
    <w:rsid w:val="004C1C84"/>
    <w:rsid w:val="004C214B"/>
    <w:rsid w:val="004D2430"/>
    <w:rsid w:val="004D301F"/>
    <w:rsid w:val="004D6EDD"/>
    <w:rsid w:val="004E3E79"/>
    <w:rsid w:val="00505836"/>
    <w:rsid w:val="0050611F"/>
    <w:rsid w:val="00544F48"/>
    <w:rsid w:val="00545A1C"/>
    <w:rsid w:val="00546D2A"/>
    <w:rsid w:val="00565C9A"/>
    <w:rsid w:val="00573617"/>
    <w:rsid w:val="005926A8"/>
    <w:rsid w:val="005A0568"/>
    <w:rsid w:val="005B39A9"/>
    <w:rsid w:val="005B60CC"/>
    <w:rsid w:val="005C28EA"/>
    <w:rsid w:val="005C7C69"/>
    <w:rsid w:val="005E2ECC"/>
    <w:rsid w:val="005F53C1"/>
    <w:rsid w:val="005F5A08"/>
    <w:rsid w:val="00600E8F"/>
    <w:rsid w:val="00605693"/>
    <w:rsid w:val="00605C61"/>
    <w:rsid w:val="00611CD6"/>
    <w:rsid w:val="0061200E"/>
    <w:rsid w:val="00620017"/>
    <w:rsid w:val="006211F7"/>
    <w:rsid w:val="00626536"/>
    <w:rsid w:val="00633F28"/>
    <w:rsid w:val="00653040"/>
    <w:rsid w:val="00666F3D"/>
    <w:rsid w:val="006747C0"/>
    <w:rsid w:val="00682E9D"/>
    <w:rsid w:val="00690252"/>
    <w:rsid w:val="006A1A0A"/>
    <w:rsid w:val="006B5F9E"/>
    <w:rsid w:val="006D678B"/>
    <w:rsid w:val="006F3E87"/>
    <w:rsid w:val="006F50D7"/>
    <w:rsid w:val="00701143"/>
    <w:rsid w:val="00715ED8"/>
    <w:rsid w:val="00717EC9"/>
    <w:rsid w:val="00727644"/>
    <w:rsid w:val="00745FA8"/>
    <w:rsid w:val="00765F02"/>
    <w:rsid w:val="00792452"/>
    <w:rsid w:val="007A241D"/>
    <w:rsid w:val="007A3D1E"/>
    <w:rsid w:val="007A4643"/>
    <w:rsid w:val="007B24E0"/>
    <w:rsid w:val="007C5167"/>
    <w:rsid w:val="007D5EFC"/>
    <w:rsid w:val="007D6B5A"/>
    <w:rsid w:val="007E507D"/>
    <w:rsid w:val="008152BA"/>
    <w:rsid w:val="008160AD"/>
    <w:rsid w:val="00833C11"/>
    <w:rsid w:val="00836332"/>
    <w:rsid w:val="00842834"/>
    <w:rsid w:val="00843666"/>
    <w:rsid w:val="00852AB5"/>
    <w:rsid w:val="00857BEF"/>
    <w:rsid w:val="0086748C"/>
    <w:rsid w:val="008822A8"/>
    <w:rsid w:val="008866AA"/>
    <w:rsid w:val="008A43BC"/>
    <w:rsid w:val="008E21B2"/>
    <w:rsid w:val="008F50FE"/>
    <w:rsid w:val="00903DC6"/>
    <w:rsid w:val="009040A8"/>
    <w:rsid w:val="00914B4D"/>
    <w:rsid w:val="00916268"/>
    <w:rsid w:val="00922CB3"/>
    <w:rsid w:val="00940D63"/>
    <w:rsid w:val="00946309"/>
    <w:rsid w:val="00947ADF"/>
    <w:rsid w:val="00947F90"/>
    <w:rsid w:val="00957288"/>
    <w:rsid w:val="00986B64"/>
    <w:rsid w:val="00996F68"/>
    <w:rsid w:val="009A4C74"/>
    <w:rsid w:val="009A549A"/>
    <w:rsid w:val="009A5DF0"/>
    <w:rsid w:val="009D6262"/>
    <w:rsid w:val="009D6F1D"/>
    <w:rsid w:val="009D7632"/>
    <w:rsid w:val="009F1AC2"/>
    <w:rsid w:val="009F2CBB"/>
    <w:rsid w:val="00A05591"/>
    <w:rsid w:val="00A11B2E"/>
    <w:rsid w:val="00A1572E"/>
    <w:rsid w:val="00A3316D"/>
    <w:rsid w:val="00A4109E"/>
    <w:rsid w:val="00A534FE"/>
    <w:rsid w:val="00A6106E"/>
    <w:rsid w:val="00A74786"/>
    <w:rsid w:val="00A80762"/>
    <w:rsid w:val="00AB4366"/>
    <w:rsid w:val="00AF1E17"/>
    <w:rsid w:val="00B24A6F"/>
    <w:rsid w:val="00B33C3F"/>
    <w:rsid w:val="00B42630"/>
    <w:rsid w:val="00B52F8E"/>
    <w:rsid w:val="00B6266D"/>
    <w:rsid w:val="00B769BF"/>
    <w:rsid w:val="00B8388F"/>
    <w:rsid w:val="00B859A5"/>
    <w:rsid w:val="00B9666E"/>
    <w:rsid w:val="00BB1C6C"/>
    <w:rsid w:val="00BB3514"/>
    <w:rsid w:val="00BD56B7"/>
    <w:rsid w:val="00BE65AD"/>
    <w:rsid w:val="00C04485"/>
    <w:rsid w:val="00C0460D"/>
    <w:rsid w:val="00C04D58"/>
    <w:rsid w:val="00C111D6"/>
    <w:rsid w:val="00C344EE"/>
    <w:rsid w:val="00C4414A"/>
    <w:rsid w:val="00C645E5"/>
    <w:rsid w:val="00C70AC5"/>
    <w:rsid w:val="00C82687"/>
    <w:rsid w:val="00C84ED1"/>
    <w:rsid w:val="00C911DE"/>
    <w:rsid w:val="00C9799D"/>
    <w:rsid w:val="00CB670E"/>
    <w:rsid w:val="00CE0175"/>
    <w:rsid w:val="00CF1332"/>
    <w:rsid w:val="00CF5775"/>
    <w:rsid w:val="00D0763A"/>
    <w:rsid w:val="00D1341F"/>
    <w:rsid w:val="00D205EF"/>
    <w:rsid w:val="00D33CA6"/>
    <w:rsid w:val="00D44151"/>
    <w:rsid w:val="00D4415D"/>
    <w:rsid w:val="00D52B23"/>
    <w:rsid w:val="00D62155"/>
    <w:rsid w:val="00D62F2C"/>
    <w:rsid w:val="00D6458E"/>
    <w:rsid w:val="00D733BD"/>
    <w:rsid w:val="00D969F0"/>
    <w:rsid w:val="00DA4023"/>
    <w:rsid w:val="00DB1667"/>
    <w:rsid w:val="00DB76FD"/>
    <w:rsid w:val="00DC5460"/>
    <w:rsid w:val="00DE526F"/>
    <w:rsid w:val="00DF38A5"/>
    <w:rsid w:val="00E04F18"/>
    <w:rsid w:val="00E13D18"/>
    <w:rsid w:val="00E14225"/>
    <w:rsid w:val="00E22A05"/>
    <w:rsid w:val="00E31FF8"/>
    <w:rsid w:val="00E53580"/>
    <w:rsid w:val="00E60F15"/>
    <w:rsid w:val="00E66115"/>
    <w:rsid w:val="00E80278"/>
    <w:rsid w:val="00E8227C"/>
    <w:rsid w:val="00E83BDD"/>
    <w:rsid w:val="00E944DA"/>
    <w:rsid w:val="00E94E5C"/>
    <w:rsid w:val="00EA36FF"/>
    <w:rsid w:val="00EA54BD"/>
    <w:rsid w:val="00EA6EF7"/>
    <w:rsid w:val="00EB3531"/>
    <w:rsid w:val="00EB7AB7"/>
    <w:rsid w:val="00EC4530"/>
    <w:rsid w:val="00EE124D"/>
    <w:rsid w:val="00EF0075"/>
    <w:rsid w:val="00F06AF9"/>
    <w:rsid w:val="00F16AF5"/>
    <w:rsid w:val="00F32F02"/>
    <w:rsid w:val="00F45BC5"/>
    <w:rsid w:val="00F67036"/>
    <w:rsid w:val="00F76250"/>
    <w:rsid w:val="00F77F90"/>
    <w:rsid w:val="00F860BE"/>
    <w:rsid w:val="00F860D4"/>
    <w:rsid w:val="00FA1AA0"/>
    <w:rsid w:val="00FA3A23"/>
    <w:rsid w:val="00FA5813"/>
    <w:rsid w:val="00FA77ED"/>
    <w:rsid w:val="00FB6701"/>
    <w:rsid w:val="00FC0613"/>
    <w:rsid w:val="00FC32ED"/>
    <w:rsid w:val="00FD0A8A"/>
    <w:rsid w:val="00FE1E89"/>
    <w:rsid w:val="00FE4C40"/>
    <w:rsid w:val="00FE5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A3205"/>
  <w15:docId w15:val="{26B9BEBA-FDBE-4A5F-B49B-CF0B3DE3A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D20"/>
  </w:style>
  <w:style w:type="paragraph" w:styleId="Heading1">
    <w:name w:val="heading 1"/>
    <w:basedOn w:val="Normal"/>
    <w:next w:val="Normal"/>
    <w:link w:val="Heading1Char"/>
    <w:uiPriority w:val="9"/>
    <w:qFormat/>
    <w:rsid w:val="00E83BDD"/>
    <w:pPr>
      <w:keepNext/>
      <w:keepLines/>
      <w:spacing w:before="240" w:after="0" w:line="259"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F860D4"/>
    <w:pPr>
      <w:keepNext/>
      <w:keepLines/>
      <w:spacing w:before="40" w:after="0" w:line="259" w:lineRule="auto"/>
      <w:outlineLvl w:val="1"/>
    </w:pPr>
    <w:rPr>
      <w:rFonts w:ascii="Calibri" w:eastAsiaTheme="majorEastAsia" w:hAnsi="Calibri" w:cs="Calibri"/>
      <w:b/>
      <w:sz w:val="24"/>
      <w:szCs w:val="26"/>
    </w:rPr>
  </w:style>
  <w:style w:type="paragraph" w:styleId="Heading3">
    <w:name w:val="heading 3"/>
    <w:basedOn w:val="Normal"/>
    <w:next w:val="Normal"/>
    <w:link w:val="Heading3Char"/>
    <w:uiPriority w:val="9"/>
    <w:unhideWhenUsed/>
    <w:qFormat/>
    <w:rsid w:val="00F860D4"/>
    <w:pPr>
      <w:keepNext/>
      <w:keepLines/>
      <w:spacing w:before="40" w:after="0"/>
      <w:outlineLvl w:val="2"/>
    </w:pPr>
    <w:rPr>
      <w:rFonts w:ascii="Calibri" w:eastAsiaTheme="majorEastAsia" w:hAnsi="Calibri" w:cs="Calibri"/>
      <w:b/>
      <w:sz w:val="24"/>
      <w:szCs w:val="24"/>
    </w:rPr>
  </w:style>
  <w:style w:type="paragraph" w:styleId="Heading7">
    <w:name w:val="heading 7"/>
    <w:basedOn w:val="Normal"/>
    <w:next w:val="Normal"/>
    <w:link w:val="Heading7Char"/>
    <w:uiPriority w:val="9"/>
    <w:semiHidden/>
    <w:unhideWhenUsed/>
    <w:qFormat/>
    <w:rsid w:val="00BB3514"/>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basedOn w:val="Normal"/>
    <w:uiPriority w:val="34"/>
    <w:qFormat/>
    <w:rsid w:val="00111B84"/>
    <w:pPr>
      <w:ind w:left="720"/>
      <w:contextualSpacing/>
    </w:pPr>
  </w:style>
  <w:style w:type="character" w:customStyle="1" w:styleId="Heading1Char">
    <w:name w:val="Heading 1 Char"/>
    <w:basedOn w:val="DefaultParagraphFont"/>
    <w:link w:val="Heading1"/>
    <w:uiPriority w:val="9"/>
    <w:rsid w:val="00E83BD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F860D4"/>
    <w:rPr>
      <w:rFonts w:ascii="Calibri" w:eastAsiaTheme="majorEastAsia" w:hAnsi="Calibri" w:cs="Calibri"/>
      <w:b/>
      <w:sz w:val="24"/>
      <w:szCs w:val="26"/>
    </w:rPr>
  </w:style>
  <w:style w:type="character" w:styleId="Hyperlink">
    <w:name w:val="Hyperlink"/>
    <w:basedOn w:val="DefaultParagraphFont"/>
    <w:uiPriority w:val="99"/>
    <w:unhideWhenUsed/>
    <w:rsid w:val="00E83BDD"/>
    <w:rPr>
      <w:color w:val="0000FF" w:themeColor="hyperlink"/>
      <w:u w:val="single"/>
    </w:rPr>
  </w:style>
  <w:style w:type="character" w:styleId="CommentReference">
    <w:name w:val="annotation reference"/>
    <w:basedOn w:val="DefaultParagraphFont"/>
    <w:uiPriority w:val="99"/>
    <w:semiHidden/>
    <w:unhideWhenUsed/>
    <w:rsid w:val="00E944DA"/>
    <w:rPr>
      <w:sz w:val="16"/>
      <w:szCs w:val="16"/>
    </w:rPr>
  </w:style>
  <w:style w:type="paragraph" w:styleId="CommentText">
    <w:name w:val="annotation text"/>
    <w:basedOn w:val="Normal"/>
    <w:link w:val="CommentTextChar"/>
    <w:uiPriority w:val="99"/>
    <w:unhideWhenUsed/>
    <w:rsid w:val="00E944DA"/>
    <w:pPr>
      <w:spacing w:line="240" w:lineRule="auto"/>
    </w:pPr>
    <w:rPr>
      <w:sz w:val="20"/>
      <w:szCs w:val="20"/>
    </w:rPr>
  </w:style>
  <w:style w:type="character" w:customStyle="1" w:styleId="CommentTextChar">
    <w:name w:val="Comment Text Char"/>
    <w:basedOn w:val="DefaultParagraphFont"/>
    <w:link w:val="CommentText"/>
    <w:uiPriority w:val="99"/>
    <w:rsid w:val="00E944DA"/>
    <w:rPr>
      <w:sz w:val="20"/>
      <w:szCs w:val="20"/>
    </w:rPr>
  </w:style>
  <w:style w:type="paragraph" w:styleId="CommentSubject">
    <w:name w:val="annotation subject"/>
    <w:basedOn w:val="CommentText"/>
    <w:next w:val="CommentText"/>
    <w:link w:val="CommentSubjectChar"/>
    <w:uiPriority w:val="99"/>
    <w:semiHidden/>
    <w:unhideWhenUsed/>
    <w:rsid w:val="00E944DA"/>
    <w:rPr>
      <w:b/>
      <w:bCs/>
    </w:rPr>
  </w:style>
  <w:style w:type="character" w:customStyle="1" w:styleId="CommentSubjectChar">
    <w:name w:val="Comment Subject Char"/>
    <w:basedOn w:val="CommentTextChar"/>
    <w:link w:val="CommentSubject"/>
    <w:uiPriority w:val="99"/>
    <w:semiHidden/>
    <w:rsid w:val="00E944DA"/>
    <w:rPr>
      <w:b/>
      <w:bCs/>
      <w:sz w:val="20"/>
      <w:szCs w:val="20"/>
    </w:rPr>
  </w:style>
  <w:style w:type="paragraph" w:styleId="BalloonText">
    <w:name w:val="Balloon Text"/>
    <w:basedOn w:val="Normal"/>
    <w:link w:val="BalloonTextChar"/>
    <w:uiPriority w:val="99"/>
    <w:semiHidden/>
    <w:unhideWhenUsed/>
    <w:rsid w:val="00E944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4DA"/>
    <w:rPr>
      <w:rFonts w:ascii="Tahoma" w:hAnsi="Tahoma" w:cs="Tahoma"/>
      <w:sz w:val="16"/>
      <w:szCs w:val="16"/>
    </w:rPr>
  </w:style>
  <w:style w:type="paragraph" w:styleId="FootnoteText">
    <w:name w:val="footnote text"/>
    <w:basedOn w:val="Normal"/>
    <w:link w:val="FootnoteTextChar"/>
    <w:uiPriority w:val="99"/>
    <w:semiHidden/>
    <w:rsid w:val="008160A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8160AD"/>
    <w:rPr>
      <w:rFonts w:ascii="Times New Roman" w:eastAsia="Times New Roman" w:hAnsi="Times New Roman" w:cs="Times New Roman"/>
      <w:sz w:val="20"/>
      <w:szCs w:val="20"/>
    </w:rPr>
  </w:style>
  <w:style w:type="character" w:styleId="FootnoteReference">
    <w:name w:val="footnote reference"/>
    <w:uiPriority w:val="99"/>
    <w:semiHidden/>
    <w:rsid w:val="008160AD"/>
    <w:rPr>
      <w:vertAlign w:val="superscript"/>
    </w:rPr>
  </w:style>
  <w:style w:type="character" w:customStyle="1" w:styleId="Heading3Char">
    <w:name w:val="Heading 3 Char"/>
    <w:basedOn w:val="DefaultParagraphFont"/>
    <w:link w:val="Heading3"/>
    <w:uiPriority w:val="9"/>
    <w:rsid w:val="00F860D4"/>
    <w:rPr>
      <w:rFonts w:ascii="Calibri" w:eastAsiaTheme="majorEastAsia" w:hAnsi="Calibri" w:cs="Calibri"/>
      <w:b/>
      <w:sz w:val="24"/>
      <w:szCs w:val="24"/>
    </w:rPr>
  </w:style>
  <w:style w:type="paragraph" w:styleId="Revision">
    <w:name w:val="Revision"/>
    <w:hidden/>
    <w:uiPriority w:val="99"/>
    <w:semiHidden/>
    <w:rsid w:val="00FD0A8A"/>
    <w:pPr>
      <w:spacing w:after="0" w:line="240" w:lineRule="auto"/>
    </w:pPr>
  </w:style>
  <w:style w:type="character" w:customStyle="1" w:styleId="Heading7Char">
    <w:name w:val="Heading 7 Char"/>
    <w:basedOn w:val="DefaultParagraphFont"/>
    <w:link w:val="Heading7"/>
    <w:uiPriority w:val="9"/>
    <w:semiHidden/>
    <w:rsid w:val="00BB3514"/>
    <w:rPr>
      <w:rFonts w:asciiTheme="majorHAnsi" w:eastAsiaTheme="majorEastAsia" w:hAnsiTheme="majorHAnsi" w:cstheme="majorBidi"/>
      <w:i/>
      <w:iCs/>
      <w:color w:val="243F60" w:themeColor="accent1" w:themeShade="7F"/>
    </w:rPr>
  </w:style>
  <w:style w:type="paragraph" w:styleId="BodyText">
    <w:name w:val="Body Text"/>
    <w:basedOn w:val="Normal"/>
    <w:link w:val="BodyTextChar"/>
    <w:rsid w:val="00F45BC5"/>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F45BC5"/>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97867">
      <w:bodyDiv w:val="1"/>
      <w:marLeft w:val="0"/>
      <w:marRight w:val="0"/>
      <w:marTop w:val="0"/>
      <w:marBottom w:val="0"/>
      <w:divBdr>
        <w:top w:val="none" w:sz="0" w:space="0" w:color="auto"/>
        <w:left w:val="none" w:sz="0" w:space="0" w:color="auto"/>
        <w:bottom w:val="none" w:sz="0" w:space="0" w:color="auto"/>
        <w:right w:val="none" w:sz="0" w:space="0" w:color="auto"/>
      </w:divBdr>
    </w:div>
    <w:div w:id="160249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A4468257</value>
    </field>
    <field name="Objective-Title">
      <value order="0">G.10 Board of NatureScot Meeting - 14 May 2024 - Audit and Risk Committee Annual Report 2023-24</value>
    </field>
    <field name="Objective-Description">
      <value order="0"/>
    </field>
    <field name="Objective-CreationStamp">
      <value order="0">2024-03-11T15:18:28Z</value>
    </field>
    <field name="Objective-IsApproved">
      <value order="0">false</value>
    </field>
    <field name="Objective-IsPublished">
      <value order="0">true</value>
    </field>
    <field name="Objective-DatePublished">
      <value order="0">2024-05-08T11:02:12Z</value>
    </field>
    <field name="Objective-ModificationStamp">
      <value order="0">2024-05-08T11:03:30Z</value>
    </field>
    <field name="Objective-Owner">
      <value order="0">Sara Lewis</value>
    </field>
    <field name="Objective-Path">
      <value order="0">Objective Global Folder:NatureScot Fileplan:MAN - Management:EO - Executive Office:BD - Board:SNH Board - Meetings:Board of NatureScot Meetings - 2024:212 - Board of NatureScot - 14 May 2024</value>
    </field>
    <field name="Objective-Parent">
      <value order="0">212 - Board of NatureScot - 14 May 2024</value>
    </field>
    <field name="Objective-State">
      <value order="0">Published</value>
    </field>
    <field name="Objective-VersionId">
      <value order="0">vA7996831</value>
    </field>
    <field name="Objective-Version">
      <value order="0">11.0</value>
    </field>
    <field name="Objective-VersionNumber">
      <value order="0">11</value>
    </field>
    <field name="Objective-VersionComment">
      <value order="0"/>
    </field>
    <field name="Objective-FileNumber">
      <value order="0">qA183245</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4E39CD1D-9837-4D35-8BB7-DB6DCB167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2124</Words>
  <Characters>12108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Rennie</dc:creator>
  <cp:lastModifiedBy>Rachael Burrow</cp:lastModifiedBy>
  <cp:revision>2</cp:revision>
  <cp:lastPrinted>2022-04-11T06:54:00Z</cp:lastPrinted>
  <dcterms:created xsi:type="dcterms:W3CDTF">2024-05-09T10:40:00Z</dcterms:created>
  <dcterms:modified xsi:type="dcterms:W3CDTF">2024-05-09T10:40:00Z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Date of Original [system]">
    <vt:lpwstr/>
  </property>
  <property fmtid="{D5CDD505-2E9C-101B-9397-08002B2CF9AE}" pid="5" name="Objective-Sensitivity Review Date [system]">
    <vt:lpwstr/>
  </property>
  <property fmtid="{D5CDD505-2E9C-101B-9397-08002B2CF9AE}" pid="6" name="Objective-FOI Exemption [system]">
    <vt:lpwstr>Release</vt:lpwstr>
  </property>
  <property fmtid="{D5CDD505-2E9C-101B-9397-08002B2CF9AE}" pid="7" name="Objective-DPA Exemption [system]">
    <vt:lpwstr>Release</vt:lpwstr>
  </property>
  <property fmtid="{D5CDD505-2E9C-101B-9397-08002B2CF9AE}" pid="8" name="Objective-EIR Exception [system]">
    <vt:lpwstr>Release</vt:lpwstr>
  </property>
  <property fmtid="{D5CDD505-2E9C-101B-9397-08002B2CF9AE}" pid="9" name="Objective-Justification [system]">
    <vt:lpwstr/>
  </property>
  <property fmtid="{D5CDD505-2E9C-101B-9397-08002B2CF9AE}" pid="10" name="Objective-Date of Request [system]">
    <vt:lpwstr/>
  </property>
  <property fmtid="{D5CDD505-2E9C-101B-9397-08002B2CF9AE}" pid="11" name="Objective-Date of Release [system]">
    <vt:lpwstr/>
  </property>
  <property fmtid="{D5CDD505-2E9C-101B-9397-08002B2CF9AE}" pid="12" name="Objective-FOI/EIR Disclosure Date [system]">
    <vt:lpwstr/>
  </property>
  <property fmtid="{D5CDD505-2E9C-101B-9397-08002B2CF9AE}" pid="13" name="Objective-FOI/EIR Dissemination Date [system]">
    <vt:lpwstr/>
  </property>
  <property fmtid="{D5CDD505-2E9C-101B-9397-08002B2CF9AE}" pid="14" name="Objective-FOI Release Details [system]">
    <vt:lpwstr/>
  </property>
  <property fmtid="{D5CDD505-2E9C-101B-9397-08002B2CF9AE}" pid="15" name="Objective-Connect Creator [system]">
    <vt:lpwstr/>
  </property>
  <property fmtid="{D5CDD505-2E9C-101B-9397-08002B2CF9AE}" pid="16" name="Customer-Id">
    <vt:lpwstr>71FFD1B571BE2883E0537D20C80A46C7</vt:lpwstr>
  </property>
  <property fmtid="{D5CDD505-2E9C-101B-9397-08002B2CF9AE}" pid="17" name="Objective-Id">
    <vt:lpwstr>A4468257</vt:lpwstr>
  </property>
  <property fmtid="{D5CDD505-2E9C-101B-9397-08002B2CF9AE}" pid="18" name="Objective-Title">
    <vt:lpwstr>G.10 Board of NatureScot Meeting - 14 May 2024 - Audit and Risk Committee Annual Report 2023-24</vt:lpwstr>
  </property>
  <property fmtid="{D5CDD505-2E9C-101B-9397-08002B2CF9AE}" pid="19" name="Objective-Description">
    <vt:lpwstr/>
  </property>
  <property fmtid="{D5CDD505-2E9C-101B-9397-08002B2CF9AE}" pid="20" name="Objective-CreationStamp">
    <vt:filetime>2024-03-11T15:18:28Z</vt:filetime>
  </property>
  <property fmtid="{D5CDD505-2E9C-101B-9397-08002B2CF9AE}" pid="21" name="Objective-IsApproved">
    <vt:bool>false</vt:bool>
  </property>
  <property fmtid="{D5CDD505-2E9C-101B-9397-08002B2CF9AE}" pid="22" name="Objective-IsPublished">
    <vt:bool>true</vt:bool>
  </property>
  <property fmtid="{D5CDD505-2E9C-101B-9397-08002B2CF9AE}" pid="23" name="Objective-DatePublished">
    <vt:filetime>2024-05-08T11:02:12Z</vt:filetime>
  </property>
  <property fmtid="{D5CDD505-2E9C-101B-9397-08002B2CF9AE}" pid="24" name="Objective-ModificationStamp">
    <vt:filetime>2024-05-08T11:03:30Z</vt:filetime>
  </property>
  <property fmtid="{D5CDD505-2E9C-101B-9397-08002B2CF9AE}" pid="25" name="Objective-Owner">
    <vt:lpwstr>Sara Lewis</vt:lpwstr>
  </property>
  <property fmtid="{D5CDD505-2E9C-101B-9397-08002B2CF9AE}" pid="26" name="Objective-Path">
    <vt:lpwstr>Objective Global Folder:NatureScot Fileplan:MAN - Management:EO - Executive Office:BD - Board:SNH Board - Meetings:Board of NatureScot Meetings - 2024:212 - Board of NatureScot - 14 May 2024</vt:lpwstr>
  </property>
  <property fmtid="{D5CDD505-2E9C-101B-9397-08002B2CF9AE}" pid="27" name="Objective-Parent">
    <vt:lpwstr>212 - Board of NatureScot - 14 May 2024</vt:lpwstr>
  </property>
  <property fmtid="{D5CDD505-2E9C-101B-9397-08002B2CF9AE}" pid="28" name="Objective-State">
    <vt:lpwstr>Published</vt:lpwstr>
  </property>
  <property fmtid="{D5CDD505-2E9C-101B-9397-08002B2CF9AE}" pid="29" name="Objective-VersionId">
    <vt:lpwstr>vA7996831</vt:lpwstr>
  </property>
  <property fmtid="{D5CDD505-2E9C-101B-9397-08002B2CF9AE}" pid="30" name="Objective-Version">
    <vt:lpwstr>11.0</vt:lpwstr>
  </property>
  <property fmtid="{D5CDD505-2E9C-101B-9397-08002B2CF9AE}" pid="31" name="Objective-VersionNumber">
    <vt:r8>11</vt:r8>
  </property>
  <property fmtid="{D5CDD505-2E9C-101B-9397-08002B2CF9AE}" pid="32" name="Objective-VersionComment">
    <vt:lpwstr/>
  </property>
  <property fmtid="{D5CDD505-2E9C-101B-9397-08002B2CF9AE}" pid="33" name="Objective-FileNumber">
    <vt:lpwstr>qA183245</vt:lpwstr>
  </property>
  <property fmtid="{D5CDD505-2E9C-101B-9397-08002B2CF9AE}" pid="34" name="Objective-Classification">
    <vt:lpwstr/>
  </property>
  <property fmtid="{D5CDD505-2E9C-101B-9397-08002B2CF9AE}" pid="35" name="Objective-Caveats">
    <vt:lpwstr/>
  </property>
  <property fmtid="{D5CDD505-2E9C-101B-9397-08002B2CF9AE}" pid="36" name="Objective-Date of Original">
    <vt:lpwstr/>
  </property>
  <property fmtid="{D5CDD505-2E9C-101B-9397-08002B2CF9AE}" pid="37" name="Objective-Sensitivity Review Date">
    <vt:lpwstr/>
  </property>
  <property fmtid="{D5CDD505-2E9C-101B-9397-08002B2CF9AE}" pid="38" name="Objective-FOI Exemption">
    <vt:lpwstr>Release</vt:lpwstr>
  </property>
  <property fmtid="{D5CDD505-2E9C-101B-9397-08002B2CF9AE}" pid="39" name="Objective-DPA Exemption">
    <vt:lpwstr>Release</vt:lpwstr>
  </property>
  <property fmtid="{D5CDD505-2E9C-101B-9397-08002B2CF9AE}" pid="40" name="Objective-EIR Exception">
    <vt:lpwstr>Release</vt:lpwstr>
  </property>
  <property fmtid="{D5CDD505-2E9C-101B-9397-08002B2CF9AE}" pid="41" name="Objective-Justification">
    <vt:lpwstr/>
  </property>
  <property fmtid="{D5CDD505-2E9C-101B-9397-08002B2CF9AE}" pid="42" name="Objective-Date of Request">
    <vt:lpwstr/>
  </property>
  <property fmtid="{D5CDD505-2E9C-101B-9397-08002B2CF9AE}" pid="43" name="Objective-Date of Release">
    <vt:lpwstr/>
  </property>
  <property fmtid="{D5CDD505-2E9C-101B-9397-08002B2CF9AE}" pid="44" name="Objective-FOI/EIR Disclosure Date">
    <vt:lpwstr/>
  </property>
  <property fmtid="{D5CDD505-2E9C-101B-9397-08002B2CF9AE}" pid="45" name="Objective-FOI/EIR Dissemination Date">
    <vt:lpwstr/>
  </property>
  <property fmtid="{D5CDD505-2E9C-101B-9397-08002B2CF9AE}" pid="46" name="Objective-FOI Release Details">
    <vt:lpwstr/>
  </property>
  <property fmtid="{D5CDD505-2E9C-101B-9397-08002B2CF9AE}" pid="47" name="Objective-Connect Creator">
    <vt:lpwstr/>
  </property>
</Properties>
</file>