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FC18" w14:textId="71FE71FA" w:rsidR="00506E5C" w:rsidRPr="008D20BE" w:rsidRDefault="003A0BAA" w:rsidP="008D20BE">
      <w:pPr>
        <w:rPr>
          <w:rFonts w:cstheme="minorHAnsi"/>
          <w:color w:val="FF0000"/>
          <w:sz w:val="22"/>
        </w:rPr>
      </w:pPr>
      <w:r>
        <w:rPr>
          <w:rFonts w:cstheme="minorHAnsi"/>
          <w:noProof/>
          <w:color w:val="FF0000"/>
          <w:sz w:val="22"/>
          <w:lang w:eastAsia="en-GB"/>
        </w:rPr>
        <w:drawing>
          <wp:inline distT="0" distB="0" distL="0" distR="0" wp14:anchorId="48C815CC" wp14:editId="3F67C5E5">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2327889E" w:rsidR="003E22BB" w:rsidRPr="003E22BB" w:rsidRDefault="003E22BB" w:rsidP="003E22BB">
      <w:pPr>
        <w:pStyle w:val="Heading1"/>
        <w:rPr>
          <w:rFonts w:ascii="Calibri" w:hAnsi="Calibri" w:cs="Calibri"/>
          <w:sz w:val="24"/>
          <w:szCs w:val="24"/>
        </w:rPr>
      </w:pPr>
      <w:r w:rsidRPr="003E22BB">
        <w:rPr>
          <w:rFonts w:ascii="Calibri" w:hAnsi="Calibri" w:cs="Calibri"/>
          <w:sz w:val="24"/>
          <w:szCs w:val="24"/>
        </w:rPr>
        <w:t xml:space="preserve">Title:  </w:t>
      </w:r>
      <w:r w:rsidRPr="003E22BB">
        <w:rPr>
          <w:rFonts w:ascii="Calibri" w:hAnsi="Calibri" w:cs="Calibri"/>
          <w:sz w:val="24"/>
          <w:szCs w:val="24"/>
        </w:rPr>
        <w:tab/>
      </w:r>
      <w:r w:rsidR="00297EF0">
        <w:rPr>
          <w:rFonts w:ascii="Calibri" w:hAnsi="Calibri" w:cs="Calibri"/>
          <w:sz w:val="24"/>
          <w:szCs w:val="24"/>
        </w:rPr>
        <w:t xml:space="preserve">Q4 </w:t>
      </w:r>
      <w:r w:rsidR="008D20BE">
        <w:rPr>
          <w:rFonts w:ascii="Calibri" w:hAnsi="Calibri" w:cs="Calibri"/>
          <w:sz w:val="24"/>
          <w:szCs w:val="24"/>
        </w:rPr>
        <w:t>Performance Report 2023/24</w:t>
      </w:r>
      <w:r w:rsidRPr="003E22BB">
        <w:rPr>
          <w:rFonts w:ascii="Calibri" w:hAnsi="Calibri" w:cs="Calibri"/>
          <w:sz w:val="24"/>
          <w:szCs w:val="24"/>
        </w:rPr>
        <w:tab/>
      </w:r>
    </w:p>
    <w:p w14:paraId="51C7F278" w14:textId="174CD060" w:rsidR="003E22BB" w:rsidRDefault="003E22BB" w:rsidP="003A0BAA">
      <w:pPr>
        <w:spacing w:after="0" w:line="240" w:lineRule="auto"/>
        <w:rPr>
          <w:rFonts w:cstheme="minorHAnsi"/>
          <w:b/>
          <w:color w:val="000000" w:themeColor="text1"/>
        </w:rPr>
      </w:pPr>
      <w:r w:rsidRPr="003E22BB">
        <w:rPr>
          <w:rFonts w:cstheme="minorHAnsi"/>
          <w:b/>
          <w:color w:val="000000" w:themeColor="text1"/>
        </w:rPr>
        <w:t>Date:</w:t>
      </w:r>
      <w:r w:rsidRPr="003E22BB">
        <w:rPr>
          <w:rFonts w:cstheme="minorHAnsi"/>
          <w:b/>
          <w:color w:val="000000" w:themeColor="text1"/>
        </w:rPr>
        <w:tab/>
      </w:r>
      <w:r w:rsidR="00C814C8">
        <w:rPr>
          <w:rFonts w:cstheme="minorHAnsi"/>
          <w:b/>
          <w:color w:val="000000" w:themeColor="text1"/>
        </w:rPr>
        <w:t>1</w:t>
      </w:r>
      <w:r w:rsidR="00D43A4F">
        <w:rPr>
          <w:rFonts w:cstheme="minorHAnsi"/>
          <w:b/>
          <w:color w:val="000000" w:themeColor="text1"/>
        </w:rPr>
        <w:t>4</w:t>
      </w:r>
      <w:r w:rsidR="00C814C8" w:rsidRPr="00C814C8">
        <w:rPr>
          <w:rFonts w:cstheme="minorHAnsi"/>
          <w:b/>
          <w:color w:val="000000" w:themeColor="text1"/>
          <w:vertAlign w:val="superscript"/>
        </w:rPr>
        <w:t>th</w:t>
      </w:r>
      <w:r w:rsidR="00C814C8">
        <w:rPr>
          <w:rFonts w:cstheme="minorHAnsi"/>
          <w:b/>
          <w:color w:val="000000" w:themeColor="text1"/>
        </w:rPr>
        <w:t xml:space="preserve"> May</w:t>
      </w:r>
      <w:r w:rsidR="00334AFF">
        <w:rPr>
          <w:rFonts w:cstheme="minorHAnsi"/>
          <w:b/>
          <w:color w:val="000000" w:themeColor="text1"/>
        </w:rPr>
        <w:t xml:space="preserve"> </w:t>
      </w:r>
      <w:r w:rsidR="008D20BE">
        <w:rPr>
          <w:rFonts w:cstheme="minorHAnsi"/>
          <w:b/>
          <w:color w:val="000000" w:themeColor="text1"/>
        </w:rPr>
        <w:t>202</w:t>
      </w:r>
      <w:r w:rsidR="00334AFF">
        <w:rPr>
          <w:rFonts w:cstheme="minorHAnsi"/>
          <w:b/>
          <w:color w:val="000000" w:themeColor="text1"/>
        </w:rPr>
        <w:t>4</w:t>
      </w:r>
    </w:p>
    <w:p w14:paraId="4974125B" w14:textId="77777777" w:rsidR="003A0BAA" w:rsidRPr="003A0BAA" w:rsidRDefault="003A0BAA" w:rsidP="003A0BAA">
      <w:pPr>
        <w:spacing w:after="0" w:line="240" w:lineRule="auto"/>
        <w:rPr>
          <w:rFonts w:cstheme="minorHAnsi"/>
          <w:b/>
          <w:color w:val="000000" w:themeColor="text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469"/>
      </w:tblGrid>
      <w:tr w:rsidR="005D0E4E" w:rsidRPr="005D0E4E" w14:paraId="20BAAF19" w14:textId="77777777" w:rsidTr="001428C1">
        <w:trPr>
          <w:tblHeader/>
        </w:trPr>
        <w:tc>
          <w:tcPr>
            <w:tcW w:w="2694" w:type="dxa"/>
          </w:tcPr>
          <w:p w14:paraId="36567900" w14:textId="4E40470D" w:rsidR="005D0E4E" w:rsidRPr="005D0E4E" w:rsidRDefault="005D0E4E" w:rsidP="001428C1">
            <w:pPr>
              <w:spacing w:after="0" w:line="240" w:lineRule="auto"/>
              <w:rPr>
                <w:szCs w:val="24"/>
              </w:rPr>
            </w:pPr>
            <w:r w:rsidRPr="005D0E4E">
              <w:rPr>
                <w:rStyle w:val="Heading3Char"/>
                <w:rFonts w:ascii="Calibri" w:hAnsi="Calibri" w:cs="Calibri"/>
                <w:b/>
                <w:color w:val="auto"/>
              </w:rPr>
              <w:t>Purpose:</w:t>
            </w:r>
          </w:p>
        </w:tc>
        <w:tc>
          <w:tcPr>
            <w:tcW w:w="6469" w:type="dxa"/>
          </w:tcPr>
          <w:p w14:paraId="2E6CD882" w14:textId="352CF8FF" w:rsidR="005D0E4E" w:rsidRPr="00C04412" w:rsidRDefault="0032429D" w:rsidP="001428C1">
            <w:pPr>
              <w:spacing w:after="0" w:line="240" w:lineRule="auto"/>
              <w:contextualSpacing/>
              <w:rPr>
                <w:rFonts w:ascii="Calibri" w:eastAsia="Arial" w:hAnsi="Calibri" w:cs="Times New Roman"/>
                <w:szCs w:val="24"/>
              </w:rPr>
            </w:pPr>
            <w:r w:rsidRPr="00C04412">
              <w:rPr>
                <w:rFonts w:ascii="Calibri" w:eastAsia="Arial" w:hAnsi="Calibri" w:cs="Times New Roman"/>
                <w:szCs w:val="24"/>
              </w:rPr>
              <w:t>Decision</w:t>
            </w:r>
          </w:p>
        </w:tc>
      </w:tr>
      <w:tr w:rsidR="005D0E4E" w:rsidRPr="005D0E4E" w14:paraId="13CE33D4" w14:textId="77777777" w:rsidTr="001428C1">
        <w:tc>
          <w:tcPr>
            <w:tcW w:w="2694" w:type="dxa"/>
          </w:tcPr>
          <w:p w14:paraId="34DC0A94" w14:textId="1FAE133F" w:rsidR="005D0E4E" w:rsidRPr="005D0E4E" w:rsidRDefault="005D0E4E" w:rsidP="001428C1">
            <w:pPr>
              <w:spacing w:after="0" w:line="240" w:lineRule="auto"/>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142DDD14" w:rsidR="005D0E4E" w:rsidRPr="00C04412" w:rsidRDefault="008D20BE" w:rsidP="001428C1">
            <w:pPr>
              <w:spacing w:after="0" w:line="240" w:lineRule="auto"/>
              <w:contextualSpacing/>
              <w:rPr>
                <w:rFonts w:ascii="Calibri" w:eastAsia="Arial" w:hAnsi="Calibri" w:cs="Times New Roman"/>
                <w:szCs w:val="24"/>
              </w:rPr>
            </w:pPr>
            <w:r>
              <w:rPr>
                <w:rFonts w:ascii="Calibri" w:eastAsia="Arial" w:hAnsi="Calibri" w:cs="Times New Roman"/>
                <w:szCs w:val="24"/>
              </w:rPr>
              <w:t>This paper presents Q</w:t>
            </w:r>
            <w:r w:rsidR="00BF0D15">
              <w:rPr>
                <w:rFonts w:ascii="Calibri" w:eastAsia="Arial" w:hAnsi="Calibri" w:cs="Times New Roman"/>
                <w:szCs w:val="24"/>
              </w:rPr>
              <w:t>4</w:t>
            </w:r>
            <w:r w:rsidRPr="008D20BE">
              <w:rPr>
                <w:rFonts w:ascii="Calibri" w:eastAsia="Arial" w:hAnsi="Calibri" w:cs="Times New Roman"/>
                <w:szCs w:val="24"/>
              </w:rPr>
              <w:t xml:space="preserve"> progress towards delivery of our corporate priorities as laid out in our Business Plan, A Nature-</w:t>
            </w:r>
            <w:r w:rsidR="00297EF0">
              <w:rPr>
                <w:rFonts w:ascii="Calibri" w:eastAsia="Arial" w:hAnsi="Calibri" w:cs="Times New Roman"/>
                <w:szCs w:val="24"/>
              </w:rPr>
              <w:t>R</w:t>
            </w:r>
            <w:r w:rsidR="00297EF0" w:rsidRPr="008D20BE">
              <w:rPr>
                <w:rFonts w:ascii="Calibri" w:eastAsia="Arial" w:hAnsi="Calibri" w:cs="Times New Roman"/>
                <w:szCs w:val="24"/>
              </w:rPr>
              <w:t xml:space="preserve">ich </w:t>
            </w:r>
            <w:r w:rsidR="00297EF0">
              <w:rPr>
                <w:rFonts w:ascii="Calibri" w:eastAsia="Arial" w:hAnsi="Calibri" w:cs="Times New Roman"/>
                <w:szCs w:val="24"/>
              </w:rPr>
              <w:t>F</w:t>
            </w:r>
            <w:r w:rsidR="00297EF0" w:rsidRPr="008D20BE">
              <w:rPr>
                <w:rFonts w:ascii="Calibri" w:eastAsia="Arial" w:hAnsi="Calibri" w:cs="Times New Roman"/>
                <w:szCs w:val="24"/>
              </w:rPr>
              <w:t xml:space="preserve">uture </w:t>
            </w:r>
            <w:r w:rsidRPr="008D20BE">
              <w:rPr>
                <w:rFonts w:ascii="Calibri" w:eastAsia="Arial" w:hAnsi="Calibri" w:cs="Times New Roman"/>
                <w:szCs w:val="24"/>
              </w:rPr>
              <w:t xml:space="preserve">for </w:t>
            </w:r>
            <w:r w:rsidR="00297EF0">
              <w:rPr>
                <w:rFonts w:ascii="Calibri" w:eastAsia="Arial" w:hAnsi="Calibri" w:cs="Times New Roman"/>
                <w:szCs w:val="24"/>
              </w:rPr>
              <w:t>A</w:t>
            </w:r>
            <w:r w:rsidRPr="008D20BE">
              <w:rPr>
                <w:rFonts w:ascii="Calibri" w:eastAsia="Arial" w:hAnsi="Calibri" w:cs="Times New Roman"/>
                <w:szCs w:val="24"/>
              </w:rPr>
              <w:t>ll: Year 2.</w:t>
            </w:r>
          </w:p>
        </w:tc>
      </w:tr>
      <w:tr w:rsidR="005D0E4E" w:rsidRPr="005D0E4E" w14:paraId="5F6879B4" w14:textId="77777777" w:rsidTr="001428C1">
        <w:tc>
          <w:tcPr>
            <w:tcW w:w="2694" w:type="dxa"/>
          </w:tcPr>
          <w:p w14:paraId="278D0DA3" w14:textId="3D465FF9" w:rsidR="005D0E4E" w:rsidRPr="005D0E4E" w:rsidRDefault="005D0E4E" w:rsidP="001428C1">
            <w:pPr>
              <w:spacing w:after="0" w:line="240" w:lineRule="auto"/>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46E4E306" w:rsidR="005D0E4E" w:rsidRPr="004C6304" w:rsidRDefault="008D20BE" w:rsidP="00D533D1">
            <w:r w:rsidRPr="004C6304">
              <w:rPr>
                <w:rFonts w:ascii="Calibri" w:eastAsia="Arial" w:hAnsi="Calibri" w:cs="Times New Roman"/>
                <w:szCs w:val="24"/>
              </w:rPr>
              <w:t>At the end of Q</w:t>
            </w:r>
            <w:r w:rsidR="00BF0D15" w:rsidRPr="004C6304">
              <w:rPr>
                <w:rFonts w:ascii="Calibri" w:eastAsia="Arial" w:hAnsi="Calibri" w:cs="Times New Roman"/>
                <w:szCs w:val="24"/>
              </w:rPr>
              <w:t>4</w:t>
            </w:r>
            <w:r w:rsidRPr="004C6304">
              <w:rPr>
                <w:rFonts w:ascii="Calibri" w:eastAsia="Arial" w:hAnsi="Calibri" w:cs="Times New Roman"/>
                <w:szCs w:val="24"/>
              </w:rPr>
              <w:t xml:space="preserve">, performance for </w:t>
            </w:r>
            <w:r w:rsidR="00D533D1" w:rsidRPr="004C6304">
              <w:rPr>
                <w:rFonts w:ascii="Calibri" w:eastAsia="Arial" w:hAnsi="Calibri" w:cs="Times New Roman"/>
                <w:szCs w:val="24"/>
              </w:rPr>
              <w:t>1</w:t>
            </w:r>
            <w:r w:rsidR="00152549" w:rsidRPr="004C6304">
              <w:rPr>
                <w:rFonts w:ascii="Calibri" w:eastAsia="Arial" w:hAnsi="Calibri" w:cs="Times New Roman"/>
                <w:szCs w:val="24"/>
              </w:rPr>
              <w:t>4</w:t>
            </w:r>
            <w:r w:rsidRPr="004C6304">
              <w:rPr>
                <w:rFonts w:ascii="Calibri" w:eastAsia="Arial" w:hAnsi="Calibri" w:cs="Times New Roman"/>
                <w:szCs w:val="24"/>
              </w:rPr>
              <w:t xml:space="preserve"> of our 15 Corporate plan objectives </w:t>
            </w:r>
            <w:r w:rsidR="00756BCF" w:rsidRPr="004C6304">
              <w:rPr>
                <w:rFonts w:ascii="Calibri" w:eastAsia="Arial" w:hAnsi="Calibri" w:cs="Times New Roman"/>
                <w:szCs w:val="24"/>
              </w:rPr>
              <w:t>is</w:t>
            </w:r>
            <w:r w:rsidRPr="004C6304">
              <w:rPr>
                <w:rFonts w:ascii="Calibri" w:eastAsia="Arial" w:hAnsi="Calibri" w:cs="Times New Roman"/>
                <w:szCs w:val="24"/>
              </w:rPr>
              <w:t xml:space="preserve"> rated as ‘on track’. </w:t>
            </w:r>
            <w:r w:rsidR="00030D53" w:rsidRPr="004C6304">
              <w:rPr>
                <w:rFonts w:ascii="Calibri" w:eastAsia="Arial" w:hAnsi="Calibri" w:cs="Times New Roman"/>
                <w:szCs w:val="24"/>
              </w:rPr>
              <w:t>O</w:t>
            </w:r>
            <w:r w:rsidR="00030D53" w:rsidRPr="004C6304">
              <w:rPr>
                <w:rStyle w:val="ui-provider"/>
              </w:rPr>
              <w:t xml:space="preserve">ur Resource and </w:t>
            </w:r>
            <w:r w:rsidR="00D86C60" w:rsidRPr="004C6304">
              <w:rPr>
                <w:rStyle w:val="ui-provider"/>
              </w:rPr>
              <w:t>Paybill</w:t>
            </w:r>
            <w:r w:rsidR="00030D53" w:rsidRPr="004C6304">
              <w:rPr>
                <w:rStyle w:val="ui-provider"/>
              </w:rPr>
              <w:t xml:space="preserve"> budgets are currently expected to outturn within tolerance</w:t>
            </w:r>
            <w:r w:rsidR="00297EF0" w:rsidRPr="004C6304">
              <w:rPr>
                <w:rStyle w:val="ui-provider"/>
              </w:rPr>
              <w:t xml:space="preserve"> overall</w:t>
            </w:r>
            <w:r w:rsidR="00030D53" w:rsidRPr="004C6304">
              <w:rPr>
                <w:rStyle w:val="ui-provider"/>
              </w:rPr>
              <w:t xml:space="preserve"> at year end</w:t>
            </w:r>
            <w:r w:rsidR="00283F5C" w:rsidRPr="004C6304">
              <w:rPr>
                <w:rStyle w:val="ui-provider"/>
              </w:rPr>
              <w:t xml:space="preserve">.  </w:t>
            </w:r>
            <w:r w:rsidR="00E2430A" w:rsidRPr="004C6304">
              <w:rPr>
                <w:rStyle w:val="ui-provider"/>
              </w:rPr>
              <w:t xml:space="preserve">There is </w:t>
            </w:r>
            <w:r w:rsidR="00B23486">
              <w:rPr>
                <w:rStyle w:val="ui-provider"/>
              </w:rPr>
              <w:t>a forecast underspend</w:t>
            </w:r>
            <w:r w:rsidR="00E2430A" w:rsidRPr="004C6304">
              <w:rPr>
                <w:rStyle w:val="ui-provider"/>
              </w:rPr>
              <w:t xml:space="preserve"> on</w:t>
            </w:r>
            <w:r w:rsidR="00D86C60" w:rsidRPr="004C6304">
              <w:rPr>
                <w:rStyle w:val="ui-provider"/>
              </w:rPr>
              <w:t xml:space="preserve"> both Capital and</w:t>
            </w:r>
            <w:r w:rsidR="004A47F9" w:rsidRPr="004C6304">
              <w:rPr>
                <w:rStyle w:val="ui-provider"/>
              </w:rPr>
              <w:t xml:space="preserve"> </w:t>
            </w:r>
            <w:r w:rsidR="00E2430A" w:rsidRPr="004C6304">
              <w:rPr>
                <w:rStyle w:val="ui-provider"/>
              </w:rPr>
              <w:t xml:space="preserve">Indirect </w:t>
            </w:r>
            <w:r w:rsidR="00336265" w:rsidRPr="004C6304">
              <w:rPr>
                <w:rStyle w:val="ui-provider"/>
              </w:rPr>
              <w:t>Capital,</w:t>
            </w:r>
            <w:r w:rsidR="00E2430A" w:rsidRPr="004C6304">
              <w:rPr>
                <w:rStyle w:val="ui-provider"/>
              </w:rPr>
              <w:t xml:space="preserve"> and we are continuing to manage and monitor the larger programmes to ensure that full budget spend is achieved</w:t>
            </w:r>
            <w:r w:rsidR="00030D53" w:rsidRPr="004C6304">
              <w:rPr>
                <w:rStyle w:val="ui-provider"/>
              </w:rPr>
              <w:t xml:space="preserve">.  </w:t>
            </w:r>
            <w:r w:rsidR="00D533D1" w:rsidRPr="004C6304">
              <w:rPr>
                <w:rFonts w:ascii="Calibri" w:eastAsia="Arial" w:hAnsi="Calibri" w:cs="Times New Roman"/>
                <w:szCs w:val="24"/>
              </w:rPr>
              <w:t xml:space="preserve">There has been </w:t>
            </w:r>
            <w:r w:rsidR="006E319D" w:rsidRPr="004C6304">
              <w:rPr>
                <w:rFonts w:ascii="Calibri" w:eastAsia="Arial" w:hAnsi="Calibri" w:cs="Times New Roman"/>
                <w:szCs w:val="24"/>
              </w:rPr>
              <w:t>no</w:t>
            </w:r>
            <w:r w:rsidR="00D533D1" w:rsidRPr="004C6304">
              <w:rPr>
                <w:rFonts w:ascii="Calibri" w:eastAsia="Arial" w:hAnsi="Calibri" w:cs="Times New Roman"/>
                <w:szCs w:val="24"/>
              </w:rPr>
              <w:t xml:space="preserve"> change to the corporate risk scores this quarter</w:t>
            </w:r>
            <w:r w:rsidR="006E319D" w:rsidRPr="004C6304">
              <w:rPr>
                <w:rFonts w:ascii="Calibri" w:eastAsia="Arial" w:hAnsi="Calibri" w:cs="Times New Roman"/>
                <w:szCs w:val="24"/>
              </w:rPr>
              <w:t xml:space="preserve">, and there is one </w:t>
            </w:r>
            <w:r w:rsidR="006E319D" w:rsidRPr="004C6304">
              <w:t xml:space="preserve">new corporate risk (Risk No. 740 </w:t>
            </w:r>
            <w:r w:rsidR="001743AF" w:rsidRPr="004C6304">
              <w:t>–</w:t>
            </w:r>
            <w:r w:rsidR="006E319D" w:rsidRPr="004C6304">
              <w:t xml:space="preserve"> </w:t>
            </w:r>
            <w:r w:rsidR="001743AF" w:rsidRPr="004C6304">
              <w:t xml:space="preserve">Nature Finance). </w:t>
            </w:r>
            <w:r w:rsidRPr="004C6304">
              <w:rPr>
                <w:rFonts w:ascii="Calibri" w:eastAsia="Arial" w:hAnsi="Calibri" w:cs="Times New Roman"/>
                <w:szCs w:val="24"/>
              </w:rPr>
              <w:t xml:space="preserve">In the People Report, </w:t>
            </w:r>
            <w:r w:rsidR="00A25A27" w:rsidRPr="004C6304">
              <w:rPr>
                <w:rFonts w:ascii="Calibri" w:eastAsia="Arial" w:hAnsi="Calibri" w:cs="Times New Roman"/>
                <w:szCs w:val="24"/>
              </w:rPr>
              <w:t>six</w:t>
            </w:r>
            <w:r w:rsidRPr="004C6304">
              <w:rPr>
                <w:rFonts w:ascii="Calibri" w:eastAsia="Arial" w:hAnsi="Calibri" w:cs="Times New Roman"/>
                <w:szCs w:val="24"/>
              </w:rPr>
              <w:t xml:space="preserve"> of the </w:t>
            </w:r>
            <w:r w:rsidR="00A4300C" w:rsidRPr="004C6304">
              <w:rPr>
                <w:rFonts w:ascii="Calibri" w:eastAsia="Arial" w:hAnsi="Calibri" w:cs="Times New Roman"/>
                <w:szCs w:val="24"/>
              </w:rPr>
              <w:t>seven</w:t>
            </w:r>
            <w:r w:rsidRPr="004C6304">
              <w:rPr>
                <w:rFonts w:ascii="Calibri" w:eastAsia="Arial" w:hAnsi="Calibri" w:cs="Times New Roman"/>
                <w:szCs w:val="24"/>
              </w:rPr>
              <w:t xml:space="preserve"> indicators are green and </w:t>
            </w:r>
            <w:r w:rsidR="00A25A27" w:rsidRPr="004C6304">
              <w:rPr>
                <w:rFonts w:ascii="Calibri" w:eastAsia="Arial" w:hAnsi="Calibri" w:cs="Times New Roman"/>
                <w:szCs w:val="24"/>
              </w:rPr>
              <w:t>one is</w:t>
            </w:r>
            <w:r w:rsidRPr="004C6304">
              <w:rPr>
                <w:rFonts w:ascii="Calibri" w:eastAsia="Arial" w:hAnsi="Calibri" w:cs="Times New Roman"/>
                <w:szCs w:val="24"/>
              </w:rPr>
              <w:t xml:space="preserve"> amber.</w:t>
            </w:r>
          </w:p>
        </w:tc>
      </w:tr>
      <w:tr w:rsidR="005D0E4E" w:rsidRPr="005D0E4E" w14:paraId="54B0CF3D" w14:textId="77777777" w:rsidTr="001428C1">
        <w:tc>
          <w:tcPr>
            <w:tcW w:w="2694" w:type="dxa"/>
          </w:tcPr>
          <w:p w14:paraId="2D2BC4B2" w14:textId="6D6BB7EC" w:rsidR="005D0E4E" w:rsidRPr="005D0E4E" w:rsidRDefault="005D0E4E" w:rsidP="001428C1">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5B44ADB0" w:rsidR="005D0E4E" w:rsidRPr="00C04412"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To agree the recommendations below</w:t>
            </w:r>
          </w:p>
        </w:tc>
      </w:tr>
      <w:tr w:rsidR="005D0E4E" w:rsidRPr="005D0E4E" w14:paraId="187A143B" w14:textId="77777777" w:rsidTr="001428C1">
        <w:tc>
          <w:tcPr>
            <w:tcW w:w="2694" w:type="dxa"/>
          </w:tcPr>
          <w:p w14:paraId="1E0B416A" w14:textId="5808D500" w:rsidR="005D0E4E" w:rsidRPr="005D0E4E" w:rsidRDefault="005D0E4E" w:rsidP="001428C1">
            <w:pPr>
              <w:spacing w:after="0" w:line="240" w:lineRule="auto"/>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587E0EEC" w14:textId="6052987E" w:rsidR="008D20BE" w:rsidRPr="008D20BE" w:rsidRDefault="000C5CB1" w:rsidP="001428C1">
            <w:pPr>
              <w:spacing w:after="0" w:line="240" w:lineRule="auto"/>
              <w:rPr>
                <w:rFonts w:ascii="Calibri" w:eastAsia="Arial" w:hAnsi="Calibri" w:cs="Times New Roman"/>
                <w:i/>
                <w:szCs w:val="24"/>
              </w:rPr>
            </w:pPr>
            <w:r>
              <w:rPr>
                <w:rFonts w:ascii="Calibri" w:eastAsia="Arial" w:hAnsi="Calibri" w:cs="Times New Roman"/>
                <w:szCs w:val="24"/>
              </w:rPr>
              <w:t>The Board is</w:t>
            </w:r>
            <w:r w:rsidR="008D20BE" w:rsidRPr="008D20BE">
              <w:rPr>
                <w:rFonts w:ascii="Calibri" w:eastAsia="Arial" w:hAnsi="Calibri" w:cs="Times New Roman"/>
                <w:szCs w:val="24"/>
              </w:rPr>
              <w:t xml:space="preserve"> asked to</w:t>
            </w:r>
            <w:r w:rsidR="00C814C8">
              <w:rPr>
                <w:rFonts w:ascii="Calibri" w:eastAsia="Arial" w:hAnsi="Calibri" w:cs="Times New Roman"/>
                <w:szCs w:val="24"/>
              </w:rPr>
              <w:t xml:space="preserve"> approve</w:t>
            </w:r>
            <w:r w:rsidR="008D20BE" w:rsidRPr="008D20BE">
              <w:rPr>
                <w:rFonts w:ascii="Calibri" w:eastAsia="Arial" w:hAnsi="Calibri" w:cs="Times New Roman"/>
                <w:szCs w:val="24"/>
              </w:rPr>
              <w:t>:</w:t>
            </w:r>
          </w:p>
          <w:p w14:paraId="770F6BC4" w14:textId="02F3F161" w:rsidR="008D20BE" w:rsidRPr="008D20BE" w:rsidRDefault="00C814C8"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he overall performance of the Corporate Plan objectives (Performance Report)</w:t>
            </w:r>
          </w:p>
          <w:p w14:paraId="25A63DF5" w14:textId="4591DD79" w:rsidR="008D20BE" w:rsidRPr="008D20BE" w:rsidRDefault="00C814C8"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 xml:space="preserve">he position of the </w:t>
            </w:r>
            <w:r w:rsidR="00EB7DD9">
              <w:rPr>
                <w:rFonts w:ascii="Calibri" w:eastAsia="Arial" w:hAnsi="Calibri" w:cs="Times New Roman"/>
                <w:szCs w:val="24"/>
              </w:rPr>
              <w:t>resource</w:t>
            </w:r>
            <w:r w:rsidR="008D20BE" w:rsidRPr="008D20BE">
              <w:rPr>
                <w:rFonts w:ascii="Calibri" w:eastAsia="Arial" w:hAnsi="Calibri" w:cs="Times New Roman"/>
                <w:szCs w:val="24"/>
              </w:rPr>
              <w:t xml:space="preserve"> and capital budgets (Finance Report)</w:t>
            </w:r>
          </w:p>
          <w:p w14:paraId="75A3AE4D" w14:textId="030C60AA" w:rsidR="008D20BE" w:rsidRDefault="00C814C8"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he performance of the corporate risks (Risk Report)</w:t>
            </w:r>
          </w:p>
          <w:p w14:paraId="30D9395B" w14:textId="53F41841" w:rsidR="005D0E4E" w:rsidRPr="008D20BE" w:rsidRDefault="00C814C8" w:rsidP="00025C49">
            <w:pPr>
              <w:numPr>
                <w:ilvl w:val="1"/>
                <w:numId w:val="2"/>
              </w:numPr>
              <w:spacing w:after="0" w:line="240" w:lineRule="auto"/>
              <w:rPr>
                <w:rFonts w:ascii="Calibri" w:eastAsia="Arial" w:hAnsi="Calibri" w:cs="Times New Roman"/>
                <w:szCs w:val="24"/>
              </w:rPr>
            </w:pPr>
            <w:r>
              <w:rPr>
                <w:rFonts w:ascii="Calibri" w:eastAsia="Arial" w:hAnsi="Calibri" w:cs="Times New Roman"/>
                <w:szCs w:val="24"/>
              </w:rPr>
              <w:t>T</w:t>
            </w:r>
            <w:r w:rsidR="008D20BE" w:rsidRPr="008D20BE">
              <w:rPr>
                <w:rFonts w:ascii="Calibri" w:eastAsia="Arial" w:hAnsi="Calibri" w:cs="Times New Roman"/>
                <w:szCs w:val="24"/>
              </w:rPr>
              <w:t>he overall performance of the People Measures (People Report)</w:t>
            </w:r>
          </w:p>
        </w:tc>
      </w:tr>
      <w:tr w:rsidR="005D0E4E" w:rsidRPr="005D0E4E" w14:paraId="1611D4CD" w14:textId="77777777" w:rsidTr="001428C1">
        <w:tc>
          <w:tcPr>
            <w:tcW w:w="2694" w:type="dxa"/>
          </w:tcPr>
          <w:p w14:paraId="1E66C971" w14:textId="77777777" w:rsidR="005D0E4E" w:rsidRPr="005D0E4E" w:rsidRDefault="005D0E4E" w:rsidP="001428C1">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0D946197" w:rsidR="005D0E4E" w:rsidRPr="005D0E4E"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 xml:space="preserve">Authors – Directors, Deputy Directors, Outcomes Managers, Finance, Planning </w:t>
            </w:r>
            <w:r w:rsidR="00336265">
              <w:rPr>
                <w:rFonts w:ascii="Calibri" w:eastAsia="Arial" w:hAnsi="Calibri" w:cs="Times New Roman"/>
                <w:szCs w:val="24"/>
              </w:rPr>
              <w:t xml:space="preserve">and </w:t>
            </w:r>
            <w:r w:rsidR="00336265" w:rsidRPr="008D20BE">
              <w:rPr>
                <w:rFonts w:ascii="Calibri" w:eastAsia="Arial" w:hAnsi="Calibri" w:cs="Times New Roman"/>
                <w:szCs w:val="24"/>
              </w:rPr>
              <w:t>Performance</w:t>
            </w:r>
            <w:r w:rsidRPr="008D20BE">
              <w:rPr>
                <w:rFonts w:ascii="Calibri" w:eastAsia="Arial" w:hAnsi="Calibri" w:cs="Times New Roman"/>
                <w:szCs w:val="24"/>
              </w:rPr>
              <w:t xml:space="preserve"> Team, People </w:t>
            </w:r>
            <w:r w:rsidR="00336265">
              <w:rPr>
                <w:rFonts w:ascii="Calibri" w:eastAsia="Arial" w:hAnsi="Calibri" w:cs="Times New Roman"/>
                <w:szCs w:val="24"/>
              </w:rPr>
              <w:t xml:space="preserve">and </w:t>
            </w:r>
            <w:r w:rsidR="00336265" w:rsidRPr="008D20BE">
              <w:rPr>
                <w:rFonts w:ascii="Calibri" w:eastAsia="Arial" w:hAnsi="Calibri" w:cs="Times New Roman"/>
                <w:szCs w:val="24"/>
              </w:rPr>
              <w:t>OD</w:t>
            </w:r>
            <w:r w:rsidRPr="008D20BE">
              <w:rPr>
                <w:rFonts w:ascii="Calibri" w:eastAsia="Arial" w:hAnsi="Calibri" w:cs="Times New Roman"/>
                <w:szCs w:val="24"/>
              </w:rPr>
              <w:t xml:space="preserve"> Team</w:t>
            </w:r>
          </w:p>
        </w:tc>
      </w:tr>
      <w:tr w:rsidR="005D0E4E" w:rsidRPr="005D0E4E" w14:paraId="28B18A8B" w14:textId="77777777" w:rsidTr="001428C1">
        <w:tc>
          <w:tcPr>
            <w:tcW w:w="2694" w:type="dxa"/>
          </w:tcPr>
          <w:p w14:paraId="451D6F59" w14:textId="77777777" w:rsidR="005D0E4E" w:rsidRPr="005D0E4E" w:rsidRDefault="005D0E4E" w:rsidP="001428C1">
            <w:pPr>
              <w:spacing w:after="0" w:line="240" w:lineRule="auto"/>
              <w:contextualSpacing/>
              <w:rPr>
                <w:rFonts w:ascii="Calibri" w:eastAsia="Arial" w:hAnsi="Calibri" w:cs="Times New Roman"/>
                <w:b/>
                <w:szCs w:val="24"/>
              </w:rPr>
            </w:pPr>
            <w:r w:rsidRPr="005D0E4E">
              <w:rPr>
                <w:rFonts w:ascii="Calibri" w:eastAsia="Arial" w:hAnsi="Calibri" w:cs="Times New Roman"/>
                <w:b/>
                <w:szCs w:val="24"/>
              </w:rPr>
              <w:t>Sponsor:</w:t>
            </w:r>
            <w:r w:rsidRPr="005D0E4E">
              <w:rPr>
                <w:rFonts w:ascii="Calibri" w:eastAsia="Arial" w:hAnsi="Calibri" w:cs="Times New Roman"/>
                <w:b/>
                <w:szCs w:val="24"/>
              </w:rPr>
              <w:tab/>
            </w:r>
          </w:p>
        </w:tc>
        <w:tc>
          <w:tcPr>
            <w:tcW w:w="6469" w:type="dxa"/>
          </w:tcPr>
          <w:p w14:paraId="15458FFD" w14:textId="2704D64A" w:rsidR="005D0E4E" w:rsidRPr="005D0E4E" w:rsidRDefault="008D20BE" w:rsidP="001428C1">
            <w:pPr>
              <w:spacing w:after="0" w:line="240" w:lineRule="auto"/>
              <w:rPr>
                <w:rFonts w:ascii="Calibri" w:eastAsia="Arial" w:hAnsi="Calibri" w:cs="Times New Roman"/>
                <w:szCs w:val="24"/>
              </w:rPr>
            </w:pPr>
            <w:r w:rsidRPr="008D20BE">
              <w:rPr>
                <w:rFonts w:ascii="Calibri" w:eastAsia="Arial" w:hAnsi="Calibri" w:cs="Times New Roman"/>
                <w:szCs w:val="24"/>
              </w:rPr>
              <w:t>Stuart MacQuarrie, Jane Macdonald</w:t>
            </w:r>
          </w:p>
        </w:tc>
      </w:tr>
      <w:tr w:rsidR="00A4300C" w:rsidRPr="00A4300C" w14:paraId="7ECAF5B7" w14:textId="77777777" w:rsidTr="001428C1">
        <w:tc>
          <w:tcPr>
            <w:tcW w:w="2694" w:type="dxa"/>
          </w:tcPr>
          <w:p w14:paraId="3E1CC1B9" w14:textId="66C78079" w:rsidR="005D0E4E" w:rsidRPr="00A4300C" w:rsidRDefault="005D0E4E" w:rsidP="001428C1">
            <w:pPr>
              <w:spacing w:after="0" w:line="240" w:lineRule="auto"/>
              <w:contextualSpacing/>
              <w:rPr>
                <w:rFonts w:ascii="Calibri" w:eastAsia="Arial" w:hAnsi="Calibri" w:cs="Times New Roman"/>
                <w:szCs w:val="24"/>
              </w:rPr>
            </w:pPr>
            <w:r w:rsidRPr="00A4300C">
              <w:rPr>
                <w:rFonts w:ascii="Calibri" w:eastAsia="Arial" w:hAnsi="Calibri" w:cs="Times New Roman"/>
                <w:b/>
                <w:szCs w:val="24"/>
              </w:rPr>
              <w:t>Appendices</w:t>
            </w:r>
            <w:r w:rsidRPr="00A4300C">
              <w:rPr>
                <w:rFonts w:ascii="Calibri" w:eastAsia="Arial" w:hAnsi="Calibri" w:cs="Times New Roman"/>
                <w:szCs w:val="24"/>
              </w:rPr>
              <w:t>: Please note all appendices.</w:t>
            </w:r>
          </w:p>
        </w:tc>
        <w:tc>
          <w:tcPr>
            <w:tcW w:w="6469" w:type="dxa"/>
          </w:tcPr>
          <w:p w14:paraId="7040BE21" w14:textId="4819F5CE" w:rsidR="005D0E4E" w:rsidRPr="00A4300C" w:rsidRDefault="00C814C8" w:rsidP="00C814C8">
            <w:pPr>
              <w:spacing w:after="0" w:line="240" w:lineRule="auto"/>
              <w:contextualSpacing/>
              <w:rPr>
                <w:rFonts w:ascii="Calibri" w:eastAsia="Arial" w:hAnsi="Calibri" w:cs="Times New Roman"/>
                <w:szCs w:val="24"/>
              </w:rPr>
            </w:pPr>
            <w:r>
              <w:rPr>
                <w:rFonts w:ascii="Calibri" w:eastAsia="Arial" w:hAnsi="Calibri" w:cs="Times New Roman"/>
                <w:szCs w:val="24"/>
              </w:rPr>
              <w:t>Annex A – Corporate Risk Register (High Risks)</w:t>
            </w:r>
          </w:p>
        </w:tc>
      </w:tr>
    </w:tbl>
    <w:p w14:paraId="7C66D4DB" w14:textId="1120E314" w:rsidR="003B170D" w:rsidRDefault="003B170D" w:rsidP="003B170D"/>
    <w:p w14:paraId="57D5C4E4" w14:textId="77777777" w:rsidR="00DA6B4D" w:rsidRPr="00530421" w:rsidRDefault="00DA6B4D" w:rsidP="00361A92">
      <w:pPr>
        <w:spacing w:after="0" w:line="240" w:lineRule="auto"/>
        <w:rPr>
          <w:rFonts w:cstheme="minorHAnsi"/>
          <w:b/>
          <w:szCs w:val="24"/>
        </w:rPr>
      </w:pPr>
    </w:p>
    <w:p w14:paraId="0382B476" w14:textId="77777777" w:rsidR="008D20BE" w:rsidRPr="00B6615A" w:rsidRDefault="008D20BE" w:rsidP="008D20BE">
      <w:pPr>
        <w:pStyle w:val="Heading2"/>
        <w:rPr>
          <w:rFonts w:ascii="Calibri" w:eastAsia="Times New Roman" w:hAnsi="Calibri" w:cs="Calibri"/>
          <w:szCs w:val="24"/>
        </w:rPr>
      </w:pPr>
      <w:r w:rsidRPr="00B6615A">
        <w:rPr>
          <w:rFonts w:ascii="Calibri" w:eastAsia="Times New Roman" w:hAnsi="Calibri" w:cs="Calibri"/>
          <w:szCs w:val="24"/>
        </w:rPr>
        <w:lastRenderedPageBreak/>
        <w:t xml:space="preserve">Purpose </w:t>
      </w:r>
    </w:p>
    <w:p w14:paraId="4851BC74" w14:textId="02A669D3" w:rsidR="008D20BE" w:rsidRPr="00CD5336" w:rsidRDefault="008D20BE" w:rsidP="00025C49">
      <w:pPr>
        <w:pStyle w:val="ListParagraph"/>
        <w:numPr>
          <w:ilvl w:val="0"/>
          <w:numId w:val="1"/>
        </w:numPr>
        <w:ind w:left="357" w:hanging="357"/>
        <w:rPr>
          <w:rFonts w:ascii="Calibri" w:eastAsia="Calibri" w:hAnsi="Calibri" w:cs="Calibri"/>
          <w:color w:val="000000" w:themeColor="text1"/>
          <w:szCs w:val="24"/>
        </w:rPr>
      </w:pPr>
      <w:r w:rsidRPr="00B6615A">
        <w:rPr>
          <w:rFonts w:ascii="Calibri" w:eastAsia="Calibri" w:hAnsi="Calibri" w:cs="Calibri"/>
          <w:szCs w:val="24"/>
        </w:rPr>
        <w:t>This paper presents NatureScot’s performance for</w:t>
      </w:r>
      <w:r w:rsidR="0083328C">
        <w:rPr>
          <w:rFonts w:ascii="Calibri" w:eastAsia="Calibri" w:hAnsi="Calibri" w:cs="Calibri"/>
          <w:szCs w:val="24"/>
        </w:rPr>
        <w:t xml:space="preserve"> the</w:t>
      </w:r>
      <w:r w:rsidRPr="00B6615A">
        <w:rPr>
          <w:rFonts w:ascii="Calibri" w:eastAsia="Calibri" w:hAnsi="Calibri" w:cs="Calibri"/>
          <w:szCs w:val="24"/>
        </w:rPr>
        <w:t xml:space="preserve"> </w:t>
      </w:r>
      <w:r w:rsidR="00582D93">
        <w:rPr>
          <w:rFonts w:ascii="Calibri" w:eastAsia="Calibri" w:hAnsi="Calibri" w:cs="Calibri"/>
          <w:szCs w:val="24"/>
        </w:rPr>
        <w:t>fourth</w:t>
      </w:r>
      <w:r w:rsidRPr="00B6615A">
        <w:rPr>
          <w:rFonts w:ascii="Calibri" w:eastAsia="Calibri" w:hAnsi="Calibri" w:cs="Calibri"/>
          <w:szCs w:val="24"/>
        </w:rPr>
        <w:t xml:space="preserve"> quarter of 20</w:t>
      </w:r>
      <w:r>
        <w:rPr>
          <w:rFonts w:ascii="Calibri" w:eastAsia="Calibri" w:hAnsi="Calibri" w:cs="Calibri"/>
          <w:szCs w:val="24"/>
        </w:rPr>
        <w:t xml:space="preserve">23/24. </w:t>
      </w:r>
      <w:r w:rsidRPr="00B6615A">
        <w:rPr>
          <w:rFonts w:ascii="Calibri" w:eastAsia="Calibri" w:hAnsi="Calibri" w:cs="Calibri"/>
          <w:szCs w:val="24"/>
        </w:rPr>
        <w:t>It addresses delivery of our corporate priorities by reviewing</w:t>
      </w:r>
      <w:r w:rsidR="007646BB">
        <w:rPr>
          <w:rFonts w:ascii="Calibri" w:eastAsia="Calibri" w:hAnsi="Calibri" w:cs="Calibri"/>
          <w:szCs w:val="24"/>
        </w:rPr>
        <w:t>:</w:t>
      </w:r>
      <w:r w:rsidRPr="00B6615A">
        <w:rPr>
          <w:rFonts w:ascii="Calibri" w:eastAsia="Calibri" w:hAnsi="Calibri" w:cs="Calibri"/>
          <w:szCs w:val="24"/>
        </w:rPr>
        <w:t xml:space="preserve"> the alignment of performance against our Business Plan, </w:t>
      </w:r>
      <w:r w:rsidR="00297EF0">
        <w:rPr>
          <w:rFonts w:ascii="Calibri" w:eastAsia="Calibri" w:hAnsi="Calibri" w:cs="Calibri"/>
          <w:szCs w:val="24"/>
        </w:rPr>
        <w:t xml:space="preserve">A </w:t>
      </w:r>
      <w:r>
        <w:rPr>
          <w:rFonts w:ascii="Calibri" w:eastAsia="Calibri" w:hAnsi="Calibri" w:cs="Calibri"/>
          <w:szCs w:val="24"/>
        </w:rPr>
        <w:t xml:space="preserve">Nature-rich </w:t>
      </w:r>
      <w:r w:rsidR="00297EF0">
        <w:rPr>
          <w:rFonts w:ascii="Calibri" w:eastAsia="Calibri" w:hAnsi="Calibri" w:cs="Calibri"/>
          <w:szCs w:val="24"/>
        </w:rPr>
        <w:t xml:space="preserve">Future </w:t>
      </w:r>
      <w:r>
        <w:rPr>
          <w:rFonts w:ascii="Calibri" w:eastAsia="Calibri" w:hAnsi="Calibri" w:cs="Calibri"/>
          <w:szCs w:val="24"/>
        </w:rPr>
        <w:t xml:space="preserve">for </w:t>
      </w:r>
      <w:r w:rsidR="00297EF0">
        <w:rPr>
          <w:rFonts w:ascii="Calibri" w:eastAsia="Calibri" w:hAnsi="Calibri" w:cs="Calibri"/>
          <w:szCs w:val="24"/>
        </w:rPr>
        <w:t>All</w:t>
      </w:r>
      <w:r>
        <w:rPr>
          <w:rFonts w:ascii="Calibri" w:eastAsia="Calibri" w:hAnsi="Calibri" w:cs="Calibri"/>
          <w:szCs w:val="24"/>
        </w:rPr>
        <w:t>: Year 2;</w:t>
      </w:r>
      <w:r w:rsidRPr="00B6615A">
        <w:rPr>
          <w:rFonts w:ascii="Calibri" w:eastAsia="Calibri" w:hAnsi="Calibri" w:cs="Calibri"/>
          <w:szCs w:val="24"/>
        </w:rPr>
        <w:t xml:space="preserve"> progress towards </w:t>
      </w:r>
      <w:r>
        <w:rPr>
          <w:rFonts w:ascii="Calibri" w:eastAsia="Calibri" w:hAnsi="Calibri" w:cs="Calibri"/>
          <w:szCs w:val="24"/>
        </w:rPr>
        <w:t>maximising our available budget;</w:t>
      </w:r>
      <w:r w:rsidRPr="00B6615A">
        <w:rPr>
          <w:rFonts w:ascii="Calibri" w:eastAsia="Calibri" w:hAnsi="Calibri" w:cs="Calibri"/>
          <w:szCs w:val="24"/>
        </w:rPr>
        <w:t xml:space="preserve"> assessing risks for delivery</w:t>
      </w:r>
      <w:r>
        <w:rPr>
          <w:rFonts w:ascii="Calibri" w:eastAsia="Calibri" w:hAnsi="Calibri" w:cs="Calibri"/>
          <w:szCs w:val="24"/>
        </w:rPr>
        <w:t>;</w:t>
      </w:r>
      <w:r w:rsidRPr="00B6615A">
        <w:rPr>
          <w:rFonts w:ascii="Calibri" w:eastAsia="Calibri" w:hAnsi="Calibri" w:cs="Calibri"/>
          <w:szCs w:val="24"/>
        </w:rPr>
        <w:t xml:space="preserve"> and</w:t>
      </w:r>
      <w:r w:rsidR="007646BB">
        <w:rPr>
          <w:rFonts w:ascii="Calibri" w:eastAsia="Calibri" w:hAnsi="Calibri" w:cs="Calibri"/>
          <w:szCs w:val="24"/>
        </w:rPr>
        <w:t>,</w:t>
      </w:r>
      <w:r w:rsidRPr="00B6615A">
        <w:rPr>
          <w:rFonts w:ascii="Calibri" w:eastAsia="Calibri" w:hAnsi="Calibri" w:cs="Calibri"/>
          <w:szCs w:val="24"/>
        </w:rPr>
        <w:t xml:space="preserve"> people information </w:t>
      </w:r>
      <w:r w:rsidRPr="00CD5336">
        <w:rPr>
          <w:rFonts w:ascii="Calibri" w:eastAsia="Calibri" w:hAnsi="Calibri" w:cs="Calibri"/>
          <w:color w:val="000000" w:themeColor="text1"/>
          <w:szCs w:val="24"/>
        </w:rPr>
        <w:t>supporting the resourcing of our work.  These</w:t>
      </w:r>
      <w:r w:rsidR="009644AB">
        <w:rPr>
          <w:rFonts w:ascii="Calibri" w:eastAsia="Calibri" w:hAnsi="Calibri" w:cs="Calibri"/>
          <w:color w:val="000000" w:themeColor="text1"/>
          <w:szCs w:val="24"/>
        </w:rPr>
        <w:t xml:space="preserve"> all</w:t>
      </w:r>
      <w:r w:rsidRPr="00CD5336">
        <w:rPr>
          <w:rFonts w:ascii="Calibri" w:eastAsia="Calibri" w:hAnsi="Calibri" w:cs="Calibri"/>
          <w:color w:val="000000" w:themeColor="text1"/>
          <w:szCs w:val="24"/>
        </w:rPr>
        <w:t xml:space="preserve"> support delive</w:t>
      </w:r>
      <w:r>
        <w:rPr>
          <w:rFonts w:ascii="Calibri" w:eastAsia="Calibri" w:hAnsi="Calibri" w:cs="Calibri"/>
          <w:color w:val="000000" w:themeColor="text1"/>
          <w:szCs w:val="24"/>
        </w:rPr>
        <w:t>ry of our Corporate Plan 2022-26</w:t>
      </w:r>
      <w:r w:rsidRPr="00CD5336">
        <w:rPr>
          <w:rFonts w:ascii="Calibri" w:eastAsia="Calibri" w:hAnsi="Calibri" w:cs="Calibri"/>
          <w:color w:val="000000" w:themeColor="text1"/>
          <w:szCs w:val="24"/>
        </w:rPr>
        <w:t xml:space="preserve">, A Nature-rich </w:t>
      </w:r>
      <w:r w:rsidR="00297EF0">
        <w:rPr>
          <w:rFonts w:ascii="Calibri" w:eastAsia="Calibri" w:hAnsi="Calibri" w:cs="Calibri"/>
          <w:color w:val="000000" w:themeColor="text1"/>
          <w:szCs w:val="24"/>
        </w:rPr>
        <w:t>F</w:t>
      </w:r>
      <w:r w:rsidR="00297EF0" w:rsidRPr="00CD5336">
        <w:rPr>
          <w:rFonts w:ascii="Calibri" w:eastAsia="Calibri" w:hAnsi="Calibri" w:cs="Calibri"/>
          <w:color w:val="000000" w:themeColor="text1"/>
          <w:szCs w:val="24"/>
        </w:rPr>
        <w:t xml:space="preserve">uture </w:t>
      </w:r>
      <w:r w:rsidRPr="00CD5336">
        <w:rPr>
          <w:rFonts w:ascii="Calibri" w:eastAsia="Calibri" w:hAnsi="Calibri" w:cs="Calibri"/>
          <w:color w:val="000000" w:themeColor="text1"/>
          <w:szCs w:val="24"/>
        </w:rPr>
        <w:t xml:space="preserve">for </w:t>
      </w:r>
      <w:r w:rsidR="00297EF0">
        <w:rPr>
          <w:rFonts w:ascii="Calibri" w:eastAsia="Calibri" w:hAnsi="Calibri" w:cs="Calibri"/>
          <w:color w:val="000000" w:themeColor="text1"/>
          <w:szCs w:val="24"/>
        </w:rPr>
        <w:t>A</w:t>
      </w:r>
      <w:r w:rsidR="00297EF0" w:rsidRPr="00CD5336">
        <w:rPr>
          <w:rFonts w:ascii="Calibri" w:eastAsia="Calibri" w:hAnsi="Calibri" w:cs="Calibri"/>
          <w:color w:val="000000" w:themeColor="text1"/>
          <w:szCs w:val="24"/>
        </w:rPr>
        <w:t>ll</w:t>
      </w:r>
      <w:r w:rsidRPr="00CD5336">
        <w:rPr>
          <w:rFonts w:ascii="Calibri" w:eastAsia="Calibri" w:hAnsi="Calibri" w:cs="Calibri"/>
          <w:color w:val="000000" w:themeColor="text1"/>
          <w:szCs w:val="24"/>
        </w:rPr>
        <w:t>.</w:t>
      </w:r>
    </w:p>
    <w:p w14:paraId="206CCEE3" w14:textId="0D133CF6" w:rsidR="008D20BE" w:rsidRDefault="008D20BE" w:rsidP="00A4300C">
      <w:pPr>
        <w:pStyle w:val="Heading2"/>
        <w:spacing w:line="276" w:lineRule="auto"/>
        <w:rPr>
          <w:rFonts w:ascii="Calibri" w:eastAsia="Times New Roman" w:hAnsi="Calibri" w:cs="Calibri"/>
          <w:color w:val="000000" w:themeColor="text1"/>
          <w:szCs w:val="24"/>
        </w:rPr>
      </w:pPr>
      <w:r w:rsidRPr="00CD5336">
        <w:rPr>
          <w:rFonts w:ascii="Calibri" w:eastAsia="Times New Roman" w:hAnsi="Calibri" w:cs="Calibri"/>
          <w:color w:val="000000" w:themeColor="text1"/>
          <w:szCs w:val="24"/>
        </w:rPr>
        <w:t>Summary</w:t>
      </w:r>
      <w:r>
        <w:rPr>
          <w:rFonts w:ascii="Calibri" w:eastAsia="Times New Roman" w:hAnsi="Calibri" w:cs="Calibri"/>
          <w:color w:val="000000" w:themeColor="text1"/>
          <w:szCs w:val="24"/>
        </w:rPr>
        <w:t xml:space="preserve"> </w:t>
      </w:r>
    </w:p>
    <w:p w14:paraId="539D59FF" w14:textId="1C459A1A" w:rsidR="0020017B" w:rsidRDefault="0020017B" w:rsidP="00A8260F">
      <w:pPr>
        <w:pStyle w:val="ListParagraph"/>
        <w:numPr>
          <w:ilvl w:val="0"/>
          <w:numId w:val="1"/>
        </w:numPr>
        <w:rPr>
          <w:rFonts w:ascii="Calibri" w:hAnsi="Calibri" w:cs="Calibri"/>
        </w:rPr>
      </w:pPr>
      <w:r>
        <w:rPr>
          <w:rFonts w:ascii="Calibri" w:hAnsi="Calibri" w:cs="Calibri"/>
        </w:rPr>
        <w:t>Fourteen of the fifteen objectives are rated as green which demonstrates another quarter of strong performance. The ratings indicate that those activities planned to either complete in the quarter or to continue in line with planned progress have been achieved. These strong results are being achieved against a backdrop of a challenging operating environment regarding planning for funding pressures, ever increasing expectations on NatureScot and pressure on our staff through workload and resourcing constraints.</w:t>
      </w:r>
    </w:p>
    <w:p w14:paraId="5DE6D912" w14:textId="77777777" w:rsidR="0020017B" w:rsidRDefault="0020017B" w:rsidP="0020017B">
      <w:pPr>
        <w:pStyle w:val="ListParagraph"/>
        <w:ind w:left="360"/>
        <w:rPr>
          <w:rFonts w:ascii="Calibri" w:hAnsi="Calibri" w:cs="Calibri"/>
        </w:rPr>
      </w:pPr>
    </w:p>
    <w:p w14:paraId="4B8AB695" w14:textId="3535877A" w:rsidR="00920D08" w:rsidRDefault="0020017B" w:rsidP="00A8260F">
      <w:pPr>
        <w:pStyle w:val="ListParagraph"/>
        <w:numPr>
          <w:ilvl w:val="0"/>
          <w:numId w:val="1"/>
        </w:numPr>
        <w:rPr>
          <w:rFonts w:ascii="Calibri" w:hAnsi="Calibri" w:cs="Calibri"/>
        </w:rPr>
      </w:pPr>
      <w:r>
        <w:rPr>
          <w:rFonts w:ascii="Calibri" w:hAnsi="Calibri" w:cs="Calibri"/>
        </w:rPr>
        <w:t>The highlights from Quarter are that we have:</w:t>
      </w:r>
    </w:p>
    <w:p w14:paraId="2D8EE8E2" w14:textId="77777777" w:rsidR="0020017B" w:rsidRPr="0020017B" w:rsidRDefault="0020017B" w:rsidP="0020017B">
      <w:pPr>
        <w:pStyle w:val="ListParagraph"/>
        <w:rPr>
          <w:rFonts w:ascii="Calibri" w:hAnsi="Calibri" w:cs="Calibri"/>
        </w:rPr>
      </w:pPr>
    </w:p>
    <w:p w14:paraId="41C8D493" w14:textId="67D0EF5C" w:rsidR="00920D08" w:rsidRDefault="00920D08" w:rsidP="00A51117">
      <w:pPr>
        <w:pStyle w:val="ListParagraph"/>
        <w:numPr>
          <w:ilvl w:val="0"/>
          <w:numId w:val="37"/>
        </w:numPr>
        <w:rPr>
          <w:rFonts w:ascii="Calibri" w:hAnsi="Calibri" w:cs="Calibri"/>
        </w:rPr>
      </w:pPr>
      <w:r>
        <w:rPr>
          <w:rFonts w:ascii="Calibri" w:hAnsi="Calibri" w:cs="Calibri"/>
        </w:rPr>
        <w:t>Submitted the final Structural Funds claim concluding £37.5m of investment over 6 years</w:t>
      </w:r>
      <w:r w:rsidR="00C854DD">
        <w:rPr>
          <w:rFonts w:ascii="Calibri" w:hAnsi="Calibri" w:cs="Calibri"/>
        </w:rPr>
        <w:t>;</w:t>
      </w:r>
    </w:p>
    <w:p w14:paraId="41EB7878" w14:textId="4EE048C2" w:rsidR="00920D08" w:rsidRDefault="00920D08" w:rsidP="00A51117">
      <w:pPr>
        <w:pStyle w:val="ListParagraph"/>
        <w:numPr>
          <w:ilvl w:val="0"/>
          <w:numId w:val="37"/>
        </w:numPr>
        <w:rPr>
          <w:rFonts w:ascii="Calibri" w:hAnsi="Calibri" w:cs="Calibri"/>
        </w:rPr>
      </w:pPr>
      <w:r>
        <w:rPr>
          <w:rFonts w:ascii="Calibri" w:hAnsi="Calibri" w:cs="Calibri"/>
        </w:rPr>
        <w:t>Completed 28 Nature Recovery Fund projects resulting in transformation benefits on land and at sea</w:t>
      </w:r>
      <w:r w:rsidR="00C854DD">
        <w:rPr>
          <w:rFonts w:ascii="Calibri" w:hAnsi="Calibri" w:cs="Calibri"/>
        </w:rPr>
        <w:t>;</w:t>
      </w:r>
    </w:p>
    <w:p w14:paraId="3862A029" w14:textId="4251C384" w:rsidR="00920D08" w:rsidRDefault="00920D08" w:rsidP="00A51117">
      <w:pPr>
        <w:pStyle w:val="ListParagraph"/>
        <w:numPr>
          <w:ilvl w:val="0"/>
          <w:numId w:val="37"/>
        </w:numPr>
        <w:rPr>
          <w:rFonts w:ascii="Calibri" w:hAnsi="Calibri" w:cs="Calibri"/>
        </w:rPr>
      </w:pPr>
      <w:r>
        <w:rPr>
          <w:rFonts w:ascii="Calibri" w:hAnsi="Calibri" w:cs="Calibri"/>
        </w:rPr>
        <w:t>Advised on three major offshore wind developments, shaped legislative proposals for marine nature enhancement and published Conservation and Management Advice documents for eight Marine Protected Areas</w:t>
      </w:r>
      <w:r w:rsidR="00C854DD">
        <w:rPr>
          <w:rFonts w:ascii="Calibri" w:hAnsi="Calibri" w:cs="Calibri"/>
        </w:rPr>
        <w:t>;</w:t>
      </w:r>
    </w:p>
    <w:p w14:paraId="1B4BD293" w14:textId="7C051FE2" w:rsidR="00920D08" w:rsidRDefault="00920D08" w:rsidP="00A51117">
      <w:pPr>
        <w:pStyle w:val="ListParagraph"/>
        <w:numPr>
          <w:ilvl w:val="0"/>
          <w:numId w:val="37"/>
        </w:numPr>
        <w:rPr>
          <w:rFonts w:ascii="Calibri" w:hAnsi="Calibri" w:cs="Calibri"/>
        </w:rPr>
      </w:pPr>
      <w:r>
        <w:rPr>
          <w:rFonts w:ascii="Calibri" w:hAnsi="Calibri" w:cs="Calibri"/>
        </w:rPr>
        <w:t xml:space="preserve">Launched a new online deer management authorisation tool and </w:t>
      </w:r>
      <w:r w:rsidR="00C854DD">
        <w:rPr>
          <w:rFonts w:ascii="Calibri" w:hAnsi="Calibri" w:cs="Calibri"/>
        </w:rPr>
        <w:t xml:space="preserve">received recognition for our AI powered ‘Informed Decision’ planning advice tool through </w:t>
      </w:r>
      <w:r w:rsidR="00C854DD" w:rsidRPr="00C854DD">
        <w:rPr>
          <w:rFonts w:ascii="Calibri" w:hAnsi="Calibri" w:cs="Calibri"/>
        </w:rPr>
        <w:t>Scottish Planning Innovation Awards</w:t>
      </w:r>
      <w:r w:rsidR="00C854DD">
        <w:rPr>
          <w:rFonts w:ascii="Calibri" w:hAnsi="Calibri" w:cs="Calibri"/>
        </w:rPr>
        <w:t>;</w:t>
      </w:r>
    </w:p>
    <w:p w14:paraId="1AC4E7F4" w14:textId="276E6C94" w:rsidR="00920D08" w:rsidRDefault="00C854DD" w:rsidP="00A51117">
      <w:pPr>
        <w:pStyle w:val="ListParagraph"/>
        <w:numPr>
          <w:ilvl w:val="0"/>
          <w:numId w:val="37"/>
        </w:numPr>
        <w:rPr>
          <w:rFonts w:ascii="Calibri" w:hAnsi="Calibri" w:cs="Calibri"/>
        </w:rPr>
      </w:pPr>
      <w:r>
        <w:rPr>
          <w:rFonts w:ascii="Calibri" w:hAnsi="Calibri" w:cs="Calibri"/>
        </w:rPr>
        <w:t xml:space="preserve">Launched a pioneering Scottish seagrass planting programme through a new innovative nature finance initiative between </w:t>
      </w:r>
      <w:r w:rsidRPr="00A25A27">
        <w:rPr>
          <w:rFonts w:ascii="Calibri" w:hAnsi="Calibri" w:cs="Calibri"/>
        </w:rPr>
        <w:t xml:space="preserve">Scottish Marine Environmental Enhancement Fund </w:t>
      </w:r>
      <w:r>
        <w:rPr>
          <w:rFonts w:ascii="Calibri" w:hAnsi="Calibri" w:cs="Calibri"/>
        </w:rPr>
        <w:t xml:space="preserve">(SMEEF) and </w:t>
      </w:r>
      <w:r w:rsidRPr="00A25A27">
        <w:rPr>
          <w:rFonts w:ascii="Calibri" w:hAnsi="Calibri" w:cs="Calibri"/>
        </w:rPr>
        <w:t xml:space="preserve">Scottish and Southern Electricity Networks </w:t>
      </w:r>
      <w:r>
        <w:rPr>
          <w:rFonts w:ascii="Calibri" w:hAnsi="Calibri" w:cs="Calibri"/>
        </w:rPr>
        <w:t>(SSEN); and,</w:t>
      </w:r>
    </w:p>
    <w:p w14:paraId="2CA9007A" w14:textId="6FB4C253" w:rsidR="00C854DD" w:rsidRDefault="00C854DD" w:rsidP="00A51117">
      <w:pPr>
        <w:pStyle w:val="ListParagraph"/>
        <w:numPr>
          <w:ilvl w:val="0"/>
          <w:numId w:val="37"/>
        </w:numPr>
        <w:rPr>
          <w:rFonts w:ascii="Calibri" w:hAnsi="Calibri" w:cs="Calibri"/>
        </w:rPr>
      </w:pPr>
      <w:r>
        <w:rPr>
          <w:rFonts w:ascii="Calibri" w:hAnsi="Calibri" w:cs="Calibri"/>
        </w:rPr>
        <w:t>Remained</w:t>
      </w:r>
      <w:r w:rsidRPr="00C854DD">
        <w:rPr>
          <w:rFonts w:ascii="Calibri" w:hAnsi="Calibri" w:cs="Calibri"/>
        </w:rPr>
        <w:t xml:space="preserve"> on track to meet our target of restoring 6,100 ha of degraded peatland representing an increase of 20% compared to last year’s output</w:t>
      </w:r>
      <w:r>
        <w:rPr>
          <w:rFonts w:ascii="Calibri" w:hAnsi="Calibri" w:cs="Calibri"/>
        </w:rPr>
        <w:t>.</w:t>
      </w:r>
    </w:p>
    <w:p w14:paraId="722DD4D9" w14:textId="1DF5CB74" w:rsidR="00106424" w:rsidRPr="00106424" w:rsidRDefault="00106424" w:rsidP="00A15D6F">
      <w:pPr>
        <w:pStyle w:val="ListParagraph"/>
        <w:spacing w:after="0"/>
        <w:ind w:left="360"/>
        <w:rPr>
          <w:rFonts w:ascii="Calibri" w:eastAsia="Calibri" w:hAnsi="Calibri" w:cs="Calibri"/>
          <w:color w:val="000000" w:themeColor="text1"/>
          <w:szCs w:val="24"/>
        </w:rPr>
      </w:pPr>
    </w:p>
    <w:tbl>
      <w:tblPr>
        <w:tblStyle w:val="GridTable4-Accent1"/>
        <w:tblpPr w:leftFromText="180" w:rightFromText="180" w:vertAnchor="text" w:horzAnchor="margin" w:tblpY="12"/>
        <w:tblW w:w="9351" w:type="dxa"/>
        <w:tblLook w:val="04A0" w:firstRow="1" w:lastRow="0" w:firstColumn="1" w:lastColumn="0" w:noHBand="0" w:noVBand="1"/>
      </w:tblPr>
      <w:tblGrid>
        <w:gridCol w:w="2824"/>
        <w:gridCol w:w="2136"/>
        <w:gridCol w:w="2443"/>
        <w:gridCol w:w="1948"/>
      </w:tblGrid>
      <w:tr w:rsidR="008D20BE" w:rsidRPr="00B6615A" w14:paraId="035CF796" w14:textId="77777777" w:rsidTr="008D20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24" w:type="dxa"/>
          </w:tcPr>
          <w:p w14:paraId="09499F07" w14:textId="77777777" w:rsidR="008D20BE" w:rsidRPr="00B6615A" w:rsidRDefault="008D20BE" w:rsidP="008D20BE">
            <w:pPr>
              <w:spacing w:line="276" w:lineRule="auto"/>
              <w:jc w:val="center"/>
              <w:rPr>
                <w:rFonts w:ascii="Calibri" w:hAnsi="Calibri" w:cs="Calibri"/>
                <w:szCs w:val="24"/>
              </w:rPr>
            </w:pPr>
            <w:bookmarkStart w:id="0" w:name="_Hlk147301372"/>
            <w:r w:rsidRPr="00B6615A">
              <w:rPr>
                <w:rFonts w:ascii="Calibri" w:hAnsi="Calibri" w:cs="Calibri"/>
                <w:color w:val="000000" w:themeColor="text1"/>
                <w:szCs w:val="24"/>
              </w:rPr>
              <w:t>PRIORITY PERFORMANCE</w:t>
            </w:r>
          </w:p>
        </w:tc>
        <w:tc>
          <w:tcPr>
            <w:tcW w:w="2136" w:type="dxa"/>
          </w:tcPr>
          <w:p w14:paraId="68668A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c>
          <w:tcPr>
            <w:tcW w:w="2443" w:type="dxa"/>
          </w:tcPr>
          <w:p w14:paraId="40E53B2B"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CORPORATE RISK</w:t>
            </w:r>
          </w:p>
        </w:tc>
        <w:tc>
          <w:tcPr>
            <w:tcW w:w="1948" w:type="dxa"/>
          </w:tcPr>
          <w:p w14:paraId="351BB78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color w:val="000000" w:themeColor="text1"/>
                <w:szCs w:val="24"/>
              </w:rPr>
              <w:t>NUMBER</w:t>
            </w:r>
          </w:p>
        </w:tc>
      </w:tr>
      <w:tr w:rsidR="008D20BE" w:rsidRPr="00B6615A" w14:paraId="0A2CD7C0"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2092EFCA" w14:textId="77777777" w:rsidR="008D20BE" w:rsidRPr="00B6615A" w:rsidRDefault="008D20BE" w:rsidP="008D20BE">
            <w:pPr>
              <w:spacing w:line="276" w:lineRule="auto"/>
              <w:jc w:val="center"/>
              <w:rPr>
                <w:rFonts w:ascii="Calibri" w:hAnsi="Calibri" w:cs="Calibri"/>
                <w:szCs w:val="24"/>
              </w:rPr>
            </w:pPr>
            <w:r>
              <w:rPr>
                <w:rFonts w:ascii="Calibri" w:hAnsi="Calibri" w:cs="Calibri"/>
                <w:szCs w:val="24"/>
              </w:rPr>
              <w:t>Objectives</w:t>
            </w:r>
          </w:p>
        </w:tc>
        <w:tc>
          <w:tcPr>
            <w:tcW w:w="2136" w:type="dxa"/>
          </w:tcPr>
          <w:p w14:paraId="4005D7FF" w14:textId="77777777" w:rsidR="008D20BE" w:rsidRPr="00023C29"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023C29">
              <w:rPr>
                <w:rFonts w:ascii="Calibri" w:hAnsi="Calibri" w:cs="Calibri"/>
                <w:b/>
                <w:szCs w:val="24"/>
              </w:rPr>
              <w:t>15</w:t>
            </w:r>
          </w:p>
        </w:tc>
        <w:tc>
          <w:tcPr>
            <w:tcW w:w="2443" w:type="dxa"/>
          </w:tcPr>
          <w:p w14:paraId="3B3C33A5"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B6615A">
              <w:rPr>
                <w:rFonts w:ascii="Calibri" w:hAnsi="Calibri" w:cs="Calibri"/>
                <w:b/>
                <w:szCs w:val="24"/>
              </w:rPr>
              <w:t>Corporate Risks</w:t>
            </w:r>
          </w:p>
        </w:tc>
        <w:tc>
          <w:tcPr>
            <w:tcW w:w="1948" w:type="dxa"/>
          </w:tcPr>
          <w:p w14:paraId="0F960AE6" w14:textId="1E16EBF6" w:rsidR="008D20BE" w:rsidRPr="00C20267" w:rsidRDefault="0093072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color w:val="FF0000"/>
                <w:szCs w:val="24"/>
              </w:rPr>
            </w:pPr>
            <w:r w:rsidRPr="00C20267">
              <w:rPr>
                <w:rFonts w:ascii="Calibri" w:hAnsi="Calibri" w:cs="Calibri"/>
                <w:b/>
                <w:szCs w:val="24"/>
              </w:rPr>
              <w:t>10</w:t>
            </w:r>
          </w:p>
        </w:tc>
      </w:tr>
      <w:tr w:rsidR="008D20BE" w:rsidRPr="00B6615A" w14:paraId="03F70509" w14:textId="77777777" w:rsidTr="008D20BE">
        <w:tc>
          <w:tcPr>
            <w:cnfStyle w:val="001000000000" w:firstRow="0" w:lastRow="0" w:firstColumn="1" w:lastColumn="0" w:oddVBand="0" w:evenVBand="0" w:oddHBand="0" w:evenHBand="0" w:firstRowFirstColumn="0" w:firstRowLastColumn="0" w:lastRowFirstColumn="0" w:lastRowLastColumn="0"/>
            <w:tcW w:w="2824" w:type="dxa"/>
          </w:tcPr>
          <w:p w14:paraId="755D8B15"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00B050"/>
                <w:szCs w:val="24"/>
              </w:rPr>
              <w:t>On Track</w:t>
            </w:r>
          </w:p>
        </w:tc>
        <w:tc>
          <w:tcPr>
            <w:tcW w:w="2136" w:type="dxa"/>
          </w:tcPr>
          <w:p w14:paraId="20AD9686" w14:textId="54914475" w:rsidR="008D20BE" w:rsidRPr="00041A5C" w:rsidRDefault="00041A5C"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41A5C">
              <w:rPr>
                <w:rFonts w:ascii="Calibri" w:hAnsi="Calibri" w:cs="Calibri"/>
                <w:szCs w:val="24"/>
              </w:rPr>
              <w:t>14</w:t>
            </w:r>
          </w:p>
        </w:tc>
        <w:tc>
          <w:tcPr>
            <w:tcW w:w="2443" w:type="dxa"/>
          </w:tcPr>
          <w:p w14:paraId="3E7449C1" w14:textId="77777777" w:rsidR="008D20BE" w:rsidRPr="00B6615A" w:rsidRDefault="008D20BE"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B6615A">
              <w:rPr>
                <w:rFonts w:ascii="Calibri" w:hAnsi="Calibri" w:cs="Calibri"/>
                <w:szCs w:val="24"/>
              </w:rPr>
              <w:t>Increased Score</w:t>
            </w:r>
          </w:p>
        </w:tc>
        <w:tc>
          <w:tcPr>
            <w:tcW w:w="1948" w:type="dxa"/>
          </w:tcPr>
          <w:p w14:paraId="0E3E3800" w14:textId="37BB34CC" w:rsidR="008D20BE" w:rsidRPr="00C20267" w:rsidRDefault="00C20267" w:rsidP="008D2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0</w:t>
            </w:r>
          </w:p>
        </w:tc>
      </w:tr>
      <w:tr w:rsidR="008D20BE" w:rsidRPr="00B6615A" w14:paraId="6A10B312" w14:textId="77777777" w:rsidTr="008D2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4" w:type="dxa"/>
          </w:tcPr>
          <w:p w14:paraId="3688E41D" w14:textId="77777777" w:rsidR="008D20BE" w:rsidRPr="00E52E7B" w:rsidRDefault="008D20BE" w:rsidP="008D20BE">
            <w:pPr>
              <w:spacing w:line="276" w:lineRule="auto"/>
              <w:jc w:val="center"/>
              <w:rPr>
                <w:rFonts w:ascii="Calibri" w:hAnsi="Calibri" w:cs="Calibri"/>
                <w:szCs w:val="24"/>
              </w:rPr>
            </w:pPr>
            <w:r w:rsidRPr="00E52E7B">
              <w:rPr>
                <w:rFonts w:ascii="Calibri" w:hAnsi="Calibri" w:cs="Calibri"/>
                <w:color w:val="F79646" w:themeColor="accent6"/>
                <w:szCs w:val="24"/>
              </w:rPr>
              <w:t>Minor Slippage</w:t>
            </w:r>
          </w:p>
        </w:tc>
        <w:tc>
          <w:tcPr>
            <w:tcW w:w="2136" w:type="dxa"/>
          </w:tcPr>
          <w:p w14:paraId="3CA40F11" w14:textId="59D7F54B" w:rsidR="008D20BE" w:rsidRPr="00041A5C" w:rsidRDefault="00041A5C"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41A5C">
              <w:rPr>
                <w:rFonts w:ascii="Calibri" w:hAnsi="Calibri" w:cs="Calibri"/>
                <w:szCs w:val="24"/>
              </w:rPr>
              <w:t>1</w:t>
            </w:r>
          </w:p>
        </w:tc>
        <w:tc>
          <w:tcPr>
            <w:tcW w:w="2443" w:type="dxa"/>
          </w:tcPr>
          <w:p w14:paraId="7CE2D38B" w14:textId="77777777" w:rsidR="008D20BE" w:rsidRPr="00B6615A" w:rsidRDefault="008D20BE"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B6615A">
              <w:rPr>
                <w:rFonts w:ascii="Calibri" w:hAnsi="Calibri" w:cs="Calibri"/>
                <w:szCs w:val="24"/>
              </w:rPr>
              <w:t>Decreased Score</w:t>
            </w:r>
          </w:p>
        </w:tc>
        <w:tc>
          <w:tcPr>
            <w:tcW w:w="1948" w:type="dxa"/>
          </w:tcPr>
          <w:p w14:paraId="24DA6991" w14:textId="7AA814DC" w:rsidR="008D20BE" w:rsidRPr="00C20267" w:rsidRDefault="00930721" w:rsidP="008D2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C20267">
              <w:rPr>
                <w:rFonts w:ascii="Calibri" w:hAnsi="Calibri" w:cs="Calibri"/>
                <w:szCs w:val="24"/>
              </w:rPr>
              <w:t>0</w:t>
            </w:r>
          </w:p>
        </w:tc>
      </w:tr>
    </w:tbl>
    <w:tbl>
      <w:tblPr>
        <w:tblStyle w:val="GridTable4-Accent1"/>
        <w:tblpPr w:leftFromText="180" w:rightFromText="180" w:vertAnchor="text" w:horzAnchor="margin" w:tblpY="1616"/>
        <w:tblW w:w="9351" w:type="dxa"/>
        <w:tblLook w:val="04A0" w:firstRow="1" w:lastRow="0" w:firstColumn="1" w:lastColumn="0" w:noHBand="0" w:noVBand="1"/>
      </w:tblPr>
      <w:tblGrid>
        <w:gridCol w:w="2802"/>
        <w:gridCol w:w="1559"/>
        <w:gridCol w:w="3118"/>
        <w:gridCol w:w="1872"/>
      </w:tblGrid>
      <w:tr w:rsidR="008D20BE" w:rsidRPr="00B6615A" w14:paraId="20722A55" w14:textId="77777777" w:rsidTr="00A37DD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02" w:type="dxa"/>
          </w:tcPr>
          <w:bookmarkEnd w:id="0"/>
          <w:p w14:paraId="1DB299C0" w14:textId="77777777" w:rsidR="008D20BE" w:rsidRPr="00B6615A" w:rsidRDefault="008D20BE" w:rsidP="008D20BE">
            <w:pPr>
              <w:spacing w:line="276" w:lineRule="auto"/>
              <w:jc w:val="center"/>
              <w:rPr>
                <w:rFonts w:ascii="Calibri" w:hAnsi="Calibri" w:cs="Calibri"/>
                <w:color w:val="auto"/>
                <w:szCs w:val="24"/>
              </w:rPr>
            </w:pPr>
            <w:r w:rsidRPr="00B6615A">
              <w:rPr>
                <w:rFonts w:ascii="Calibri" w:hAnsi="Calibri" w:cs="Calibri"/>
                <w:color w:val="auto"/>
                <w:szCs w:val="24"/>
              </w:rPr>
              <w:t>FINANCIAL METRICS</w:t>
            </w:r>
          </w:p>
        </w:tc>
        <w:tc>
          <w:tcPr>
            <w:tcW w:w="1559" w:type="dxa"/>
          </w:tcPr>
          <w:p w14:paraId="67C116EA"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c>
          <w:tcPr>
            <w:tcW w:w="3118" w:type="dxa"/>
          </w:tcPr>
          <w:p w14:paraId="759909BD"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PEOPLE METRICS</w:t>
            </w:r>
          </w:p>
        </w:tc>
        <w:tc>
          <w:tcPr>
            <w:tcW w:w="1872" w:type="dxa"/>
          </w:tcPr>
          <w:p w14:paraId="0B1785BC" w14:textId="77777777" w:rsidR="008D20BE" w:rsidRPr="00B6615A" w:rsidRDefault="008D20BE" w:rsidP="008D2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Cs w:val="24"/>
              </w:rPr>
            </w:pPr>
            <w:r w:rsidRPr="00B6615A">
              <w:rPr>
                <w:rFonts w:ascii="Calibri" w:hAnsi="Calibri" w:cs="Calibri"/>
                <w:color w:val="auto"/>
                <w:szCs w:val="24"/>
              </w:rPr>
              <w:t>STATUS</w:t>
            </w:r>
          </w:p>
        </w:tc>
      </w:tr>
      <w:tr w:rsidR="00300974" w:rsidRPr="00B6615A" w14:paraId="5D1E0A5B" w14:textId="77777777" w:rsidTr="00A37D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56CEB8B9" w14:textId="260931BC" w:rsidR="00300974" w:rsidRPr="00300974" w:rsidRDefault="00300974" w:rsidP="00300974">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Resource Budget</w:t>
            </w:r>
          </w:p>
        </w:tc>
        <w:tc>
          <w:tcPr>
            <w:tcW w:w="1559" w:type="dxa"/>
            <w:vAlign w:val="center"/>
          </w:tcPr>
          <w:p w14:paraId="539173BD" w14:textId="7230A1C7" w:rsidR="00300974" w:rsidRPr="00DE6BD1"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lang w:eastAsia="en-GB"/>
              </w:rPr>
            </w:pPr>
            <w:r w:rsidRPr="00DE6BD1">
              <w:rPr>
                <w:rFonts w:ascii="Calibri" w:eastAsia="Times New Roman" w:hAnsi="Calibri" w:cs="Calibri"/>
                <w:b/>
                <w:color w:val="00B050"/>
                <w:szCs w:val="24"/>
                <w:lang w:eastAsia="en-GB"/>
              </w:rPr>
              <w:t>GREEN</w:t>
            </w:r>
          </w:p>
        </w:tc>
        <w:tc>
          <w:tcPr>
            <w:tcW w:w="3118" w:type="dxa"/>
          </w:tcPr>
          <w:p w14:paraId="0E11EE08" w14:textId="6F5FDB65" w:rsidR="00300974" w:rsidRPr="00B6615A" w:rsidRDefault="0024639B"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Health, Safety </w:t>
            </w:r>
            <w:r w:rsidR="00DD4A1A">
              <w:rPr>
                <w:rFonts w:ascii="Calibri" w:hAnsi="Calibri" w:cs="Calibri"/>
                <w:szCs w:val="24"/>
              </w:rPr>
              <w:t xml:space="preserve">and </w:t>
            </w:r>
            <w:r>
              <w:rPr>
                <w:rFonts w:ascii="Calibri" w:hAnsi="Calibri" w:cs="Calibri"/>
                <w:szCs w:val="24"/>
              </w:rPr>
              <w:t xml:space="preserve"> </w:t>
            </w:r>
            <w:r w:rsidR="00300974" w:rsidRPr="00B6615A">
              <w:rPr>
                <w:rFonts w:ascii="Calibri" w:hAnsi="Calibri" w:cs="Calibri"/>
                <w:szCs w:val="24"/>
              </w:rPr>
              <w:t>Wellbeing</w:t>
            </w:r>
          </w:p>
        </w:tc>
        <w:tc>
          <w:tcPr>
            <w:tcW w:w="1872" w:type="dxa"/>
          </w:tcPr>
          <w:p w14:paraId="60E5709C" w14:textId="66130E2A" w:rsidR="00300974" w:rsidRPr="0024639B" w:rsidRDefault="0024639B"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B050"/>
                <w:szCs w:val="24"/>
                <w:highlight w:val="yellow"/>
              </w:rPr>
            </w:pPr>
            <w:r w:rsidRPr="0024639B">
              <w:rPr>
                <w:rFonts w:ascii="Calibri" w:hAnsi="Calibri" w:cs="Calibri"/>
                <w:b/>
                <w:bCs/>
                <w:color w:val="00B050"/>
                <w:szCs w:val="24"/>
              </w:rPr>
              <w:t>GREEN</w:t>
            </w:r>
          </w:p>
        </w:tc>
      </w:tr>
      <w:tr w:rsidR="00300974" w:rsidRPr="00B6615A" w14:paraId="015CDD45" w14:textId="77777777" w:rsidTr="00A37DD2">
        <w:trPr>
          <w:cantSplit/>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30FFFB28" w14:textId="3FB2D767" w:rsidR="00300974" w:rsidRPr="00300974" w:rsidRDefault="00300974" w:rsidP="00300974">
            <w:pPr>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lastRenderedPageBreak/>
              <w:t>Capital</w:t>
            </w:r>
          </w:p>
        </w:tc>
        <w:tc>
          <w:tcPr>
            <w:tcW w:w="1559" w:type="dxa"/>
            <w:vAlign w:val="center"/>
          </w:tcPr>
          <w:p w14:paraId="6752F769" w14:textId="32A66CCD" w:rsidR="00300974" w:rsidRPr="00DE6BD1" w:rsidRDefault="00DE6BD1" w:rsidP="0030097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FF0000"/>
                <w:szCs w:val="24"/>
                <w:lang w:eastAsia="en-GB"/>
              </w:rPr>
            </w:pPr>
            <w:r w:rsidRPr="00DE6BD1">
              <w:rPr>
                <w:rFonts w:ascii="Calibri" w:eastAsia="Times New Roman" w:hAnsi="Calibri" w:cs="Calibri"/>
                <w:b/>
                <w:color w:val="FF0000"/>
                <w:szCs w:val="24"/>
                <w:lang w:eastAsia="en-GB"/>
              </w:rPr>
              <w:t>RED</w:t>
            </w:r>
          </w:p>
        </w:tc>
        <w:tc>
          <w:tcPr>
            <w:tcW w:w="3118" w:type="dxa"/>
          </w:tcPr>
          <w:p w14:paraId="74EA54BA" w14:textId="09BEBF4E" w:rsidR="00300974" w:rsidRPr="00B6615A" w:rsidRDefault="007931BF" w:rsidP="0030097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Employee Engagement</w:t>
            </w:r>
          </w:p>
        </w:tc>
        <w:tc>
          <w:tcPr>
            <w:tcW w:w="1872" w:type="dxa"/>
          </w:tcPr>
          <w:p w14:paraId="5CC15EC0" w14:textId="5E1F9B7C" w:rsidR="00300974" w:rsidRPr="00582D93" w:rsidRDefault="007931BF" w:rsidP="00040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highlight w:val="yellow"/>
              </w:rPr>
            </w:pPr>
            <w:r w:rsidRPr="0024639B">
              <w:rPr>
                <w:rFonts w:ascii="Calibri" w:hAnsi="Calibri" w:cs="Calibri"/>
                <w:b/>
                <w:bCs/>
                <w:color w:val="00B050"/>
                <w:szCs w:val="24"/>
              </w:rPr>
              <w:t>GREEN</w:t>
            </w:r>
          </w:p>
        </w:tc>
      </w:tr>
      <w:tr w:rsidR="00300974" w:rsidRPr="00B6615A" w14:paraId="64155784" w14:textId="77777777" w:rsidTr="00A37D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64801E4C" w14:textId="1D479EEB" w:rsidR="00300974" w:rsidRPr="00300974" w:rsidRDefault="00300974" w:rsidP="00300974">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Indirect Capital</w:t>
            </w:r>
          </w:p>
        </w:tc>
        <w:tc>
          <w:tcPr>
            <w:tcW w:w="1559" w:type="dxa"/>
            <w:vAlign w:val="center"/>
          </w:tcPr>
          <w:p w14:paraId="22173043" w14:textId="4C35D6A1" w:rsidR="00300974" w:rsidRPr="00DE6BD1" w:rsidRDefault="00DE6BD1"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FF0000"/>
                <w:kern w:val="24"/>
                <w:szCs w:val="24"/>
                <w:lang w:eastAsia="en-GB"/>
              </w:rPr>
            </w:pPr>
            <w:r w:rsidRPr="00DE6BD1">
              <w:rPr>
                <w:rFonts w:ascii="Calibri" w:hAnsi="Calibri" w:cs="Calibri"/>
                <w:b/>
                <w:bCs/>
                <w:color w:val="FF0000"/>
                <w:szCs w:val="24"/>
              </w:rPr>
              <w:t>RED</w:t>
            </w:r>
          </w:p>
        </w:tc>
        <w:tc>
          <w:tcPr>
            <w:tcW w:w="3118" w:type="dxa"/>
          </w:tcPr>
          <w:p w14:paraId="6EA34E55" w14:textId="7EA7CB58" w:rsidR="00300974" w:rsidRPr="00B6615A" w:rsidRDefault="007931BF"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Attendance </w:t>
            </w:r>
          </w:p>
        </w:tc>
        <w:tc>
          <w:tcPr>
            <w:tcW w:w="1872" w:type="dxa"/>
          </w:tcPr>
          <w:p w14:paraId="0A010479" w14:textId="1B7A1D95" w:rsidR="00300974" w:rsidRPr="00582D93" w:rsidRDefault="007931BF"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F79646" w:themeColor="accent6"/>
                <w:szCs w:val="24"/>
                <w:highlight w:val="yellow"/>
              </w:rPr>
            </w:pPr>
            <w:r w:rsidRPr="0024639B">
              <w:rPr>
                <w:rFonts w:ascii="Calibri" w:hAnsi="Calibri" w:cs="Calibri"/>
                <w:b/>
                <w:bCs/>
                <w:color w:val="00B050"/>
                <w:szCs w:val="24"/>
              </w:rPr>
              <w:t>GREEN</w:t>
            </w:r>
          </w:p>
        </w:tc>
      </w:tr>
      <w:tr w:rsidR="00300974" w:rsidRPr="00B6615A" w14:paraId="6A89972D" w14:textId="77777777" w:rsidTr="00A37DD2">
        <w:trPr>
          <w:cantSplit/>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21CB60AF" w14:textId="579CC1B8" w:rsidR="00300974" w:rsidRPr="00300974" w:rsidRDefault="00300974" w:rsidP="00300974">
            <w:pPr>
              <w:spacing w:line="276" w:lineRule="auto"/>
              <w:jc w:val="center"/>
              <w:rPr>
                <w:rFonts w:ascii="Calibri" w:hAnsi="Calibri" w:cs="Calibri"/>
                <w:b w:val="0"/>
                <w:bCs w:val="0"/>
                <w:szCs w:val="24"/>
              </w:rPr>
            </w:pPr>
            <w:r w:rsidRPr="00300974">
              <w:rPr>
                <w:rFonts w:ascii="Calibri" w:eastAsia="Times New Roman" w:hAnsi="Calibri" w:cs="Calibri"/>
                <w:b w:val="0"/>
                <w:bCs w:val="0"/>
                <w:color w:val="000000" w:themeColor="dark1"/>
                <w:kern w:val="24"/>
                <w:szCs w:val="24"/>
                <w:lang w:eastAsia="en-GB"/>
              </w:rPr>
              <w:t>Paybill</w:t>
            </w:r>
          </w:p>
        </w:tc>
        <w:tc>
          <w:tcPr>
            <w:tcW w:w="1559" w:type="dxa"/>
          </w:tcPr>
          <w:p w14:paraId="1248EB79" w14:textId="11AB6878" w:rsidR="00300974" w:rsidRPr="00DE6BD1" w:rsidRDefault="00AC6E72"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B050"/>
                <w:kern w:val="24"/>
                <w:szCs w:val="24"/>
                <w:lang w:eastAsia="en-GB"/>
              </w:rPr>
            </w:pPr>
            <w:r w:rsidRPr="00DE6BD1">
              <w:rPr>
                <w:rFonts w:ascii="Calibri" w:hAnsi="Calibri" w:cs="Calibri"/>
                <w:b/>
                <w:bCs/>
                <w:color w:val="00B050"/>
              </w:rPr>
              <w:t>GREEN</w:t>
            </w:r>
          </w:p>
        </w:tc>
        <w:tc>
          <w:tcPr>
            <w:tcW w:w="3118" w:type="dxa"/>
          </w:tcPr>
          <w:p w14:paraId="127E48E4" w14:textId="713D6445" w:rsidR="00300974" w:rsidRPr="00B6615A" w:rsidRDefault="007931BF"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Employee Relation</w:t>
            </w:r>
          </w:p>
        </w:tc>
        <w:tc>
          <w:tcPr>
            <w:tcW w:w="1872" w:type="dxa"/>
          </w:tcPr>
          <w:p w14:paraId="11BF14B1" w14:textId="424C7EC3" w:rsidR="00300974" w:rsidRPr="00582D93" w:rsidRDefault="007931BF" w:rsidP="0030097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B050"/>
                <w:szCs w:val="24"/>
                <w:highlight w:val="yellow"/>
              </w:rPr>
            </w:pPr>
            <w:r w:rsidRPr="0024639B">
              <w:rPr>
                <w:rFonts w:ascii="Calibri" w:hAnsi="Calibri" w:cs="Calibri"/>
                <w:b/>
                <w:bCs/>
                <w:color w:val="00B050"/>
                <w:szCs w:val="24"/>
              </w:rPr>
              <w:t>GREEN</w:t>
            </w:r>
          </w:p>
        </w:tc>
      </w:tr>
      <w:tr w:rsidR="00300974" w:rsidRPr="00B6615A" w14:paraId="5AB02384" w14:textId="77777777" w:rsidTr="00A37D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vAlign w:val="center"/>
          </w:tcPr>
          <w:p w14:paraId="3B798120" w14:textId="33C08A35" w:rsidR="00300974" w:rsidRPr="00300974" w:rsidRDefault="00300974" w:rsidP="00300974">
            <w:pPr>
              <w:spacing w:line="276" w:lineRule="auto"/>
              <w:jc w:val="center"/>
              <w:rPr>
                <w:rFonts w:ascii="Calibri" w:hAnsi="Calibri" w:cs="Calibri"/>
                <w:b w:val="0"/>
                <w:bCs w:val="0"/>
                <w:szCs w:val="24"/>
              </w:rPr>
            </w:pPr>
            <w:r w:rsidRPr="00300974">
              <w:rPr>
                <w:rFonts w:ascii="Calibri" w:eastAsiaTheme="minorEastAsia" w:hAnsi="Calibri" w:cs="Calibri"/>
                <w:b w:val="0"/>
                <w:bCs w:val="0"/>
                <w:color w:val="000000" w:themeColor="dark1"/>
                <w:kern w:val="24"/>
                <w:szCs w:val="24"/>
                <w:lang w:eastAsia="en-GB"/>
              </w:rPr>
              <w:t>Project Allocation</w:t>
            </w:r>
          </w:p>
        </w:tc>
        <w:tc>
          <w:tcPr>
            <w:tcW w:w="1559" w:type="dxa"/>
          </w:tcPr>
          <w:p w14:paraId="3F5B720E" w14:textId="316E503A" w:rsidR="00300974" w:rsidRPr="00DE6BD1"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r w:rsidRPr="00DE6BD1">
              <w:rPr>
                <w:rFonts w:ascii="Calibri" w:hAnsi="Calibri" w:cs="Calibri"/>
                <w:b/>
                <w:bCs/>
                <w:color w:val="F79646" w:themeColor="accent6"/>
                <w:szCs w:val="24"/>
              </w:rPr>
              <w:t>AMBER</w:t>
            </w:r>
          </w:p>
        </w:tc>
        <w:tc>
          <w:tcPr>
            <w:tcW w:w="3118" w:type="dxa"/>
          </w:tcPr>
          <w:p w14:paraId="32335D3A" w14:textId="77777777" w:rsidR="00300974" w:rsidRPr="00B6615A" w:rsidRDefault="00300974"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Workforce Profile</w:t>
            </w:r>
          </w:p>
        </w:tc>
        <w:tc>
          <w:tcPr>
            <w:tcW w:w="1872" w:type="dxa"/>
          </w:tcPr>
          <w:p w14:paraId="778C4140" w14:textId="644EB698" w:rsidR="00300974" w:rsidRPr="00582D93" w:rsidRDefault="007931BF" w:rsidP="00300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Cs/>
                <w:color w:val="F79646" w:themeColor="accent6"/>
                <w:kern w:val="24"/>
                <w:szCs w:val="24"/>
                <w:highlight w:val="yellow"/>
                <w:lang w:eastAsia="en-GB"/>
              </w:rPr>
            </w:pPr>
            <w:r w:rsidRPr="0024639B">
              <w:rPr>
                <w:rFonts w:ascii="Calibri" w:hAnsi="Calibri" w:cs="Calibri"/>
                <w:b/>
                <w:bCs/>
                <w:color w:val="00B050"/>
                <w:szCs w:val="24"/>
              </w:rPr>
              <w:t>GREEN</w:t>
            </w:r>
          </w:p>
        </w:tc>
      </w:tr>
      <w:tr w:rsidR="00A4300C" w:rsidRPr="00B6615A" w14:paraId="3F332BA0" w14:textId="77777777" w:rsidTr="00A37DD2">
        <w:trPr>
          <w:cantSplit/>
        </w:trPr>
        <w:tc>
          <w:tcPr>
            <w:cnfStyle w:val="001000000000" w:firstRow="0" w:lastRow="0" w:firstColumn="1" w:lastColumn="0" w:oddVBand="0" w:evenVBand="0" w:oddHBand="0" w:evenHBand="0" w:firstRowFirstColumn="0" w:firstRowLastColumn="0" w:lastRowFirstColumn="0" w:lastRowLastColumn="0"/>
            <w:tcW w:w="2802" w:type="dxa"/>
          </w:tcPr>
          <w:p w14:paraId="5D58709E" w14:textId="77777777" w:rsidR="00A4300C" w:rsidRPr="00B6615A" w:rsidRDefault="00A4300C" w:rsidP="00A4300C">
            <w:pPr>
              <w:jc w:val="center"/>
              <w:rPr>
                <w:rFonts w:ascii="Calibri" w:hAnsi="Calibri" w:cs="Calibri"/>
                <w:b w:val="0"/>
                <w:szCs w:val="24"/>
              </w:rPr>
            </w:pPr>
          </w:p>
        </w:tc>
        <w:tc>
          <w:tcPr>
            <w:tcW w:w="1559" w:type="dxa"/>
          </w:tcPr>
          <w:p w14:paraId="24E532BE" w14:textId="77777777" w:rsidR="00A4300C" w:rsidRPr="00E52E7B"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07D87898" w14:textId="15A64B80" w:rsidR="00A4300C" w:rsidRDefault="00A4300C" w:rsidP="00A430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Internal Movement</w:t>
            </w:r>
          </w:p>
        </w:tc>
        <w:tc>
          <w:tcPr>
            <w:tcW w:w="1872" w:type="dxa"/>
          </w:tcPr>
          <w:p w14:paraId="16972355" w14:textId="476DE76D" w:rsidR="00A4300C" w:rsidRPr="00582D93" w:rsidRDefault="007931BF" w:rsidP="00A4300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F79646" w:themeColor="accent6"/>
                <w:szCs w:val="24"/>
                <w:highlight w:val="yellow"/>
              </w:rPr>
            </w:pPr>
            <w:r w:rsidRPr="0024639B">
              <w:rPr>
                <w:rFonts w:ascii="Calibri" w:hAnsi="Calibri" w:cs="Calibri"/>
                <w:b/>
                <w:bCs/>
                <w:color w:val="00B050"/>
                <w:szCs w:val="24"/>
              </w:rPr>
              <w:t>GREEN</w:t>
            </w:r>
          </w:p>
        </w:tc>
      </w:tr>
      <w:tr w:rsidR="00A4300C" w:rsidRPr="00B6615A" w14:paraId="54963359" w14:textId="77777777" w:rsidTr="00A37D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02" w:type="dxa"/>
          </w:tcPr>
          <w:p w14:paraId="5DE46371" w14:textId="77777777" w:rsidR="00A4300C" w:rsidRPr="00B6615A" w:rsidRDefault="00A4300C" w:rsidP="00A4300C">
            <w:pPr>
              <w:jc w:val="center"/>
              <w:rPr>
                <w:rFonts w:ascii="Calibri" w:hAnsi="Calibri" w:cs="Calibri"/>
                <w:b w:val="0"/>
                <w:szCs w:val="24"/>
              </w:rPr>
            </w:pPr>
          </w:p>
        </w:tc>
        <w:tc>
          <w:tcPr>
            <w:tcW w:w="1559" w:type="dxa"/>
          </w:tcPr>
          <w:p w14:paraId="1DC7BD0C" w14:textId="77777777" w:rsidR="00A4300C" w:rsidRPr="00E52E7B"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B050"/>
                <w:kern w:val="24"/>
                <w:szCs w:val="24"/>
                <w:lang w:eastAsia="en-GB"/>
              </w:rPr>
            </w:pPr>
          </w:p>
        </w:tc>
        <w:tc>
          <w:tcPr>
            <w:tcW w:w="3118" w:type="dxa"/>
          </w:tcPr>
          <w:p w14:paraId="12AC246B" w14:textId="44ED57F7" w:rsidR="00A4300C"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Retirement Profile</w:t>
            </w:r>
          </w:p>
        </w:tc>
        <w:tc>
          <w:tcPr>
            <w:tcW w:w="1872" w:type="dxa"/>
          </w:tcPr>
          <w:p w14:paraId="70FDD30B" w14:textId="47CF3C70" w:rsidR="00A4300C" w:rsidRPr="00582D93" w:rsidRDefault="00A4300C" w:rsidP="00A4300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B050"/>
                <w:szCs w:val="24"/>
                <w:highlight w:val="yellow"/>
                <w:lang w:eastAsia="en-GB"/>
              </w:rPr>
            </w:pPr>
            <w:r w:rsidRPr="007931BF">
              <w:rPr>
                <w:rFonts w:ascii="Calibri" w:hAnsi="Calibri" w:cs="Calibri"/>
                <w:b/>
                <w:bCs/>
                <w:color w:val="F79646" w:themeColor="accent6"/>
                <w:szCs w:val="24"/>
              </w:rPr>
              <w:t>AMBER</w:t>
            </w:r>
          </w:p>
        </w:tc>
      </w:tr>
    </w:tbl>
    <w:p w14:paraId="2D4CC489" w14:textId="17EBB8D3" w:rsidR="008D20BE" w:rsidRDefault="008D20BE" w:rsidP="008D20BE">
      <w:pPr>
        <w:spacing w:after="0" w:line="240" w:lineRule="auto"/>
        <w:jc w:val="both"/>
        <w:rPr>
          <w:rFonts w:cstheme="minorHAnsi"/>
          <w:szCs w:val="24"/>
        </w:rPr>
        <w:sectPr w:rsidR="008D20BE" w:rsidSect="00730B96">
          <w:headerReference w:type="default" r:id="rId10"/>
          <w:footerReference w:type="default" r:id="rId11"/>
          <w:pgSz w:w="11906" w:h="16838"/>
          <w:pgMar w:top="993" w:right="1440" w:bottom="1440" w:left="1440" w:header="567" w:footer="708" w:gutter="0"/>
          <w:cols w:space="708"/>
          <w:docGrid w:linePitch="360"/>
        </w:sectPr>
      </w:pPr>
    </w:p>
    <w:p w14:paraId="751C7DEE" w14:textId="77777777" w:rsidR="008D20BE" w:rsidRPr="004C035F" w:rsidRDefault="008D20BE" w:rsidP="008D20BE">
      <w:pPr>
        <w:keepNext/>
        <w:keepLines/>
        <w:spacing w:before="40" w:after="0" w:line="259" w:lineRule="auto"/>
        <w:outlineLvl w:val="1"/>
        <w:rPr>
          <w:rFonts w:ascii="Calibri" w:eastAsiaTheme="majorEastAsia" w:hAnsi="Calibri" w:cs="Calibri"/>
          <w:b/>
          <w:color w:val="007DC3"/>
          <w:sz w:val="28"/>
          <w:szCs w:val="28"/>
        </w:rPr>
      </w:pPr>
      <w:r w:rsidRPr="004C035F">
        <w:rPr>
          <w:rFonts w:ascii="Calibri" w:eastAsiaTheme="majorEastAsia" w:hAnsi="Calibri" w:cs="Calibri"/>
          <w:b/>
          <w:color w:val="007DC3"/>
          <w:sz w:val="28"/>
          <w:szCs w:val="28"/>
        </w:rPr>
        <w:lastRenderedPageBreak/>
        <w:t>PERFORMANCE REPORT</w:t>
      </w:r>
    </w:p>
    <w:p w14:paraId="1563F320" w14:textId="77777777" w:rsidR="001428C1" w:rsidRPr="006E0DDA" w:rsidRDefault="001428C1" w:rsidP="001428C1">
      <w:pPr>
        <w:pStyle w:val="Heading2"/>
        <w:shd w:val="clear" w:color="auto" w:fill="007DC3"/>
        <w:jc w:val="center"/>
        <w:rPr>
          <w:rFonts w:ascii="Calibri" w:hAnsi="Calibri" w:cs="Calibri"/>
        </w:rPr>
      </w:pPr>
      <w:r>
        <w:rPr>
          <w:rFonts w:ascii="Calibri" w:hAnsi="Calibri" w:cs="Calibri"/>
        </w:rPr>
        <w:t>WE HAVE PROTECTED NATURE</w:t>
      </w: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1428C1" w:rsidRPr="001428C1" w14:paraId="5B69CD2F" w14:textId="77777777" w:rsidTr="00DD1243">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70337B0E" w14:textId="77777777" w:rsidR="008D20BE" w:rsidRPr="001428C1" w:rsidRDefault="008D20BE" w:rsidP="008D20BE">
            <w:pPr>
              <w:jc w:val="center"/>
              <w:rPr>
                <w:rFonts w:ascii="Calibri" w:hAnsi="Calibri" w:cs="Calibri"/>
                <w:szCs w:val="26"/>
              </w:rPr>
            </w:pPr>
            <w:r w:rsidRPr="001428C1">
              <w:rPr>
                <w:rFonts w:ascii="Calibri" w:hAnsi="Calibri" w:cs="Calibri"/>
                <w:szCs w:val="26"/>
              </w:rPr>
              <w:t>CORPORATE PLAN OBJECTIVE</w:t>
            </w:r>
          </w:p>
        </w:tc>
        <w:tc>
          <w:tcPr>
            <w:tcW w:w="1276" w:type="dxa"/>
            <w:vAlign w:val="center"/>
          </w:tcPr>
          <w:p w14:paraId="0204C751" w14:textId="77777777" w:rsidR="008D20BE" w:rsidRPr="001428C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SLT LEAD</w:t>
            </w:r>
          </w:p>
        </w:tc>
        <w:tc>
          <w:tcPr>
            <w:tcW w:w="992" w:type="dxa"/>
            <w:vAlign w:val="center"/>
          </w:tcPr>
          <w:p w14:paraId="0C5F3264" w14:textId="77777777" w:rsidR="008D20BE" w:rsidRPr="001428C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RAG SCORE</w:t>
            </w:r>
          </w:p>
        </w:tc>
        <w:tc>
          <w:tcPr>
            <w:tcW w:w="8930" w:type="dxa"/>
            <w:vAlign w:val="center"/>
          </w:tcPr>
          <w:p w14:paraId="3B1CD024" w14:textId="48F3FBC4" w:rsidR="008D20BE" w:rsidRPr="001428C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1428C1">
              <w:rPr>
                <w:rFonts w:ascii="Calibri" w:hAnsi="Calibri" w:cs="Calibri"/>
                <w:szCs w:val="26"/>
              </w:rPr>
              <w:t>Q</w:t>
            </w:r>
            <w:r w:rsidR="00582D93">
              <w:rPr>
                <w:rFonts w:ascii="Calibri" w:hAnsi="Calibri" w:cs="Calibri"/>
                <w:szCs w:val="26"/>
              </w:rPr>
              <w:t>4</w:t>
            </w:r>
            <w:r w:rsidR="0011387D">
              <w:rPr>
                <w:rFonts w:ascii="Calibri" w:hAnsi="Calibri" w:cs="Calibri"/>
                <w:szCs w:val="26"/>
              </w:rPr>
              <w:t xml:space="preserve"> </w:t>
            </w:r>
            <w:r w:rsidR="008D20BE" w:rsidRPr="001428C1">
              <w:rPr>
                <w:rFonts w:ascii="Calibri" w:hAnsi="Calibri" w:cs="Calibri"/>
                <w:szCs w:val="26"/>
              </w:rPr>
              <w:t>UPDATE</w:t>
            </w:r>
          </w:p>
        </w:tc>
      </w:tr>
      <w:tr w:rsidR="008D20BE" w:rsidRPr="00F550D1" w14:paraId="74A216B2"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4F16602"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t>Lead the delivery of 30% of land and sea being protected by 2030</w:t>
            </w:r>
          </w:p>
        </w:tc>
        <w:tc>
          <w:tcPr>
            <w:tcW w:w="1276" w:type="dxa"/>
            <w:vAlign w:val="center"/>
          </w:tcPr>
          <w:p w14:paraId="3BE31DB7"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12F7B7CC"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F550D1">
              <w:rPr>
                <w:rFonts w:ascii="Calibri" w:hAnsi="Calibri" w:cs="Calibri"/>
                <w:b/>
              </w:rPr>
              <w:t>GREEN</w:t>
            </w:r>
          </w:p>
        </w:tc>
        <w:tc>
          <w:tcPr>
            <w:tcW w:w="8930" w:type="dxa"/>
            <w:vAlign w:val="center"/>
          </w:tcPr>
          <w:p w14:paraId="241BBE34" w14:textId="28ECD609" w:rsidR="00CD4F31" w:rsidRPr="00212E87" w:rsidRDefault="00CD4F31" w:rsidP="00A51117">
            <w:pPr>
              <w:pStyle w:val="ListParagraph"/>
              <w:numPr>
                <w:ilvl w:val="0"/>
                <w:numId w:val="1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CD4F31">
              <w:rPr>
                <w:rFonts w:ascii="Calibri" w:hAnsi="Calibri" w:cs="Calibri"/>
                <w:color w:val="000000"/>
                <w:szCs w:val="24"/>
              </w:rPr>
              <w:t>30x30 plan on track with significant progress made on OECM criteria drafting and flexible management approaches for Protected Areas</w:t>
            </w:r>
          </w:p>
          <w:p w14:paraId="389F3E05" w14:textId="156BC551" w:rsidR="00212E87" w:rsidRPr="00D15E53" w:rsidRDefault="00212E87" w:rsidP="00D15E53">
            <w:pPr>
              <w:pStyle w:val="ListParagraph"/>
              <w:numPr>
                <w:ilvl w:val="0"/>
                <w:numId w:val="1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12E87">
              <w:rPr>
                <w:rFonts w:ascii="Calibri" w:hAnsi="Calibri" w:cs="Calibri"/>
                <w:color w:val="000000"/>
                <w:szCs w:val="24"/>
              </w:rPr>
              <w:t>Refinement of Nature Networks Toolbox with stakeholders</w:t>
            </w:r>
            <w:r w:rsidR="00FA63F1">
              <w:rPr>
                <w:rFonts w:ascii="Calibri" w:hAnsi="Calibri" w:cs="Calibri"/>
                <w:color w:val="000000"/>
                <w:szCs w:val="24"/>
              </w:rPr>
              <w:t xml:space="preserve"> is ongoing and on target and the toolbox is live. </w:t>
            </w:r>
            <w:r w:rsidRPr="00D15E53">
              <w:rPr>
                <w:rFonts w:ascii="Calibri" w:hAnsi="Calibri" w:cs="Calibri"/>
                <w:color w:val="000000"/>
                <w:szCs w:val="24"/>
              </w:rPr>
              <w:t>29</w:t>
            </w:r>
            <w:r w:rsidR="00297EF0" w:rsidRPr="00D15E53">
              <w:rPr>
                <w:rFonts w:ascii="Calibri" w:hAnsi="Calibri" w:cs="Calibri"/>
                <w:color w:val="000000"/>
                <w:szCs w:val="24"/>
              </w:rPr>
              <w:t xml:space="preserve"> out of </w:t>
            </w:r>
            <w:r w:rsidRPr="00D15E53">
              <w:rPr>
                <w:rFonts w:ascii="Calibri" w:hAnsi="Calibri" w:cs="Calibri"/>
                <w:color w:val="000000"/>
                <w:szCs w:val="24"/>
              </w:rPr>
              <w:t xml:space="preserve">32 </w:t>
            </w:r>
            <w:r w:rsidR="00D15E53" w:rsidRPr="00D15E53">
              <w:rPr>
                <w:rFonts w:ascii="Calibri" w:hAnsi="Calibri" w:cs="Calibri"/>
                <w:color w:val="000000"/>
                <w:szCs w:val="24"/>
              </w:rPr>
              <w:t xml:space="preserve">Local Authorities </w:t>
            </w:r>
            <w:r w:rsidRPr="00D15E53">
              <w:rPr>
                <w:rFonts w:ascii="Calibri" w:hAnsi="Calibri" w:cs="Calibri"/>
                <w:color w:val="000000"/>
                <w:szCs w:val="24"/>
              </w:rPr>
              <w:t>have had draft Nature Network corridors mapped.</w:t>
            </w:r>
          </w:p>
          <w:p w14:paraId="51E17E0B" w14:textId="094D8DB6" w:rsidR="00212E87" w:rsidRPr="00212E87" w:rsidRDefault="00212E87" w:rsidP="004C16F3">
            <w:pPr>
              <w:pStyle w:val="ListParagraph"/>
              <w:numPr>
                <w:ilvl w:val="0"/>
                <w:numId w:val="1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12E87">
              <w:rPr>
                <w:rFonts w:ascii="Calibri" w:hAnsi="Calibri" w:cs="Calibri"/>
                <w:color w:val="000000"/>
                <w:szCs w:val="24"/>
              </w:rPr>
              <w:t>InformedINSIGHT prioritisation, planning and resourcing and data collection modules complete</w:t>
            </w:r>
            <w:r w:rsidR="00FA63F1">
              <w:rPr>
                <w:rFonts w:ascii="Calibri" w:hAnsi="Calibri" w:cs="Calibri"/>
                <w:color w:val="000000"/>
                <w:szCs w:val="24"/>
              </w:rPr>
              <w:t xml:space="preserve"> and progressing well</w:t>
            </w:r>
            <w:r w:rsidRPr="00212E87">
              <w:rPr>
                <w:rFonts w:ascii="Calibri" w:hAnsi="Calibri" w:cs="Calibri"/>
                <w:color w:val="000000"/>
                <w:szCs w:val="24"/>
              </w:rPr>
              <w:t>.</w:t>
            </w:r>
          </w:p>
          <w:p w14:paraId="461DBE30" w14:textId="6A6FD5FF" w:rsidR="00212E87" w:rsidRPr="00212E87" w:rsidRDefault="00212E87" w:rsidP="004C16F3">
            <w:pPr>
              <w:pStyle w:val="ListParagraph"/>
              <w:numPr>
                <w:ilvl w:val="0"/>
                <w:numId w:val="1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12E87">
              <w:rPr>
                <w:rFonts w:ascii="Calibri" w:hAnsi="Calibri" w:cs="Calibri"/>
                <w:color w:val="000000"/>
                <w:szCs w:val="24"/>
              </w:rPr>
              <w:t xml:space="preserve">Ecosystem Health Working Groups for woodland, </w:t>
            </w:r>
            <w:r w:rsidR="00DF299F">
              <w:rPr>
                <w:rFonts w:ascii="Calibri" w:hAnsi="Calibri" w:cs="Calibri"/>
                <w:color w:val="000000"/>
                <w:szCs w:val="24"/>
              </w:rPr>
              <w:t>freshwater and wetlands</w:t>
            </w:r>
            <w:r w:rsidRPr="00212E87">
              <w:rPr>
                <w:rFonts w:ascii="Calibri" w:hAnsi="Calibri" w:cs="Calibri"/>
                <w:color w:val="000000"/>
                <w:szCs w:val="24"/>
              </w:rPr>
              <w:t>, and Marine have delivered draft feedback reports against the Delivering Ecosystem Health monitoring principles</w:t>
            </w:r>
            <w:r w:rsidR="00D93A28">
              <w:rPr>
                <w:rFonts w:ascii="Calibri" w:hAnsi="Calibri" w:cs="Calibri"/>
                <w:color w:val="000000"/>
                <w:szCs w:val="24"/>
              </w:rPr>
              <w:t>.</w:t>
            </w:r>
          </w:p>
          <w:p w14:paraId="50FDD336" w14:textId="3851FB05" w:rsidR="00212E87" w:rsidRPr="00212E87" w:rsidRDefault="00212E87" w:rsidP="004C16F3">
            <w:pPr>
              <w:pStyle w:val="ListParagraph"/>
              <w:numPr>
                <w:ilvl w:val="0"/>
                <w:numId w:val="1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212E87">
              <w:rPr>
                <w:rFonts w:ascii="Calibri" w:hAnsi="Calibri" w:cs="Calibri"/>
                <w:color w:val="000000"/>
                <w:szCs w:val="24"/>
              </w:rPr>
              <w:t>Site Condition Monitoring</w:t>
            </w:r>
            <w:r w:rsidR="00A25A27">
              <w:rPr>
                <w:rFonts w:ascii="Calibri" w:hAnsi="Calibri" w:cs="Calibri"/>
                <w:color w:val="000000"/>
                <w:szCs w:val="24"/>
              </w:rPr>
              <w:t xml:space="preserve"> (SCM)</w:t>
            </w:r>
            <w:r w:rsidRPr="00212E87">
              <w:rPr>
                <w:rFonts w:ascii="Calibri" w:hAnsi="Calibri" w:cs="Calibri"/>
                <w:color w:val="000000"/>
                <w:szCs w:val="24"/>
              </w:rPr>
              <w:t xml:space="preserve">: </w:t>
            </w:r>
            <w:r w:rsidR="00FA63F1">
              <w:rPr>
                <w:rFonts w:ascii="Calibri" w:hAnsi="Calibri" w:cs="Calibri"/>
                <w:color w:val="000000"/>
                <w:szCs w:val="24"/>
              </w:rPr>
              <w:t>20</w:t>
            </w:r>
            <w:r w:rsidRPr="00212E87">
              <w:rPr>
                <w:rFonts w:ascii="Calibri" w:hAnsi="Calibri" w:cs="Calibri"/>
                <w:color w:val="000000"/>
                <w:szCs w:val="24"/>
              </w:rPr>
              <w:t xml:space="preserve">23/24 SCM national contract and annual planning </w:t>
            </w:r>
            <w:r w:rsidR="00FA63F1">
              <w:rPr>
                <w:rFonts w:ascii="Calibri" w:hAnsi="Calibri" w:cs="Calibri"/>
                <w:color w:val="000000"/>
                <w:szCs w:val="24"/>
              </w:rPr>
              <w:t xml:space="preserve">is </w:t>
            </w:r>
            <w:r w:rsidRPr="00212E87">
              <w:rPr>
                <w:rFonts w:ascii="Calibri" w:hAnsi="Calibri" w:cs="Calibri"/>
                <w:color w:val="000000"/>
                <w:szCs w:val="24"/>
              </w:rPr>
              <w:t>completed</w:t>
            </w:r>
            <w:r w:rsidR="00D93A28">
              <w:rPr>
                <w:rFonts w:ascii="Calibri" w:hAnsi="Calibri" w:cs="Calibri"/>
                <w:color w:val="000000"/>
                <w:szCs w:val="24"/>
              </w:rPr>
              <w:t>.</w:t>
            </w:r>
          </w:p>
          <w:p w14:paraId="36575951" w14:textId="53DD6650" w:rsidR="00212E87" w:rsidRPr="00D15E53" w:rsidRDefault="00FA63F1" w:rsidP="00D15E53">
            <w:pPr>
              <w:pStyle w:val="ListParagraph"/>
              <w:numPr>
                <w:ilvl w:val="0"/>
                <w:numId w:val="10"/>
              </w:numPr>
              <w:tabs>
                <w:tab w:val="center" w:pos="4513"/>
                <w:tab w:val="right" w:pos="9026"/>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Evaluation reports for</w:t>
            </w:r>
            <w:r w:rsidR="00212E87" w:rsidRPr="00212E87">
              <w:rPr>
                <w:rFonts w:ascii="Calibri" w:hAnsi="Calibri" w:cs="Calibri"/>
                <w:color w:val="000000"/>
                <w:szCs w:val="24"/>
              </w:rPr>
              <w:t xml:space="preserve"> development and application of the SG evaluation of National Park nominations</w:t>
            </w:r>
            <w:r>
              <w:rPr>
                <w:rFonts w:ascii="Calibri" w:hAnsi="Calibri" w:cs="Calibri"/>
                <w:color w:val="000000"/>
                <w:szCs w:val="24"/>
              </w:rPr>
              <w:t xml:space="preserve"> are completed.</w:t>
            </w:r>
            <w:r w:rsidR="00D15E53">
              <w:rPr>
                <w:rFonts w:ascii="Calibri" w:hAnsi="Calibri" w:cs="Calibri"/>
                <w:color w:val="000000"/>
                <w:szCs w:val="24"/>
              </w:rPr>
              <w:t xml:space="preserve"> </w:t>
            </w:r>
            <w:r w:rsidR="00212E87" w:rsidRPr="00D15E53">
              <w:rPr>
                <w:rFonts w:ascii="Calibri" w:hAnsi="Calibri" w:cs="Calibri"/>
                <w:color w:val="000000"/>
                <w:szCs w:val="24"/>
              </w:rPr>
              <w:t>Scoping of 2024/25 reporting work (National Parks)</w:t>
            </w:r>
            <w:r w:rsidRPr="00D15E53">
              <w:rPr>
                <w:rFonts w:ascii="Calibri" w:hAnsi="Calibri" w:cs="Calibri"/>
                <w:color w:val="000000"/>
                <w:szCs w:val="24"/>
              </w:rPr>
              <w:t xml:space="preserve"> is complete.</w:t>
            </w:r>
          </w:p>
          <w:p w14:paraId="57550B5F" w14:textId="73315FE5" w:rsidR="005455BF" w:rsidRPr="00041A5C" w:rsidRDefault="005455BF" w:rsidP="00041A5C">
            <w:pPr>
              <w:pStyle w:val="ListParagraph"/>
              <w:tabs>
                <w:tab w:val="center" w:pos="4513"/>
                <w:tab w:val="right" w:pos="9026"/>
              </w:tabs>
              <w:ind w:left="36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Cs w:val="24"/>
              </w:rPr>
            </w:pPr>
          </w:p>
        </w:tc>
      </w:tr>
      <w:tr w:rsidR="008D20BE" w:rsidRPr="00F550D1" w14:paraId="7D502F11" w14:textId="77777777" w:rsidTr="00DD1243">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94DAD0B"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t>Build stronger collaboration reducing the impacts of deer and modernise our wildlife management and underpinning licencing functions to enable a net zero and nature positive future</w:t>
            </w:r>
          </w:p>
        </w:tc>
        <w:tc>
          <w:tcPr>
            <w:tcW w:w="1276" w:type="dxa"/>
            <w:vAlign w:val="center"/>
          </w:tcPr>
          <w:p w14:paraId="03F4349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Robbie Kernahan</w:t>
            </w:r>
          </w:p>
        </w:tc>
        <w:tc>
          <w:tcPr>
            <w:tcW w:w="992" w:type="dxa"/>
            <w:shd w:val="clear" w:color="auto" w:fill="9BBB59" w:themeFill="accent3"/>
            <w:vAlign w:val="center"/>
          </w:tcPr>
          <w:p w14:paraId="4A919A02"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550D1">
              <w:rPr>
                <w:rFonts w:ascii="Calibri" w:hAnsi="Calibri" w:cs="Calibri"/>
                <w:b/>
              </w:rPr>
              <w:t>G</w:t>
            </w:r>
            <w:r w:rsidRPr="00F550D1">
              <w:rPr>
                <w:rFonts w:ascii="Calibri" w:hAnsi="Calibri" w:cs="Calibri"/>
                <w:b/>
                <w:shd w:val="clear" w:color="auto" w:fill="9BBB59" w:themeFill="accent3"/>
              </w:rPr>
              <w:t>REE</w:t>
            </w:r>
            <w:r w:rsidRPr="00F550D1">
              <w:rPr>
                <w:rFonts w:ascii="Calibri" w:hAnsi="Calibri" w:cs="Calibri"/>
                <w:b/>
              </w:rPr>
              <w:t>N</w:t>
            </w:r>
          </w:p>
        </w:tc>
        <w:tc>
          <w:tcPr>
            <w:tcW w:w="8930" w:type="dxa"/>
            <w:vAlign w:val="center"/>
          </w:tcPr>
          <w:p w14:paraId="37312421" w14:textId="0E9B7DB0" w:rsidR="005455BF" w:rsidRPr="005455BF" w:rsidRDefault="00E76BCB" w:rsidP="005455B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Foc</w:t>
            </w:r>
            <w:r w:rsidR="00A51117">
              <w:rPr>
                <w:rFonts w:ascii="Calibri" w:hAnsi="Calibri" w:cs="Calibri"/>
                <w:color w:val="000000"/>
                <w:szCs w:val="24"/>
              </w:rPr>
              <w:t>us for deer h</w:t>
            </w:r>
            <w:r>
              <w:rPr>
                <w:rFonts w:ascii="Calibri" w:hAnsi="Calibri" w:cs="Calibri"/>
                <w:color w:val="000000"/>
                <w:szCs w:val="24"/>
              </w:rPr>
              <w:t>as been on consultation for new primary legislation with stakeholders</w:t>
            </w:r>
            <w:r w:rsidR="00D15E53">
              <w:rPr>
                <w:rFonts w:ascii="Calibri" w:hAnsi="Calibri" w:cs="Calibri"/>
                <w:color w:val="000000"/>
                <w:szCs w:val="24"/>
              </w:rPr>
              <w:t xml:space="preserve"> and</w:t>
            </w:r>
            <w:r w:rsidR="005455BF" w:rsidRPr="005455BF">
              <w:rPr>
                <w:rFonts w:ascii="Calibri" w:hAnsi="Calibri" w:cs="Calibri"/>
                <w:color w:val="000000"/>
                <w:szCs w:val="24"/>
              </w:rPr>
              <w:t xml:space="preserve"> </w:t>
            </w:r>
            <w:r>
              <w:rPr>
                <w:rFonts w:ascii="Calibri" w:hAnsi="Calibri" w:cs="Calibri"/>
                <w:color w:val="000000"/>
                <w:szCs w:val="24"/>
              </w:rPr>
              <w:t xml:space="preserve">the </w:t>
            </w:r>
            <w:r w:rsidR="005455BF" w:rsidRPr="005455BF">
              <w:rPr>
                <w:rFonts w:ascii="Calibri" w:hAnsi="Calibri" w:cs="Calibri"/>
                <w:color w:val="000000"/>
                <w:szCs w:val="24"/>
              </w:rPr>
              <w:t>launch of new online licensing system</w:t>
            </w:r>
            <w:r>
              <w:rPr>
                <w:rFonts w:ascii="Calibri" w:hAnsi="Calibri" w:cs="Calibri"/>
                <w:color w:val="000000"/>
                <w:szCs w:val="24"/>
              </w:rPr>
              <w:t xml:space="preserve">. </w:t>
            </w:r>
          </w:p>
          <w:p w14:paraId="292105F7" w14:textId="283306FE" w:rsidR="005455BF" w:rsidRPr="00A51117" w:rsidRDefault="007646BB" w:rsidP="00A51117">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Worked</w:t>
            </w:r>
            <w:r w:rsidR="005455BF" w:rsidRPr="00E76BCB">
              <w:rPr>
                <w:rFonts w:ascii="Calibri" w:hAnsi="Calibri" w:cs="Calibri"/>
                <w:color w:val="000000"/>
                <w:szCs w:val="24"/>
              </w:rPr>
              <w:t xml:space="preserve"> with</w:t>
            </w:r>
            <w:r w:rsidR="00A25A27" w:rsidRPr="00E76BCB">
              <w:rPr>
                <w:rFonts w:ascii="Calibri" w:hAnsi="Calibri" w:cs="Calibri"/>
                <w:color w:val="000000"/>
                <w:szCs w:val="24"/>
              </w:rPr>
              <w:t xml:space="preserve"> Cairngorm National Park Authority (</w:t>
            </w:r>
            <w:r w:rsidR="005455BF" w:rsidRPr="00E76BCB">
              <w:rPr>
                <w:rFonts w:ascii="Calibri" w:hAnsi="Calibri" w:cs="Calibri"/>
                <w:color w:val="000000"/>
                <w:szCs w:val="24"/>
              </w:rPr>
              <w:t>CNPA</w:t>
            </w:r>
            <w:r w:rsidR="00A25A27" w:rsidRPr="00E76BCB">
              <w:rPr>
                <w:rFonts w:ascii="Calibri" w:hAnsi="Calibri" w:cs="Calibri"/>
                <w:color w:val="000000"/>
                <w:szCs w:val="24"/>
              </w:rPr>
              <w:t>)</w:t>
            </w:r>
            <w:r w:rsidR="00D15E53">
              <w:rPr>
                <w:rFonts w:ascii="Calibri" w:hAnsi="Calibri" w:cs="Calibri"/>
                <w:color w:val="000000"/>
                <w:szCs w:val="24"/>
              </w:rPr>
              <w:t xml:space="preserve"> and</w:t>
            </w:r>
            <w:r w:rsidR="005455BF" w:rsidRPr="00E76BCB">
              <w:rPr>
                <w:rFonts w:ascii="Calibri" w:hAnsi="Calibri" w:cs="Calibri"/>
                <w:color w:val="000000"/>
                <w:szCs w:val="24"/>
              </w:rPr>
              <w:t xml:space="preserve"> supported additional beaver releases in the Spey catchment.</w:t>
            </w:r>
            <w:r w:rsidR="00E76BCB" w:rsidRPr="00E76BCB">
              <w:rPr>
                <w:rFonts w:ascii="Calibri" w:hAnsi="Calibri" w:cs="Calibri"/>
                <w:color w:val="000000"/>
                <w:szCs w:val="24"/>
              </w:rPr>
              <w:t xml:space="preserve"> </w:t>
            </w:r>
            <w:r w:rsidR="00E76BCB">
              <w:rPr>
                <w:rFonts w:ascii="Calibri" w:hAnsi="Calibri" w:cs="Calibri"/>
                <w:color w:val="000000"/>
                <w:szCs w:val="24"/>
              </w:rPr>
              <w:t>We m</w:t>
            </w:r>
            <w:r w:rsidR="005455BF" w:rsidRPr="00A51117">
              <w:rPr>
                <w:rFonts w:ascii="Calibri" w:hAnsi="Calibri" w:cs="Calibri"/>
                <w:color w:val="000000"/>
                <w:szCs w:val="24"/>
              </w:rPr>
              <w:t xml:space="preserve">et </w:t>
            </w:r>
            <w:r w:rsidR="0083328C">
              <w:rPr>
                <w:rFonts w:ascii="Calibri" w:hAnsi="Calibri" w:cs="Calibri"/>
                <w:color w:val="000000"/>
                <w:szCs w:val="24"/>
              </w:rPr>
              <w:t xml:space="preserve">the </w:t>
            </w:r>
            <w:r w:rsidR="005455BF" w:rsidRPr="00A51117">
              <w:rPr>
                <w:rFonts w:ascii="Calibri" w:hAnsi="Calibri" w:cs="Calibri"/>
                <w:color w:val="000000"/>
                <w:szCs w:val="24"/>
              </w:rPr>
              <w:t xml:space="preserve">Minister on site in response to flooding impacts </w:t>
            </w:r>
            <w:r w:rsidR="00FA4C43" w:rsidRPr="00A51117">
              <w:rPr>
                <w:rFonts w:ascii="Calibri" w:hAnsi="Calibri" w:cs="Calibri"/>
                <w:color w:val="000000"/>
                <w:szCs w:val="24"/>
              </w:rPr>
              <w:t xml:space="preserve">and </w:t>
            </w:r>
            <w:r w:rsidR="005455BF" w:rsidRPr="00A51117">
              <w:rPr>
                <w:rFonts w:ascii="Calibri" w:hAnsi="Calibri" w:cs="Calibri"/>
                <w:color w:val="000000"/>
                <w:szCs w:val="24"/>
              </w:rPr>
              <w:t>beavers in the Tay catchment.</w:t>
            </w:r>
          </w:p>
          <w:p w14:paraId="526EBCDC" w14:textId="5BE0A7C0" w:rsidR="005455BF" w:rsidRPr="00D15E53" w:rsidRDefault="005455BF" w:rsidP="00D15E53">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7B03C3">
              <w:rPr>
                <w:rFonts w:ascii="Calibri" w:hAnsi="Calibri" w:cs="Calibri"/>
                <w:color w:val="000000"/>
                <w:szCs w:val="24"/>
              </w:rPr>
              <w:t>Minister has instructed a 6 month licensing review.</w:t>
            </w:r>
            <w:r w:rsidR="007B03C3">
              <w:rPr>
                <w:rFonts w:ascii="Calibri" w:hAnsi="Calibri" w:cs="Calibri"/>
                <w:color w:val="000000"/>
                <w:szCs w:val="24"/>
              </w:rPr>
              <w:t xml:space="preserve"> </w:t>
            </w:r>
            <w:r w:rsidRPr="007B03C3">
              <w:rPr>
                <w:rFonts w:ascii="Calibri" w:hAnsi="Calibri" w:cs="Calibri"/>
                <w:color w:val="000000"/>
                <w:szCs w:val="24"/>
              </w:rPr>
              <w:t>Business case completed for online licensing development commencing in Q1</w:t>
            </w:r>
            <w:r w:rsidR="00FA4C43" w:rsidRPr="007B03C3">
              <w:rPr>
                <w:rFonts w:ascii="Calibri" w:hAnsi="Calibri" w:cs="Calibri"/>
                <w:color w:val="000000"/>
                <w:szCs w:val="24"/>
              </w:rPr>
              <w:t xml:space="preserve"> (2024-25)</w:t>
            </w:r>
            <w:r w:rsidRPr="007B03C3">
              <w:rPr>
                <w:rFonts w:ascii="Calibri" w:hAnsi="Calibri" w:cs="Calibri"/>
                <w:color w:val="000000"/>
                <w:szCs w:val="24"/>
              </w:rPr>
              <w:t>.</w:t>
            </w:r>
            <w:r w:rsidR="007B03C3">
              <w:rPr>
                <w:rFonts w:ascii="Calibri" w:hAnsi="Calibri" w:cs="Calibri"/>
                <w:color w:val="000000"/>
                <w:szCs w:val="24"/>
              </w:rPr>
              <w:t xml:space="preserve"> </w:t>
            </w:r>
          </w:p>
        </w:tc>
      </w:tr>
      <w:tr w:rsidR="008D20BE" w:rsidRPr="00F550D1" w14:paraId="6573E668"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82A95A4" w14:textId="77777777" w:rsidR="008D20BE" w:rsidRPr="00F550D1" w:rsidRDefault="008D20BE" w:rsidP="008D20BE">
            <w:pPr>
              <w:rPr>
                <w:rFonts w:ascii="Calibri" w:hAnsi="Calibri" w:cs="Calibri"/>
                <w:b w:val="0"/>
                <w:color w:val="000000"/>
              </w:rPr>
            </w:pPr>
            <w:r w:rsidRPr="00CA47FF">
              <w:rPr>
                <w:rFonts w:ascii="Calibri" w:hAnsi="Calibri" w:cs="Calibri"/>
                <w:b w:val="0"/>
                <w:color w:val="000000"/>
              </w:rPr>
              <w:t>Engage and influence planning and other regulatory systems to ensure they deliver for nature and climate</w:t>
            </w:r>
          </w:p>
        </w:tc>
        <w:tc>
          <w:tcPr>
            <w:tcW w:w="1276" w:type="dxa"/>
            <w:vAlign w:val="center"/>
          </w:tcPr>
          <w:p w14:paraId="64BB6ECC" w14:textId="77777777" w:rsidR="008D20BE" w:rsidRPr="00FF6F46"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F6F46">
              <w:rPr>
                <w:rFonts w:ascii="Calibri" w:hAnsi="Calibri" w:cs="Calibri"/>
                <w:color w:val="000000"/>
              </w:rPr>
              <w:t>Robbie Kernahan</w:t>
            </w:r>
          </w:p>
        </w:tc>
        <w:tc>
          <w:tcPr>
            <w:tcW w:w="992" w:type="dxa"/>
            <w:shd w:val="clear" w:color="auto" w:fill="9BBB59" w:themeFill="accent3"/>
            <w:vAlign w:val="center"/>
          </w:tcPr>
          <w:p w14:paraId="0596671F"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F550D1">
              <w:rPr>
                <w:rFonts w:ascii="Calibri" w:hAnsi="Calibri" w:cs="Calibri"/>
                <w:b/>
              </w:rPr>
              <w:t>GREEN</w:t>
            </w:r>
          </w:p>
        </w:tc>
        <w:tc>
          <w:tcPr>
            <w:tcW w:w="8930" w:type="dxa"/>
            <w:vAlign w:val="center"/>
          </w:tcPr>
          <w:p w14:paraId="0251BDF2" w14:textId="3B293CA3" w:rsidR="006C605A" w:rsidRPr="006C605A" w:rsidRDefault="006C605A" w:rsidP="006C605A">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605A">
              <w:rPr>
                <w:rFonts w:ascii="Calibri" w:hAnsi="Calibri" w:cs="Calibri"/>
              </w:rPr>
              <w:t>Key Agency Group (KAG) Pilot with 6 participating authorities, a</w:t>
            </w:r>
            <w:r>
              <w:rPr>
                <w:rFonts w:ascii="Calibri" w:hAnsi="Calibri" w:cs="Calibri"/>
              </w:rPr>
              <w:t>nd</w:t>
            </w:r>
            <w:r w:rsidRPr="006C605A">
              <w:rPr>
                <w:rFonts w:ascii="Calibri" w:hAnsi="Calibri" w:cs="Calibri"/>
              </w:rPr>
              <w:t xml:space="preserve"> preparation of evidence reports for the other Scottish authorities.</w:t>
            </w:r>
          </w:p>
          <w:p w14:paraId="14F08DCF" w14:textId="7CCB7BE4" w:rsidR="006C605A" w:rsidRPr="006C605A" w:rsidRDefault="007B03C3" w:rsidP="006C605A">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T</w:t>
            </w:r>
            <w:r w:rsidR="006C605A" w:rsidRPr="006C605A">
              <w:rPr>
                <w:rFonts w:ascii="Calibri" w:hAnsi="Calibri" w:cs="Calibri"/>
              </w:rPr>
              <w:t xml:space="preserve">he SG </w:t>
            </w:r>
            <w:r w:rsidR="0083328C">
              <w:rPr>
                <w:rFonts w:ascii="Calibri" w:hAnsi="Calibri" w:cs="Calibri"/>
              </w:rPr>
              <w:t xml:space="preserve">Biodiversity Metric </w:t>
            </w:r>
            <w:r w:rsidR="006C605A" w:rsidRPr="006C605A">
              <w:rPr>
                <w:rFonts w:ascii="Calibri" w:hAnsi="Calibri" w:cs="Calibri"/>
              </w:rPr>
              <w:t xml:space="preserve">commission is finalised, and the expected work programme is near completion. </w:t>
            </w:r>
          </w:p>
          <w:p w14:paraId="6B7D0E13" w14:textId="264A0197" w:rsidR="006C605A" w:rsidRPr="006C605A" w:rsidRDefault="006C605A" w:rsidP="006C605A">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C605A">
              <w:rPr>
                <w:rFonts w:ascii="Calibri" w:hAnsi="Calibri" w:cs="Calibri"/>
              </w:rPr>
              <w:lastRenderedPageBreak/>
              <w:t xml:space="preserve">Engagement with the Sector Deal is via ongoing discussion with </w:t>
            </w:r>
            <w:r w:rsidR="007B03C3">
              <w:rPr>
                <w:rFonts w:ascii="Calibri" w:hAnsi="Calibri" w:cs="Calibri"/>
              </w:rPr>
              <w:t>Peatland Expert Advisory Group (</w:t>
            </w:r>
            <w:r w:rsidRPr="006C605A">
              <w:rPr>
                <w:rFonts w:ascii="Calibri" w:hAnsi="Calibri" w:cs="Calibri"/>
              </w:rPr>
              <w:t>PEAG</w:t>
            </w:r>
            <w:r w:rsidR="007B03C3">
              <w:rPr>
                <w:rFonts w:ascii="Calibri" w:hAnsi="Calibri" w:cs="Calibri"/>
              </w:rPr>
              <w:t>)</w:t>
            </w:r>
            <w:r w:rsidR="000C5CB1">
              <w:rPr>
                <w:rFonts w:ascii="Calibri" w:hAnsi="Calibri" w:cs="Calibri"/>
              </w:rPr>
              <w:t>,</w:t>
            </w:r>
            <w:r w:rsidRPr="006C605A">
              <w:rPr>
                <w:rFonts w:ascii="Calibri" w:hAnsi="Calibri" w:cs="Calibri"/>
              </w:rPr>
              <w:t xml:space="preserve"> input to the Onshore Wind Strategic Leadership Group programme and ensuring actions from the Deal are taken forward. </w:t>
            </w:r>
          </w:p>
          <w:p w14:paraId="7A6FD542" w14:textId="102D59BD" w:rsidR="006C605A" w:rsidRPr="006C605A" w:rsidRDefault="005670F5" w:rsidP="006C605A">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T</w:t>
            </w:r>
            <w:r w:rsidR="006C605A" w:rsidRPr="006C605A">
              <w:rPr>
                <w:rFonts w:ascii="Calibri" w:hAnsi="Calibri" w:cs="Calibri"/>
              </w:rPr>
              <w:t>he Earraghail wind farm inquiry beg</w:t>
            </w:r>
            <w:r>
              <w:rPr>
                <w:rFonts w:ascii="Calibri" w:hAnsi="Calibri" w:cs="Calibri"/>
              </w:rPr>
              <w:t>an</w:t>
            </w:r>
            <w:r w:rsidR="006C605A" w:rsidRPr="006C605A">
              <w:rPr>
                <w:rFonts w:ascii="Calibri" w:hAnsi="Calibri" w:cs="Calibri"/>
              </w:rPr>
              <w:t xml:space="preserve"> 6th March. We will be present for landscape and policy evidence.</w:t>
            </w:r>
          </w:p>
          <w:p w14:paraId="410B316C" w14:textId="002BC32B" w:rsidR="00F02194" w:rsidRPr="00041A5C" w:rsidRDefault="005670F5" w:rsidP="00041A5C">
            <w:pPr>
              <w:numPr>
                <w:ilvl w:val="0"/>
                <w:numId w:val="3"/>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During Q4 </w:t>
            </w:r>
            <w:r w:rsidR="006C605A" w:rsidRPr="006C605A">
              <w:rPr>
                <w:rFonts w:ascii="Calibri" w:hAnsi="Calibri" w:cs="Calibri"/>
              </w:rPr>
              <w:t>we have been consulted on 1</w:t>
            </w:r>
            <w:r w:rsidR="008C68B1">
              <w:rPr>
                <w:rFonts w:ascii="Calibri" w:hAnsi="Calibri" w:cs="Calibri"/>
              </w:rPr>
              <w:t>82</w:t>
            </w:r>
            <w:r w:rsidR="006C605A" w:rsidRPr="006C605A">
              <w:rPr>
                <w:rFonts w:ascii="Calibri" w:hAnsi="Calibri" w:cs="Calibri"/>
              </w:rPr>
              <w:t xml:space="preserve"> planning applications</w:t>
            </w:r>
            <w:r w:rsidR="008C68B1">
              <w:rPr>
                <w:rFonts w:ascii="Calibri" w:hAnsi="Calibri" w:cs="Calibri"/>
              </w:rPr>
              <w:t xml:space="preserve"> (excluding Section 36 and 37 cases)</w:t>
            </w:r>
            <w:r w:rsidR="006C605A" w:rsidRPr="006C605A">
              <w:rPr>
                <w:rFonts w:ascii="Calibri" w:hAnsi="Calibri" w:cs="Calibri"/>
              </w:rPr>
              <w:t>, 1</w:t>
            </w:r>
            <w:r w:rsidR="008C68B1">
              <w:rPr>
                <w:rFonts w:ascii="Calibri" w:hAnsi="Calibri" w:cs="Calibri"/>
              </w:rPr>
              <w:t>70</w:t>
            </w:r>
            <w:r w:rsidR="006C605A" w:rsidRPr="006C605A">
              <w:rPr>
                <w:rFonts w:ascii="Calibri" w:hAnsi="Calibri" w:cs="Calibri"/>
              </w:rPr>
              <w:t xml:space="preserve"> pre-application requests, </w:t>
            </w:r>
            <w:r w:rsidR="008C68B1">
              <w:rPr>
                <w:rFonts w:ascii="Calibri" w:hAnsi="Calibri" w:cs="Calibri"/>
              </w:rPr>
              <w:t>95</w:t>
            </w:r>
            <w:r w:rsidR="006C605A" w:rsidRPr="006C605A">
              <w:rPr>
                <w:rFonts w:ascii="Calibri" w:hAnsi="Calibri" w:cs="Calibri"/>
              </w:rPr>
              <w:t xml:space="preserve"> Forestry consultations and </w:t>
            </w:r>
            <w:r w:rsidR="008C68B1">
              <w:rPr>
                <w:rFonts w:ascii="Calibri" w:hAnsi="Calibri" w:cs="Calibri"/>
              </w:rPr>
              <w:t>61</w:t>
            </w:r>
            <w:r w:rsidR="006C605A" w:rsidRPr="006C605A">
              <w:rPr>
                <w:rFonts w:ascii="Calibri" w:hAnsi="Calibri" w:cs="Calibri"/>
              </w:rPr>
              <w:t xml:space="preserve"> EIA applications</w:t>
            </w:r>
            <w:r w:rsidR="000C5CB1">
              <w:rPr>
                <w:rFonts w:ascii="Calibri" w:hAnsi="Calibri" w:cs="Calibri"/>
              </w:rPr>
              <w:t>.</w:t>
            </w:r>
          </w:p>
        </w:tc>
      </w:tr>
      <w:tr w:rsidR="008D20BE" w:rsidRPr="00F550D1" w14:paraId="3ECA2FB1" w14:textId="77777777" w:rsidTr="0046619F">
        <w:trPr>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vAlign w:val="center"/>
          </w:tcPr>
          <w:p w14:paraId="2A5B0C62" w14:textId="77777777" w:rsidR="008D20BE" w:rsidRPr="00F550D1" w:rsidRDefault="008D20BE" w:rsidP="008D20BE">
            <w:pPr>
              <w:rPr>
                <w:rFonts w:ascii="Calibri" w:hAnsi="Calibri" w:cs="Calibri"/>
                <w:b w:val="0"/>
                <w:color w:val="000000"/>
              </w:rPr>
            </w:pPr>
            <w:r w:rsidRPr="00F550D1">
              <w:rPr>
                <w:rFonts w:ascii="Calibri" w:hAnsi="Calibri" w:cs="Calibri"/>
                <w:b w:val="0"/>
                <w:color w:val="000000"/>
              </w:rPr>
              <w:lastRenderedPageBreak/>
              <w:t>Influence the transformation of marine management through new marine planning, protection and fisheries management frameworks, and working with the marine renewable energy sector</w:t>
            </w:r>
          </w:p>
        </w:tc>
        <w:tc>
          <w:tcPr>
            <w:tcW w:w="1276" w:type="dxa"/>
            <w:shd w:val="clear" w:color="auto" w:fill="auto"/>
            <w:vAlign w:val="center"/>
          </w:tcPr>
          <w:p w14:paraId="01F6D4F6"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550D1">
              <w:rPr>
                <w:rFonts w:ascii="Calibri" w:hAnsi="Calibri" w:cs="Calibri"/>
                <w:color w:val="000000"/>
              </w:rPr>
              <w:t>Nick Halfhide</w:t>
            </w:r>
          </w:p>
        </w:tc>
        <w:tc>
          <w:tcPr>
            <w:tcW w:w="992" w:type="dxa"/>
            <w:shd w:val="clear" w:color="auto" w:fill="9BBB59" w:themeFill="accent3"/>
            <w:vAlign w:val="center"/>
          </w:tcPr>
          <w:p w14:paraId="75548E2C" w14:textId="06BDE6E7" w:rsidR="008D20BE" w:rsidRPr="0046619F" w:rsidRDefault="00651E96"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rPr>
            </w:pPr>
            <w:r>
              <w:rPr>
                <w:rFonts w:ascii="Calibri" w:hAnsi="Calibri" w:cs="Calibri"/>
                <w:b/>
              </w:rPr>
              <w:t>Green</w:t>
            </w:r>
            <w:r w:rsidR="001A5F20">
              <w:rPr>
                <w:rFonts w:ascii="Calibri" w:hAnsi="Calibri" w:cs="Calibri"/>
                <w:b/>
              </w:rPr>
              <w:t xml:space="preserve"> </w:t>
            </w:r>
          </w:p>
        </w:tc>
        <w:tc>
          <w:tcPr>
            <w:tcW w:w="8930" w:type="dxa"/>
            <w:vAlign w:val="center"/>
          </w:tcPr>
          <w:p w14:paraId="5443806A" w14:textId="15CDEB89" w:rsidR="00FF0554" w:rsidRPr="00FF0554" w:rsidRDefault="00FF0554" w:rsidP="00FF0554">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F0554">
              <w:rPr>
                <w:rFonts w:ascii="Calibri" w:hAnsi="Calibri" w:cs="Calibri"/>
                <w:color w:val="000000"/>
                <w:szCs w:val="24"/>
              </w:rPr>
              <w:t>2024 monitoring plan drafted. User needs collected for data pipeline from community-led monitoring.</w:t>
            </w:r>
          </w:p>
          <w:p w14:paraId="3753AF9C" w14:textId="4A38E3ED" w:rsidR="00FF0554" w:rsidRPr="00FF0554" w:rsidRDefault="00FF0554" w:rsidP="00FF0554">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F0554">
              <w:rPr>
                <w:rFonts w:ascii="Calibri" w:hAnsi="Calibri" w:cs="Calibri"/>
                <w:color w:val="000000"/>
                <w:szCs w:val="24"/>
              </w:rPr>
              <w:t xml:space="preserve">Marine Recorder migration delayed due to resource issues and data model challenges between old and new applications. </w:t>
            </w:r>
          </w:p>
          <w:p w14:paraId="1DFB983C" w14:textId="5CF6ED17" w:rsidR="00FF0554" w:rsidRPr="00FF0554" w:rsidRDefault="00FF0554" w:rsidP="00FF0554">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Habitat Regulations Assessment (HRA)</w:t>
            </w:r>
            <w:r w:rsidRPr="00FF0554">
              <w:rPr>
                <w:rFonts w:ascii="Calibri" w:hAnsi="Calibri" w:cs="Calibri"/>
                <w:color w:val="000000"/>
                <w:szCs w:val="24"/>
              </w:rPr>
              <w:t xml:space="preserve"> and MPA assessment template complete and pilot</w:t>
            </w:r>
            <w:r>
              <w:rPr>
                <w:rFonts w:ascii="Calibri" w:hAnsi="Calibri" w:cs="Calibri"/>
                <w:color w:val="000000"/>
                <w:szCs w:val="24"/>
              </w:rPr>
              <w:t>ed</w:t>
            </w:r>
            <w:r w:rsidRPr="00FF0554">
              <w:rPr>
                <w:rFonts w:ascii="Calibri" w:hAnsi="Calibri" w:cs="Calibri"/>
                <w:color w:val="000000"/>
                <w:szCs w:val="24"/>
              </w:rPr>
              <w:t xml:space="preserve"> for Solway </w:t>
            </w:r>
            <w:r w:rsidR="00D12D43">
              <w:rPr>
                <w:rFonts w:ascii="Calibri" w:hAnsi="Calibri" w:cs="Calibri"/>
                <w:color w:val="000000"/>
                <w:szCs w:val="24"/>
              </w:rPr>
              <w:t>Special Protection Area (</w:t>
            </w:r>
            <w:r w:rsidRPr="00FF0554">
              <w:rPr>
                <w:rFonts w:ascii="Calibri" w:hAnsi="Calibri" w:cs="Calibri"/>
                <w:color w:val="000000"/>
                <w:szCs w:val="24"/>
              </w:rPr>
              <w:t>SPA</w:t>
            </w:r>
            <w:r w:rsidR="00D12D43">
              <w:rPr>
                <w:rFonts w:ascii="Calibri" w:hAnsi="Calibri" w:cs="Calibri"/>
                <w:color w:val="000000"/>
                <w:szCs w:val="24"/>
              </w:rPr>
              <w:t>)</w:t>
            </w:r>
            <w:r w:rsidRPr="00FF0554">
              <w:rPr>
                <w:rFonts w:ascii="Calibri" w:hAnsi="Calibri" w:cs="Calibri"/>
                <w:color w:val="000000"/>
                <w:szCs w:val="24"/>
              </w:rPr>
              <w:t xml:space="preserve">. </w:t>
            </w:r>
          </w:p>
          <w:p w14:paraId="49738F18" w14:textId="72CC74C5" w:rsidR="00FF0554" w:rsidRPr="00FF0554" w:rsidRDefault="00FF0554" w:rsidP="00FF0554">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F0554">
              <w:rPr>
                <w:rFonts w:ascii="Calibri" w:hAnsi="Calibri" w:cs="Calibri"/>
                <w:color w:val="000000"/>
                <w:szCs w:val="24"/>
              </w:rPr>
              <w:t xml:space="preserve">Work on Fisheries Management Plans (FMP) now underway, including agreement with </w:t>
            </w:r>
            <w:r>
              <w:rPr>
                <w:rFonts w:ascii="Calibri" w:hAnsi="Calibri" w:cs="Calibri"/>
                <w:color w:val="000000"/>
                <w:szCs w:val="24"/>
              </w:rPr>
              <w:t>MD</w:t>
            </w:r>
            <w:r w:rsidRPr="00FF0554">
              <w:rPr>
                <w:rFonts w:ascii="Calibri" w:hAnsi="Calibri" w:cs="Calibri"/>
                <w:color w:val="000000"/>
                <w:szCs w:val="24"/>
              </w:rPr>
              <w:t xml:space="preserve"> to deliver joint nature advice with </w:t>
            </w:r>
            <w:r w:rsidR="00D12D43">
              <w:rPr>
                <w:rFonts w:ascii="Calibri" w:hAnsi="Calibri" w:cs="Calibri"/>
                <w:color w:val="000000"/>
                <w:szCs w:val="24"/>
              </w:rPr>
              <w:t>Joint Nature Conservation Committee (</w:t>
            </w:r>
            <w:r w:rsidRPr="00FF0554">
              <w:rPr>
                <w:rFonts w:ascii="Calibri" w:hAnsi="Calibri" w:cs="Calibri"/>
                <w:color w:val="000000"/>
                <w:szCs w:val="24"/>
              </w:rPr>
              <w:t>JNCC</w:t>
            </w:r>
            <w:r w:rsidR="00D12D43">
              <w:rPr>
                <w:rFonts w:ascii="Calibri" w:hAnsi="Calibri" w:cs="Calibri"/>
                <w:color w:val="000000"/>
                <w:szCs w:val="24"/>
              </w:rPr>
              <w:t>)</w:t>
            </w:r>
            <w:r w:rsidRPr="00FF0554">
              <w:rPr>
                <w:rFonts w:ascii="Calibri" w:hAnsi="Calibri" w:cs="Calibri"/>
                <w:color w:val="000000"/>
                <w:szCs w:val="24"/>
              </w:rPr>
              <w:t xml:space="preserve"> for Scottish Seas. </w:t>
            </w:r>
          </w:p>
          <w:p w14:paraId="7DBB99D3" w14:textId="540C314F" w:rsidR="00FF0554" w:rsidRPr="00C45D92" w:rsidRDefault="00FF0554" w:rsidP="00FF0554">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F0554">
              <w:rPr>
                <w:rFonts w:ascii="Calibri" w:hAnsi="Calibri" w:cs="Calibri"/>
                <w:color w:val="000000"/>
                <w:szCs w:val="24"/>
              </w:rPr>
              <w:t xml:space="preserve">Finalised and published marine natural capital policy briefing through </w:t>
            </w:r>
            <w:r w:rsidR="00D12D43">
              <w:rPr>
                <w:rFonts w:ascii="Calibri" w:hAnsi="Calibri" w:cs="Calibri"/>
                <w:color w:val="000000"/>
                <w:szCs w:val="24"/>
              </w:rPr>
              <w:t>Marine Alliance for Science and Technology for Scotland</w:t>
            </w:r>
            <w:r w:rsidR="00D12D43" w:rsidRPr="00FF0554">
              <w:rPr>
                <w:rFonts w:ascii="Calibri" w:hAnsi="Calibri" w:cs="Calibri"/>
                <w:color w:val="000000"/>
                <w:szCs w:val="24"/>
              </w:rPr>
              <w:t xml:space="preserve"> </w:t>
            </w:r>
            <w:r w:rsidR="00D12D43">
              <w:rPr>
                <w:rFonts w:ascii="Calibri" w:hAnsi="Calibri" w:cs="Calibri"/>
                <w:color w:val="000000"/>
                <w:szCs w:val="24"/>
              </w:rPr>
              <w:t>(</w:t>
            </w:r>
            <w:r w:rsidRPr="00FF0554">
              <w:rPr>
                <w:rFonts w:ascii="Calibri" w:hAnsi="Calibri" w:cs="Calibri"/>
                <w:color w:val="000000"/>
                <w:szCs w:val="24"/>
              </w:rPr>
              <w:t>MASTS</w:t>
            </w:r>
            <w:r w:rsidR="00D12D43">
              <w:rPr>
                <w:rFonts w:ascii="Calibri" w:hAnsi="Calibri" w:cs="Calibri"/>
                <w:color w:val="000000"/>
                <w:szCs w:val="24"/>
              </w:rPr>
              <w:t>)</w:t>
            </w:r>
            <w:r w:rsidRPr="00FF0554">
              <w:rPr>
                <w:rFonts w:ascii="Calibri" w:hAnsi="Calibri" w:cs="Calibri"/>
                <w:color w:val="000000"/>
                <w:szCs w:val="24"/>
              </w:rPr>
              <w:t xml:space="preserve">. </w:t>
            </w:r>
          </w:p>
          <w:p w14:paraId="00F7D59A" w14:textId="7A10511B" w:rsidR="002062E0" w:rsidRPr="0042182D" w:rsidRDefault="00FF0554" w:rsidP="00FF0554">
            <w:pPr>
              <w:numPr>
                <w:ilvl w:val="0"/>
                <w:numId w:val="4"/>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F0554">
              <w:rPr>
                <w:rFonts w:ascii="Calibri" w:hAnsi="Calibri" w:cs="Calibri"/>
                <w:color w:val="000000"/>
                <w:szCs w:val="24"/>
              </w:rPr>
              <w:t>First draft of marine protection comm</w:t>
            </w:r>
            <w:r w:rsidR="005065DC">
              <w:rPr>
                <w:rFonts w:ascii="Calibri" w:hAnsi="Calibri" w:cs="Calibri"/>
                <w:color w:val="000000"/>
                <w:szCs w:val="24"/>
              </w:rPr>
              <w:t>unication</w:t>
            </w:r>
            <w:r w:rsidRPr="00FF0554">
              <w:rPr>
                <w:rFonts w:ascii="Calibri" w:hAnsi="Calibri" w:cs="Calibri"/>
                <w:color w:val="000000"/>
                <w:szCs w:val="24"/>
              </w:rPr>
              <w:t xml:space="preserve">s strategy shared with </w:t>
            </w:r>
            <w:r w:rsidR="005065DC">
              <w:rPr>
                <w:rFonts w:ascii="Calibri" w:hAnsi="Calibri" w:cs="Calibri"/>
                <w:color w:val="000000"/>
                <w:szCs w:val="24"/>
              </w:rPr>
              <w:t>MD</w:t>
            </w:r>
            <w:r w:rsidRPr="00FF0554">
              <w:rPr>
                <w:rFonts w:ascii="Calibri" w:hAnsi="Calibri" w:cs="Calibri"/>
                <w:color w:val="000000"/>
                <w:szCs w:val="24"/>
              </w:rPr>
              <w:t xml:space="preserve">. Conflict management training delivered. Draft marine web hub completed. </w:t>
            </w:r>
          </w:p>
        </w:tc>
      </w:tr>
    </w:tbl>
    <w:p w14:paraId="3BE200C9" w14:textId="77777777" w:rsidR="007361D3" w:rsidRDefault="007361D3">
      <w:pPr>
        <w:rPr>
          <w:rFonts w:ascii="Calibri" w:eastAsiaTheme="majorEastAsia" w:hAnsi="Calibri" w:cs="Calibri"/>
          <w:b/>
          <w:szCs w:val="26"/>
        </w:rPr>
      </w:pPr>
      <w:r>
        <w:rPr>
          <w:rFonts w:ascii="Calibri" w:eastAsiaTheme="majorEastAsia" w:hAnsi="Calibri" w:cs="Calibri"/>
          <w:b/>
          <w:szCs w:val="26"/>
        </w:rPr>
        <w:br w:type="page"/>
      </w:r>
    </w:p>
    <w:p w14:paraId="6FA83087" w14:textId="5FC24BC7" w:rsidR="008D20BE" w:rsidRPr="00F550D1" w:rsidRDefault="008D20BE" w:rsidP="008D20BE">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lastRenderedPageBreak/>
        <w:t>WE HAVE RESTORED NATURE</w:t>
      </w:r>
    </w:p>
    <w:tbl>
      <w:tblPr>
        <w:tblStyle w:val="PlainTable1"/>
        <w:tblW w:w="147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992"/>
        <w:gridCol w:w="8930"/>
      </w:tblGrid>
      <w:tr w:rsidR="008D20BE" w:rsidRPr="00F550D1" w14:paraId="24FA7C11" w14:textId="77777777" w:rsidTr="00C3498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25A95AB"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276" w:type="dxa"/>
            <w:vAlign w:val="center"/>
          </w:tcPr>
          <w:p w14:paraId="082C86E2"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2" w:type="dxa"/>
            <w:vAlign w:val="center"/>
          </w:tcPr>
          <w:p w14:paraId="2F3F43B3"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930" w:type="dxa"/>
            <w:vAlign w:val="center"/>
          </w:tcPr>
          <w:p w14:paraId="2914FB54" w14:textId="0899E702"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582D93">
              <w:rPr>
                <w:rFonts w:ascii="Calibri" w:hAnsi="Calibri" w:cs="Calibri"/>
                <w:szCs w:val="26"/>
              </w:rPr>
              <w:t>4</w:t>
            </w:r>
            <w:r w:rsidR="0011387D">
              <w:rPr>
                <w:rFonts w:ascii="Calibri" w:hAnsi="Calibri" w:cs="Calibri"/>
                <w:szCs w:val="26"/>
              </w:rPr>
              <w:t xml:space="preserve"> </w:t>
            </w:r>
            <w:r w:rsidR="008D20BE" w:rsidRPr="00F550D1">
              <w:rPr>
                <w:rFonts w:ascii="Calibri" w:hAnsi="Calibri" w:cs="Calibri"/>
                <w:szCs w:val="26"/>
              </w:rPr>
              <w:t>UPDATE</w:t>
            </w:r>
          </w:p>
        </w:tc>
      </w:tr>
      <w:tr w:rsidR="008D20BE" w:rsidRPr="00F550D1" w14:paraId="5D1D3751" w14:textId="77777777" w:rsidTr="00DD124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87654A5" w14:textId="77777777" w:rsidR="008D20BE" w:rsidRPr="00B837E7" w:rsidRDefault="008D20BE" w:rsidP="008D20BE">
            <w:pPr>
              <w:rPr>
                <w:rFonts w:ascii="Calibri" w:hAnsi="Calibri" w:cs="Calibri"/>
                <w:b w:val="0"/>
                <w:color w:val="000000"/>
                <w:szCs w:val="24"/>
                <w:highlight w:val="yellow"/>
              </w:rPr>
            </w:pPr>
            <w:r w:rsidRPr="00D62CA6">
              <w:rPr>
                <w:rFonts w:ascii="Calibri" w:hAnsi="Calibri" w:cs="Calibri"/>
                <w:b w:val="0"/>
                <w:color w:val="000000"/>
                <w:szCs w:val="24"/>
              </w:rPr>
              <w:t>Co-lead the production of the new Scottish Biodiversity Strategy (SBS) and develop targets to include in a new Natural Environment Bill</w:t>
            </w:r>
          </w:p>
        </w:tc>
        <w:tc>
          <w:tcPr>
            <w:tcW w:w="1276" w:type="dxa"/>
            <w:vAlign w:val="center"/>
          </w:tcPr>
          <w:p w14:paraId="2E9A07D2"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662AE0DF"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930" w:type="dxa"/>
            <w:vAlign w:val="center"/>
          </w:tcPr>
          <w:p w14:paraId="20E034E7" w14:textId="0E391270" w:rsidR="00987B70" w:rsidRPr="00987B70" w:rsidRDefault="00987B70" w:rsidP="00987B70">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987B70">
              <w:rPr>
                <w:rFonts w:ascii="Calibri" w:hAnsi="Calibri" w:cs="Calibri"/>
                <w:color w:val="000000"/>
                <w:szCs w:val="24"/>
              </w:rPr>
              <w:t xml:space="preserve">Working with </w:t>
            </w:r>
            <w:r w:rsidR="005065DC">
              <w:rPr>
                <w:rFonts w:ascii="Calibri" w:hAnsi="Calibri" w:cs="Calibri"/>
                <w:color w:val="000000"/>
                <w:szCs w:val="24"/>
              </w:rPr>
              <w:t>SG</w:t>
            </w:r>
            <w:r w:rsidRPr="00987B70">
              <w:rPr>
                <w:rFonts w:ascii="Calibri" w:hAnsi="Calibri" w:cs="Calibri"/>
                <w:color w:val="000000"/>
                <w:szCs w:val="24"/>
              </w:rPr>
              <w:t xml:space="preserve"> on the analysis of responses to the consultation on the Scottish Biodiversity Strategy, and the SG response. We currently expect the SG </w:t>
            </w:r>
            <w:r>
              <w:rPr>
                <w:rFonts w:ascii="Calibri" w:hAnsi="Calibri" w:cs="Calibri"/>
                <w:color w:val="000000"/>
                <w:szCs w:val="24"/>
              </w:rPr>
              <w:t>response to be published in Q1</w:t>
            </w:r>
            <w:r w:rsidR="005065DC">
              <w:rPr>
                <w:rFonts w:ascii="Calibri" w:hAnsi="Calibri" w:cs="Calibri"/>
                <w:color w:val="000000"/>
                <w:szCs w:val="24"/>
              </w:rPr>
              <w:t xml:space="preserve"> 2024/25</w:t>
            </w:r>
            <w:r>
              <w:rPr>
                <w:rFonts w:ascii="Calibri" w:hAnsi="Calibri" w:cs="Calibri"/>
                <w:color w:val="000000"/>
                <w:szCs w:val="24"/>
              </w:rPr>
              <w:t>.</w:t>
            </w:r>
          </w:p>
          <w:p w14:paraId="545A4102" w14:textId="6671A333" w:rsidR="00987B70" w:rsidRPr="00987B70" w:rsidRDefault="007646BB" w:rsidP="00987B70">
            <w:pPr>
              <w:numPr>
                <w:ilvl w:val="0"/>
                <w:numId w:val="4"/>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Working</w:t>
            </w:r>
            <w:r w:rsidR="00987B70" w:rsidRPr="00987B70">
              <w:rPr>
                <w:rFonts w:ascii="Calibri" w:hAnsi="Calibri" w:cs="Calibri"/>
                <w:color w:val="000000"/>
                <w:szCs w:val="24"/>
              </w:rPr>
              <w:t xml:space="preserve"> with SG to refine the Delivery Plan targets, making them SMART and to agree lead delivery partners, including discussions with key stakeholders.</w:t>
            </w:r>
          </w:p>
          <w:p w14:paraId="1601C632" w14:textId="28A897F0" w:rsidR="008D20BE" w:rsidRPr="0011387D" w:rsidRDefault="008D20BE" w:rsidP="00D15E5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tc>
      </w:tr>
      <w:tr w:rsidR="008D20BE" w:rsidRPr="00F550D1" w14:paraId="4F83D9E2" w14:textId="77777777" w:rsidTr="002062E0">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4DFFF62" w14:textId="77777777" w:rsidR="008D20BE" w:rsidRPr="00F550D1" w:rsidRDefault="008D20BE" w:rsidP="008D20BE">
            <w:pPr>
              <w:rPr>
                <w:rFonts w:ascii="Calibri" w:hAnsi="Calibri" w:cs="Calibri"/>
                <w:b w:val="0"/>
                <w:color w:val="000000"/>
                <w:szCs w:val="24"/>
              </w:rPr>
            </w:pPr>
            <w:r w:rsidRPr="00DC3DFD">
              <w:rPr>
                <w:rFonts w:ascii="Calibri" w:hAnsi="Calibri" w:cs="Calibri"/>
                <w:b w:val="0"/>
                <w:color w:val="000000"/>
                <w:szCs w:val="24"/>
              </w:rPr>
              <w:t>Scale up Peatland Restoration by delivering Peatland ACTION funding to projects</w:t>
            </w:r>
          </w:p>
        </w:tc>
        <w:tc>
          <w:tcPr>
            <w:tcW w:w="1276" w:type="dxa"/>
            <w:vAlign w:val="center"/>
          </w:tcPr>
          <w:p w14:paraId="60552E16"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ED5F9E1" w14:textId="53B08984" w:rsidR="008D20BE" w:rsidRPr="00F550D1" w:rsidRDefault="002062E0"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b/>
              </w:rPr>
              <w:t>GREEN</w:t>
            </w:r>
          </w:p>
          <w:p w14:paraId="31DFF831"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p>
        </w:tc>
        <w:tc>
          <w:tcPr>
            <w:tcW w:w="8930" w:type="dxa"/>
            <w:vAlign w:val="center"/>
          </w:tcPr>
          <w:p w14:paraId="6D9F8711" w14:textId="072EE4BD" w:rsidR="00B06790" w:rsidRPr="00B06790" w:rsidRDefault="007646BB" w:rsidP="00B06790">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O</w:t>
            </w:r>
            <w:r w:rsidR="00940CAA">
              <w:rPr>
                <w:rFonts w:ascii="Calibri" w:hAnsi="Calibri" w:cs="Calibri"/>
                <w:color w:val="000000"/>
                <w:szCs w:val="24"/>
              </w:rPr>
              <w:t xml:space="preserve">n track to meet our target of restoring </w:t>
            </w:r>
            <w:r w:rsidR="00B06790" w:rsidRPr="00B06790">
              <w:rPr>
                <w:rFonts w:ascii="Calibri" w:hAnsi="Calibri" w:cs="Calibri"/>
                <w:color w:val="000000"/>
                <w:szCs w:val="24"/>
              </w:rPr>
              <w:t xml:space="preserve">6,100 ha of degraded peatland </w:t>
            </w:r>
            <w:r w:rsidR="00940CAA">
              <w:rPr>
                <w:rFonts w:ascii="Calibri" w:hAnsi="Calibri" w:cs="Calibri"/>
                <w:color w:val="000000"/>
                <w:szCs w:val="24"/>
              </w:rPr>
              <w:t>which represents a</w:t>
            </w:r>
            <w:r w:rsidR="00D15E53">
              <w:rPr>
                <w:rFonts w:ascii="Calibri" w:hAnsi="Calibri" w:cs="Calibri"/>
                <w:color w:val="000000"/>
                <w:szCs w:val="24"/>
              </w:rPr>
              <w:t>n</w:t>
            </w:r>
            <w:r w:rsidR="00940CAA">
              <w:rPr>
                <w:rFonts w:ascii="Calibri" w:hAnsi="Calibri" w:cs="Calibri"/>
                <w:color w:val="000000"/>
                <w:szCs w:val="24"/>
              </w:rPr>
              <w:t xml:space="preserve"> increase of 20% compared to last year’s output.</w:t>
            </w:r>
          </w:p>
          <w:p w14:paraId="1C0D973B" w14:textId="77777777" w:rsidR="00B06790" w:rsidRPr="00B06790" w:rsidRDefault="00B06790" w:rsidP="00B06790">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B06790">
              <w:rPr>
                <w:rFonts w:ascii="Calibri" w:hAnsi="Calibri" w:cs="Calibri"/>
                <w:color w:val="000000"/>
                <w:szCs w:val="24"/>
              </w:rPr>
              <w:t>Scoping a 'peatland standard' through the Peat Expert Advisory Group via guidance to cover protection, mitigation and management requirements.</w:t>
            </w:r>
          </w:p>
          <w:p w14:paraId="506F763E" w14:textId="1CDCFACB" w:rsidR="00B06790" w:rsidRPr="00B06790" w:rsidRDefault="00B06790" w:rsidP="00B06790">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B06790">
              <w:rPr>
                <w:rFonts w:ascii="Calibri" w:hAnsi="Calibri" w:cs="Calibri"/>
                <w:color w:val="000000"/>
                <w:szCs w:val="24"/>
              </w:rPr>
              <w:t>Completed New Entrants Scheme and supported</w:t>
            </w:r>
            <w:r w:rsidR="005065DC">
              <w:rPr>
                <w:rFonts w:ascii="Calibri" w:hAnsi="Calibri" w:cs="Calibri"/>
                <w:color w:val="000000"/>
                <w:szCs w:val="24"/>
              </w:rPr>
              <w:t xml:space="preserve"> Scotland’s Rural College</w:t>
            </w:r>
            <w:r w:rsidRPr="00B06790">
              <w:rPr>
                <w:rFonts w:ascii="Calibri" w:hAnsi="Calibri" w:cs="Calibri"/>
                <w:color w:val="000000"/>
                <w:szCs w:val="24"/>
              </w:rPr>
              <w:t xml:space="preserve"> </w:t>
            </w:r>
            <w:r w:rsidR="005065DC">
              <w:rPr>
                <w:rFonts w:ascii="Calibri" w:hAnsi="Calibri" w:cs="Calibri"/>
                <w:color w:val="000000"/>
                <w:szCs w:val="24"/>
              </w:rPr>
              <w:t>(</w:t>
            </w:r>
            <w:r w:rsidRPr="00B06790">
              <w:rPr>
                <w:rFonts w:ascii="Calibri" w:hAnsi="Calibri" w:cs="Calibri"/>
                <w:color w:val="000000"/>
                <w:szCs w:val="24"/>
              </w:rPr>
              <w:t>SRUC</w:t>
            </w:r>
            <w:r w:rsidR="005065DC">
              <w:rPr>
                <w:rFonts w:ascii="Calibri" w:hAnsi="Calibri" w:cs="Calibri"/>
                <w:color w:val="000000"/>
                <w:szCs w:val="24"/>
              </w:rPr>
              <w:t xml:space="preserve">) </w:t>
            </w:r>
            <w:r w:rsidRPr="00B06790">
              <w:rPr>
                <w:rFonts w:ascii="Calibri" w:hAnsi="Calibri" w:cs="Calibri"/>
                <w:color w:val="000000"/>
                <w:szCs w:val="24"/>
              </w:rPr>
              <w:t>short</w:t>
            </w:r>
            <w:r>
              <w:rPr>
                <w:rFonts w:ascii="Calibri" w:hAnsi="Calibri" w:cs="Calibri"/>
                <w:color w:val="000000"/>
                <w:szCs w:val="24"/>
              </w:rPr>
              <w:t xml:space="preserve"> </w:t>
            </w:r>
            <w:r w:rsidRPr="00B06790">
              <w:rPr>
                <w:rFonts w:ascii="Calibri" w:hAnsi="Calibri" w:cs="Calibri"/>
                <w:color w:val="000000"/>
                <w:szCs w:val="24"/>
              </w:rPr>
              <w:t>course on project design.</w:t>
            </w:r>
          </w:p>
          <w:p w14:paraId="0CF28924" w14:textId="46C93D8E" w:rsidR="00DD1243" w:rsidRPr="00D15E53" w:rsidRDefault="00B06790" w:rsidP="00D15E53">
            <w:pPr>
              <w:numPr>
                <w:ilvl w:val="0"/>
                <w:numId w:val="4"/>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B06790">
              <w:rPr>
                <w:rFonts w:ascii="Calibri" w:hAnsi="Calibri" w:cs="Calibri"/>
                <w:color w:val="000000"/>
                <w:szCs w:val="24"/>
              </w:rPr>
              <w:t xml:space="preserve">Provided a supporting framework through </w:t>
            </w:r>
            <w:r w:rsidR="00D12D43" w:rsidRPr="00D12D43">
              <w:rPr>
                <w:rFonts w:ascii="Calibri" w:hAnsi="Calibri" w:cs="Calibri"/>
                <w:color w:val="000000"/>
                <w:szCs w:val="24"/>
              </w:rPr>
              <w:t xml:space="preserve">International Union for Conservation of Nature </w:t>
            </w:r>
            <w:r w:rsidR="00D12D43">
              <w:rPr>
                <w:rFonts w:ascii="Calibri" w:hAnsi="Calibri" w:cs="Calibri"/>
                <w:color w:val="000000"/>
                <w:szCs w:val="24"/>
              </w:rPr>
              <w:t>(</w:t>
            </w:r>
            <w:r w:rsidRPr="00B06790">
              <w:rPr>
                <w:rFonts w:ascii="Calibri" w:hAnsi="Calibri" w:cs="Calibri"/>
                <w:color w:val="000000"/>
                <w:szCs w:val="24"/>
              </w:rPr>
              <w:t>IUCN</w:t>
            </w:r>
            <w:r w:rsidR="00D12D43">
              <w:rPr>
                <w:rFonts w:ascii="Calibri" w:hAnsi="Calibri" w:cs="Calibri"/>
                <w:color w:val="000000"/>
                <w:szCs w:val="24"/>
              </w:rPr>
              <w:t>)</w:t>
            </w:r>
            <w:r w:rsidRPr="00B06790">
              <w:rPr>
                <w:rFonts w:ascii="Calibri" w:hAnsi="Calibri" w:cs="Calibri"/>
                <w:color w:val="000000"/>
                <w:szCs w:val="24"/>
              </w:rPr>
              <w:t xml:space="preserve"> to align the Peatland ACTION and Peatland Code processes. </w:t>
            </w:r>
          </w:p>
        </w:tc>
      </w:tr>
      <w:tr w:rsidR="008D20BE" w:rsidRPr="00F550D1" w14:paraId="3D95AFB8" w14:textId="77777777" w:rsidTr="0047415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04A8899" w14:textId="77777777"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t>Lead, enable and convene others around the development of ambitious and coherent actions to restore nature.  Deliver a major Nature Restoration Fund (NRF) targeted at high impact nature recovery projects and seeding greater investment from the private sector</w:t>
            </w:r>
          </w:p>
        </w:tc>
        <w:tc>
          <w:tcPr>
            <w:tcW w:w="1276" w:type="dxa"/>
            <w:vAlign w:val="center"/>
          </w:tcPr>
          <w:p w14:paraId="166712BA"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Nick Halfhide</w:t>
            </w:r>
          </w:p>
        </w:tc>
        <w:tc>
          <w:tcPr>
            <w:tcW w:w="992" w:type="dxa"/>
            <w:shd w:val="clear" w:color="auto" w:fill="9BBB59" w:themeFill="accent3"/>
            <w:vAlign w:val="center"/>
          </w:tcPr>
          <w:p w14:paraId="0B462571"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rPr>
              <w:t>GREEN</w:t>
            </w:r>
            <w:r w:rsidRPr="00F550D1">
              <w:rPr>
                <w:rFonts w:ascii="Calibri" w:hAnsi="Calibri" w:cs="Calibri"/>
                <w:b/>
                <w:szCs w:val="24"/>
              </w:rPr>
              <w:t xml:space="preserve"> </w:t>
            </w:r>
          </w:p>
        </w:tc>
        <w:tc>
          <w:tcPr>
            <w:tcW w:w="8930" w:type="dxa"/>
          </w:tcPr>
          <w:p w14:paraId="6D065E48" w14:textId="4574DB55" w:rsidR="00091D91" w:rsidRPr="00091D91" w:rsidRDefault="00091D91" w:rsidP="00D93A28">
            <w:pPr>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091D91">
              <w:rPr>
                <w:rFonts w:ascii="Calibri" w:hAnsi="Calibri" w:cs="Calibri"/>
                <w:color w:val="000000"/>
                <w:szCs w:val="24"/>
              </w:rPr>
              <w:t>The Nature Restoration Fund made offers on those projects from Q3 that we could fund and, met again at the end of Q4 to reconsider projects that were unaffordable at the end of Q3.</w:t>
            </w:r>
          </w:p>
          <w:p w14:paraId="417EEEA3" w14:textId="371867FB" w:rsidR="00202841" w:rsidRPr="00D15E53" w:rsidRDefault="00091D91" w:rsidP="00D15E53">
            <w:pPr>
              <w:numPr>
                <w:ilvl w:val="0"/>
                <w:numId w:val="4"/>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091D91">
              <w:rPr>
                <w:rFonts w:ascii="Calibri" w:hAnsi="Calibri" w:cs="Calibri"/>
                <w:color w:val="000000"/>
                <w:szCs w:val="24"/>
              </w:rPr>
              <w:t xml:space="preserve">Species prioritisation and the Scottish Biodiversity List has progressed. </w:t>
            </w:r>
            <w:r w:rsidR="00987B70">
              <w:rPr>
                <w:rFonts w:ascii="Calibri" w:hAnsi="Calibri" w:cs="Calibri"/>
                <w:color w:val="000000"/>
                <w:szCs w:val="24"/>
              </w:rPr>
              <w:t>The Species at Risk</w:t>
            </w:r>
            <w:r w:rsidR="00EA05DF">
              <w:rPr>
                <w:rFonts w:ascii="Calibri" w:hAnsi="Calibri" w:cs="Calibri"/>
                <w:color w:val="000000"/>
                <w:szCs w:val="24"/>
              </w:rPr>
              <w:t xml:space="preserve"> list should be online by the end of Q1</w:t>
            </w:r>
            <w:r w:rsidR="00DD4A1A">
              <w:rPr>
                <w:rFonts w:ascii="Calibri" w:hAnsi="Calibri" w:cs="Calibri"/>
                <w:color w:val="000000"/>
                <w:szCs w:val="24"/>
              </w:rPr>
              <w:t xml:space="preserve"> (2024</w:t>
            </w:r>
            <w:r w:rsidR="005065DC">
              <w:rPr>
                <w:rFonts w:ascii="Calibri" w:hAnsi="Calibri" w:cs="Calibri"/>
                <w:color w:val="000000"/>
                <w:szCs w:val="24"/>
              </w:rPr>
              <w:t>/</w:t>
            </w:r>
            <w:r w:rsidR="00DD4A1A">
              <w:rPr>
                <w:rFonts w:ascii="Calibri" w:hAnsi="Calibri" w:cs="Calibri"/>
                <w:color w:val="000000"/>
                <w:szCs w:val="24"/>
              </w:rPr>
              <w:t>25)</w:t>
            </w:r>
            <w:r w:rsidRPr="00091D91">
              <w:rPr>
                <w:rFonts w:ascii="Calibri" w:hAnsi="Calibri" w:cs="Calibri"/>
                <w:color w:val="000000"/>
                <w:szCs w:val="24"/>
              </w:rPr>
              <w:t xml:space="preserve">. </w:t>
            </w:r>
            <w:r w:rsidR="00EA05DF">
              <w:rPr>
                <w:rFonts w:ascii="Calibri" w:hAnsi="Calibri" w:cs="Calibri"/>
                <w:color w:val="000000"/>
                <w:szCs w:val="24"/>
              </w:rPr>
              <w:t xml:space="preserve">We are seeking a Commission from </w:t>
            </w:r>
            <w:r w:rsidR="005065DC">
              <w:rPr>
                <w:rFonts w:ascii="Calibri" w:hAnsi="Calibri" w:cs="Calibri"/>
                <w:color w:val="000000"/>
                <w:szCs w:val="24"/>
              </w:rPr>
              <w:t>SG</w:t>
            </w:r>
            <w:r w:rsidR="00EA05DF">
              <w:rPr>
                <w:rFonts w:ascii="Calibri" w:hAnsi="Calibri" w:cs="Calibri"/>
                <w:color w:val="000000"/>
                <w:szCs w:val="24"/>
              </w:rPr>
              <w:t xml:space="preserve"> to revise the Scottish Biodiversity List in line with the </w:t>
            </w:r>
            <w:r w:rsidR="005065DC">
              <w:rPr>
                <w:rFonts w:ascii="Calibri" w:hAnsi="Calibri" w:cs="Calibri"/>
                <w:color w:val="000000"/>
                <w:szCs w:val="24"/>
              </w:rPr>
              <w:t>SBS</w:t>
            </w:r>
            <w:r w:rsidRPr="00091D91">
              <w:rPr>
                <w:rFonts w:ascii="Calibri" w:hAnsi="Calibri" w:cs="Calibri"/>
                <w:color w:val="000000"/>
                <w:szCs w:val="24"/>
              </w:rPr>
              <w:t>.</w:t>
            </w:r>
          </w:p>
        </w:tc>
      </w:tr>
      <w:tr w:rsidR="008D20BE" w:rsidRPr="00F550D1" w14:paraId="219D7521" w14:textId="77777777" w:rsidTr="001F21FE">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2EAC7" w14:textId="77777777" w:rsidR="008D20BE" w:rsidRPr="00B837E7" w:rsidRDefault="008D20BE" w:rsidP="008D20BE">
            <w:pPr>
              <w:rPr>
                <w:rFonts w:ascii="Calibri" w:hAnsi="Calibri" w:cs="Calibri"/>
                <w:b w:val="0"/>
                <w:color w:val="000000"/>
                <w:szCs w:val="24"/>
                <w:highlight w:val="yellow"/>
              </w:rPr>
            </w:pPr>
            <w:r w:rsidRPr="00D51F4A">
              <w:rPr>
                <w:rFonts w:ascii="Calibri" w:hAnsi="Calibri" w:cs="Calibri"/>
                <w:b w:val="0"/>
                <w:color w:val="000000"/>
                <w:szCs w:val="24"/>
              </w:rPr>
              <w:t>Demonstrate how agriculture can be transformed with new approaches to deliver targeted outcomes for nature and climate</w:t>
            </w:r>
          </w:p>
        </w:tc>
        <w:tc>
          <w:tcPr>
            <w:tcW w:w="1276" w:type="dxa"/>
            <w:vAlign w:val="center"/>
          </w:tcPr>
          <w:p w14:paraId="6375B253"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Robbie Kernahan</w:t>
            </w:r>
          </w:p>
        </w:tc>
        <w:tc>
          <w:tcPr>
            <w:tcW w:w="992" w:type="dxa"/>
            <w:shd w:val="clear" w:color="auto" w:fill="9BBB59" w:themeFill="accent3"/>
            <w:vAlign w:val="center"/>
          </w:tcPr>
          <w:p w14:paraId="354718C8"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930" w:type="dxa"/>
            <w:vAlign w:val="center"/>
          </w:tcPr>
          <w:p w14:paraId="45D343F1" w14:textId="4ECB93B0" w:rsidR="0087617D" w:rsidRPr="001F21FE" w:rsidRDefault="0087617D" w:rsidP="001F21F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1F21FE">
              <w:rPr>
                <w:rFonts w:ascii="Calibri" w:hAnsi="Calibri" w:cs="Calibri"/>
                <w:szCs w:val="24"/>
              </w:rPr>
              <w:t>All</w:t>
            </w:r>
            <w:r w:rsidR="005065DC">
              <w:rPr>
                <w:rFonts w:ascii="Calibri" w:hAnsi="Calibri" w:cs="Calibri"/>
                <w:szCs w:val="24"/>
              </w:rPr>
              <w:t xml:space="preserve"> </w:t>
            </w:r>
            <w:r w:rsidR="005065DC" w:rsidRPr="005065DC">
              <w:rPr>
                <w:rFonts w:ascii="Calibri" w:hAnsi="Calibri" w:cs="Calibri"/>
                <w:szCs w:val="24"/>
              </w:rPr>
              <w:t>Agri-Environment Climate Scheme (AECS</w:t>
            </w:r>
            <w:r w:rsidR="005065DC">
              <w:rPr>
                <w:rFonts w:ascii="Calibri" w:hAnsi="Calibri" w:cs="Calibri"/>
                <w:szCs w:val="24"/>
              </w:rPr>
              <w:t>)</w:t>
            </w:r>
            <w:r w:rsidRPr="001F21FE">
              <w:rPr>
                <w:rFonts w:ascii="Calibri" w:hAnsi="Calibri" w:cs="Calibri"/>
                <w:szCs w:val="24"/>
              </w:rPr>
              <w:t xml:space="preserve"> 2023 round contracts issued and returned. 2024 application round launched. </w:t>
            </w:r>
          </w:p>
          <w:p w14:paraId="1FCDD485" w14:textId="5D776920" w:rsidR="00644AF5" w:rsidRDefault="00F24BC1" w:rsidP="001F21FE">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L</w:t>
            </w:r>
            <w:r w:rsidR="0087617D" w:rsidRPr="001F21FE">
              <w:rPr>
                <w:rFonts w:ascii="Calibri" w:hAnsi="Calibri" w:cs="Calibri"/>
                <w:szCs w:val="24"/>
              </w:rPr>
              <w:t xml:space="preserve">atest user testing phase </w:t>
            </w:r>
            <w:r>
              <w:rPr>
                <w:rFonts w:ascii="Calibri" w:hAnsi="Calibri" w:cs="Calibri"/>
                <w:szCs w:val="24"/>
              </w:rPr>
              <w:t xml:space="preserve">of the </w:t>
            </w:r>
            <w:r w:rsidRPr="001F21FE">
              <w:rPr>
                <w:rFonts w:ascii="Calibri" w:hAnsi="Calibri" w:cs="Calibri"/>
                <w:szCs w:val="24"/>
              </w:rPr>
              <w:t xml:space="preserve">Farm Biodiversity Scotland App </w:t>
            </w:r>
            <w:r w:rsidR="005A2359" w:rsidRPr="001F21FE">
              <w:rPr>
                <w:rFonts w:ascii="Calibri" w:hAnsi="Calibri" w:cs="Calibri"/>
                <w:szCs w:val="24"/>
              </w:rPr>
              <w:t>completed,</w:t>
            </w:r>
            <w:r w:rsidR="0087617D" w:rsidRPr="001F21FE">
              <w:rPr>
                <w:rFonts w:ascii="Calibri" w:hAnsi="Calibri" w:cs="Calibri"/>
                <w:szCs w:val="24"/>
              </w:rPr>
              <w:t xml:space="preserve"> and further functionality being added</w:t>
            </w:r>
            <w:r w:rsidR="0080571D">
              <w:rPr>
                <w:rFonts w:ascii="Calibri" w:hAnsi="Calibri" w:cs="Calibri"/>
                <w:szCs w:val="24"/>
              </w:rPr>
              <w:t>.</w:t>
            </w:r>
            <w:r w:rsidR="0087617D" w:rsidRPr="001F21FE">
              <w:rPr>
                <w:rFonts w:ascii="Calibri" w:hAnsi="Calibri" w:cs="Calibri"/>
                <w:szCs w:val="24"/>
              </w:rPr>
              <w:t xml:space="preserve"> App almost ready for wider roll out to farmer/crofter use in Q1-3 2024/25. </w:t>
            </w:r>
          </w:p>
          <w:p w14:paraId="1D0345E7" w14:textId="2727171B" w:rsidR="00940A53" w:rsidRPr="004D675C" w:rsidRDefault="00644AF5" w:rsidP="00644AF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644AF5">
              <w:rPr>
                <w:rFonts w:ascii="Calibri" w:hAnsi="Calibri" w:cs="Calibri"/>
                <w:szCs w:val="24"/>
              </w:rPr>
              <w:lastRenderedPageBreak/>
              <w:t>Contributed to the proposed</w:t>
            </w:r>
            <w:r>
              <w:rPr>
                <w:rFonts w:ascii="Calibri" w:hAnsi="Calibri" w:cs="Calibri"/>
                <w:szCs w:val="24"/>
              </w:rPr>
              <w:t xml:space="preserve"> 4 tier</w:t>
            </w:r>
            <w:r w:rsidRPr="00644AF5">
              <w:rPr>
                <w:rFonts w:ascii="Calibri" w:hAnsi="Calibri" w:cs="Calibri"/>
                <w:szCs w:val="24"/>
              </w:rPr>
              <w:t xml:space="preserve"> division of future agriculture support payments within the Rural Support Plan of the Agriculture Reform Programme</w:t>
            </w:r>
            <w:r w:rsidR="007646BB">
              <w:rPr>
                <w:rFonts w:ascii="Calibri" w:hAnsi="Calibri" w:cs="Calibri"/>
                <w:szCs w:val="24"/>
              </w:rPr>
              <w:t>.</w:t>
            </w:r>
            <w:r w:rsidRPr="00644AF5">
              <w:rPr>
                <w:rFonts w:ascii="Calibri" w:hAnsi="Calibri" w:cs="Calibri"/>
                <w:szCs w:val="24"/>
              </w:rPr>
              <w:t xml:space="preserve"> </w:t>
            </w:r>
            <w:r w:rsidR="0087617D" w:rsidRPr="001F21FE">
              <w:rPr>
                <w:rFonts w:ascii="Calibri" w:hAnsi="Calibri" w:cs="Calibri"/>
                <w:szCs w:val="24"/>
              </w:rPr>
              <w:t xml:space="preserve"> </w:t>
            </w:r>
            <w:r w:rsidR="0087617D">
              <w:rPr>
                <w:rFonts w:ascii="Calibri" w:hAnsi="Calibri" w:cs="Calibri"/>
                <w:szCs w:val="24"/>
              </w:rPr>
              <w:t xml:space="preserve"> </w:t>
            </w:r>
          </w:p>
        </w:tc>
      </w:tr>
    </w:tbl>
    <w:p w14:paraId="71CE70A7" w14:textId="32056C08" w:rsidR="00F0315A" w:rsidRDefault="00F0315A">
      <w:pPr>
        <w:rPr>
          <w:rFonts w:ascii="Calibri" w:eastAsiaTheme="majorEastAsia" w:hAnsi="Calibri" w:cs="Calibri"/>
          <w:b/>
          <w:szCs w:val="26"/>
        </w:rPr>
      </w:pPr>
    </w:p>
    <w:p w14:paraId="7F29C7D6" w14:textId="176DFEA3" w:rsidR="008D20BE" w:rsidRPr="00F550D1" w:rsidRDefault="008D20BE" w:rsidP="008D20BE">
      <w:pPr>
        <w:keepNext/>
        <w:keepLines/>
        <w:shd w:val="clear" w:color="auto" w:fill="007DC3"/>
        <w:spacing w:before="40" w:after="0" w:line="259" w:lineRule="auto"/>
        <w:jc w:val="center"/>
        <w:outlineLvl w:val="1"/>
        <w:rPr>
          <w:rFonts w:ascii="Calibri" w:eastAsiaTheme="majorEastAsia" w:hAnsi="Calibri" w:cs="Calibri"/>
          <w:b/>
          <w:szCs w:val="26"/>
        </w:rPr>
      </w:pPr>
      <w:r w:rsidRPr="00F550D1">
        <w:rPr>
          <w:rFonts w:ascii="Calibri" w:eastAsiaTheme="majorEastAsia" w:hAnsi="Calibri" w:cs="Calibri"/>
          <w:b/>
          <w:szCs w:val="26"/>
        </w:rPr>
        <w:t>THE VALUE OF NATURE IS RECOGNISED</w:t>
      </w:r>
    </w:p>
    <w:tbl>
      <w:tblPr>
        <w:tblStyle w:val="PlainTable1"/>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559"/>
        <w:gridCol w:w="993"/>
        <w:gridCol w:w="8466"/>
      </w:tblGrid>
      <w:tr w:rsidR="008D20BE" w:rsidRPr="00F550D1" w14:paraId="6255B615" w14:textId="77777777" w:rsidTr="00041A5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0E46245" w14:textId="77777777" w:rsidR="008D20BE" w:rsidRPr="00F550D1" w:rsidRDefault="008D20BE" w:rsidP="008D20BE">
            <w:pPr>
              <w:jc w:val="center"/>
              <w:rPr>
                <w:rFonts w:ascii="Calibri" w:hAnsi="Calibri" w:cs="Calibri"/>
                <w:szCs w:val="26"/>
              </w:rPr>
            </w:pPr>
            <w:r w:rsidRPr="00F550D1">
              <w:rPr>
                <w:rFonts w:ascii="Calibri" w:hAnsi="Calibri" w:cs="Calibri"/>
                <w:szCs w:val="26"/>
              </w:rPr>
              <w:t>CORPORATE PLAN OBJECTIVE</w:t>
            </w:r>
          </w:p>
        </w:tc>
        <w:tc>
          <w:tcPr>
            <w:tcW w:w="1559" w:type="dxa"/>
            <w:vAlign w:val="center"/>
          </w:tcPr>
          <w:p w14:paraId="549A988D"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49DB4EDC"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466" w:type="dxa"/>
            <w:vAlign w:val="center"/>
          </w:tcPr>
          <w:p w14:paraId="7D6D39F7" w14:textId="5DE40967" w:rsidR="008D20BE" w:rsidRPr="00F550D1" w:rsidRDefault="00701FAD"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582D93">
              <w:rPr>
                <w:rFonts w:ascii="Calibri" w:hAnsi="Calibri" w:cs="Calibri"/>
                <w:szCs w:val="26"/>
              </w:rPr>
              <w:t>4</w:t>
            </w:r>
            <w:r w:rsidR="008D20BE" w:rsidRPr="00F550D1">
              <w:rPr>
                <w:rFonts w:ascii="Calibri" w:hAnsi="Calibri" w:cs="Calibri"/>
                <w:szCs w:val="26"/>
              </w:rPr>
              <w:t xml:space="preserve"> UPDATE</w:t>
            </w:r>
          </w:p>
        </w:tc>
      </w:tr>
      <w:tr w:rsidR="008D20BE" w:rsidRPr="00F550D1" w14:paraId="1919863C" w14:textId="77777777" w:rsidTr="0004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D373F7D" w14:textId="77777777" w:rsidR="008D20BE" w:rsidRPr="00B837E7" w:rsidRDefault="008D20BE" w:rsidP="008D20BE">
            <w:pPr>
              <w:rPr>
                <w:rFonts w:ascii="Calibri" w:hAnsi="Calibri" w:cs="Calibri"/>
                <w:b w:val="0"/>
                <w:color w:val="000000"/>
                <w:szCs w:val="24"/>
              </w:rPr>
            </w:pPr>
            <w:r w:rsidRPr="00B837E7">
              <w:rPr>
                <w:rFonts w:ascii="Calibri" w:hAnsi="Calibri" w:cs="Calibri"/>
                <w:b w:val="0"/>
                <w:color w:val="000000"/>
                <w:szCs w:val="24"/>
              </w:rPr>
              <w:t>Inspire people to connect with nature, increasing appreciation of nature’s value through impactful delivery and communication of our work</w:t>
            </w:r>
          </w:p>
        </w:tc>
        <w:tc>
          <w:tcPr>
            <w:tcW w:w="1559" w:type="dxa"/>
            <w:vAlign w:val="center"/>
          </w:tcPr>
          <w:p w14:paraId="1B8B5B8E"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Nick Halfhide</w:t>
            </w:r>
          </w:p>
        </w:tc>
        <w:tc>
          <w:tcPr>
            <w:tcW w:w="993" w:type="dxa"/>
            <w:shd w:val="clear" w:color="auto" w:fill="9BBB59" w:themeFill="accent3"/>
            <w:vAlign w:val="center"/>
          </w:tcPr>
          <w:p w14:paraId="4C441274" w14:textId="69B2451D" w:rsidR="008D20BE" w:rsidRPr="00F550D1" w:rsidRDefault="00F50321"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szCs w:val="24"/>
              </w:rPr>
              <w:t>GREEN</w:t>
            </w:r>
          </w:p>
        </w:tc>
        <w:tc>
          <w:tcPr>
            <w:tcW w:w="8466" w:type="dxa"/>
            <w:vAlign w:val="center"/>
          </w:tcPr>
          <w:p w14:paraId="099D05A2" w14:textId="70E8B9DD" w:rsidR="0047415A" w:rsidRDefault="00644AF5" w:rsidP="00D3004F">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47415A">
              <w:rPr>
                <w:rFonts w:ascii="Calibri" w:hAnsi="Calibri" w:cs="Calibri"/>
                <w:color w:val="000000"/>
                <w:szCs w:val="24"/>
              </w:rPr>
              <w:t>F</w:t>
            </w:r>
            <w:r w:rsidR="00F50321" w:rsidRPr="0047415A">
              <w:rPr>
                <w:rFonts w:ascii="Calibri" w:hAnsi="Calibri" w:cs="Calibri"/>
                <w:color w:val="000000"/>
                <w:szCs w:val="24"/>
              </w:rPr>
              <w:t>inalise</w:t>
            </w:r>
            <w:r w:rsidR="00421502" w:rsidRPr="0047415A">
              <w:rPr>
                <w:rFonts w:ascii="Calibri" w:hAnsi="Calibri" w:cs="Calibri"/>
                <w:color w:val="000000"/>
                <w:szCs w:val="24"/>
              </w:rPr>
              <w:t>d</w:t>
            </w:r>
            <w:r w:rsidR="00F50321" w:rsidRPr="0047415A">
              <w:rPr>
                <w:rFonts w:ascii="Calibri" w:hAnsi="Calibri" w:cs="Calibri"/>
                <w:color w:val="000000"/>
                <w:szCs w:val="24"/>
              </w:rPr>
              <w:t xml:space="preserve"> all evidence submission</w:t>
            </w:r>
            <w:r w:rsidRPr="0047415A">
              <w:rPr>
                <w:rFonts w:ascii="Calibri" w:hAnsi="Calibri" w:cs="Calibri"/>
                <w:color w:val="000000"/>
                <w:szCs w:val="24"/>
              </w:rPr>
              <w:t>s</w:t>
            </w:r>
            <w:r w:rsidR="00F50321" w:rsidRPr="0047415A">
              <w:rPr>
                <w:rFonts w:ascii="Calibri" w:hAnsi="Calibri" w:cs="Calibri"/>
                <w:color w:val="000000"/>
                <w:szCs w:val="24"/>
              </w:rPr>
              <w:t xml:space="preserve"> </w:t>
            </w:r>
            <w:r w:rsidRPr="0047415A">
              <w:rPr>
                <w:rFonts w:ascii="Calibri" w:hAnsi="Calibri" w:cs="Calibri"/>
                <w:color w:val="000000"/>
                <w:szCs w:val="24"/>
              </w:rPr>
              <w:t xml:space="preserve">on structural funds </w:t>
            </w:r>
            <w:r w:rsidR="00F50321" w:rsidRPr="0047415A">
              <w:rPr>
                <w:rFonts w:ascii="Calibri" w:hAnsi="Calibri" w:cs="Calibri"/>
                <w:color w:val="000000"/>
                <w:szCs w:val="24"/>
              </w:rPr>
              <w:t>for claims and submit</w:t>
            </w:r>
            <w:r w:rsidRPr="0047415A">
              <w:rPr>
                <w:rFonts w:ascii="Calibri" w:hAnsi="Calibri" w:cs="Calibri"/>
                <w:color w:val="000000"/>
                <w:szCs w:val="24"/>
              </w:rPr>
              <w:t>ted</w:t>
            </w:r>
            <w:r w:rsidR="00F50321" w:rsidRPr="0047415A">
              <w:rPr>
                <w:rFonts w:ascii="Calibri" w:hAnsi="Calibri" w:cs="Calibri"/>
                <w:color w:val="000000"/>
                <w:szCs w:val="24"/>
              </w:rPr>
              <w:t xml:space="preserve"> final </w:t>
            </w:r>
            <w:r w:rsidRPr="0047415A">
              <w:rPr>
                <w:rFonts w:ascii="Calibri" w:hAnsi="Calibri" w:cs="Calibri"/>
                <w:color w:val="000000"/>
                <w:szCs w:val="24"/>
              </w:rPr>
              <w:t>claim,</w:t>
            </w:r>
            <w:r w:rsidR="00F50321" w:rsidRPr="0047415A">
              <w:rPr>
                <w:rFonts w:ascii="Calibri" w:hAnsi="Calibri" w:cs="Calibri"/>
                <w:color w:val="000000"/>
                <w:szCs w:val="24"/>
              </w:rPr>
              <w:t xml:space="preserve"> on-going wind up and reporting in progress.</w:t>
            </w:r>
          </w:p>
          <w:p w14:paraId="06048ED6" w14:textId="595AC0A3" w:rsidR="00D3004F" w:rsidRPr="00D3004F" w:rsidRDefault="00421502" w:rsidP="00D3004F">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C</w:t>
            </w:r>
            <w:r w:rsidR="00D3004F" w:rsidRPr="00D3004F">
              <w:rPr>
                <w:rFonts w:ascii="Calibri" w:hAnsi="Calibri" w:cs="Calibri"/>
                <w:color w:val="000000"/>
                <w:szCs w:val="24"/>
              </w:rPr>
              <w:t xml:space="preserve">ompleted </w:t>
            </w:r>
            <w:r>
              <w:rPr>
                <w:rFonts w:ascii="Calibri" w:hAnsi="Calibri" w:cs="Calibri"/>
                <w:color w:val="000000"/>
                <w:szCs w:val="24"/>
              </w:rPr>
              <w:t>visitor management</w:t>
            </w:r>
            <w:r w:rsidR="00644AF5">
              <w:rPr>
                <w:rFonts w:ascii="Calibri" w:hAnsi="Calibri" w:cs="Calibri"/>
                <w:color w:val="000000"/>
                <w:szCs w:val="24"/>
              </w:rPr>
              <w:t xml:space="preserve"> </w:t>
            </w:r>
            <w:r w:rsidR="00D3004F" w:rsidRPr="00D3004F">
              <w:rPr>
                <w:rFonts w:ascii="Calibri" w:hAnsi="Calibri" w:cs="Calibri"/>
                <w:color w:val="000000"/>
                <w:szCs w:val="24"/>
              </w:rPr>
              <w:t xml:space="preserve">action plan, signed off by Steering Group. The Better Places Fund has </w:t>
            </w:r>
            <w:r w:rsidR="007525DF">
              <w:rPr>
                <w:rFonts w:ascii="Calibri" w:hAnsi="Calibri" w:cs="Calibri"/>
                <w:color w:val="000000"/>
                <w:szCs w:val="24"/>
              </w:rPr>
              <w:t>concluded</w:t>
            </w:r>
            <w:r w:rsidR="00D3004F" w:rsidRPr="00D3004F">
              <w:rPr>
                <w:rFonts w:ascii="Calibri" w:hAnsi="Calibri" w:cs="Calibri"/>
                <w:color w:val="000000"/>
                <w:szCs w:val="24"/>
              </w:rPr>
              <w:t>.</w:t>
            </w:r>
          </w:p>
          <w:p w14:paraId="77E850CD" w14:textId="1E866F65" w:rsidR="00D3004F" w:rsidRPr="00D3004F" w:rsidRDefault="00421502" w:rsidP="00D3004F">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L</w:t>
            </w:r>
            <w:r w:rsidR="00D3004F" w:rsidRPr="00D3004F">
              <w:rPr>
                <w:rFonts w:ascii="Calibri" w:hAnsi="Calibri" w:cs="Calibri"/>
                <w:color w:val="000000"/>
                <w:szCs w:val="24"/>
              </w:rPr>
              <w:t xml:space="preserve">ast element of </w:t>
            </w:r>
            <w:r>
              <w:rPr>
                <w:rFonts w:ascii="Calibri" w:hAnsi="Calibri" w:cs="Calibri"/>
                <w:color w:val="000000"/>
                <w:szCs w:val="24"/>
              </w:rPr>
              <w:t xml:space="preserve">Scottish Outdoor Access Code (SOAC) </w:t>
            </w:r>
            <w:r w:rsidR="00D3004F" w:rsidRPr="00D3004F">
              <w:rPr>
                <w:rFonts w:ascii="Calibri" w:hAnsi="Calibri" w:cs="Calibri"/>
                <w:color w:val="000000"/>
                <w:szCs w:val="24"/>
              </w:rPr>
              <w:t>spring campaign delivered.</w:t>
            </w:r>
          </w:p>
          <w:p w14:paraId="4D29051D" w14:textId="7C1033B7" w:rsidR="00D3004F" w:rsidRPr="00D3004F" w:rsidRDefault="00421502" w:rsidP="00D3004F">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C</w:t>
            </w:r>
            <w:r w:rsidR="006D042E" w:rsidRPr="006D042E">
              <w:rPr>
                <w:rFonts w:ascii="Calibri" w:hAnsi="Calibri" w:cs="Calibri"/>
                <w:color w:val="000000"/>
                <w:szCs w:val="24"/>
              </w:rPr>
              <w:t>ompletion of Nature Discovery Scotland Map delayed but on track to launch in Q1</w:t>
            </w:r>
            <w:r w:rsidR="00F24BC1">
              <w:rPr>
                <w:rFonts w:ascii="Calibri" w:hAnsi="Calibri" w:cs="Calibri"/>
                <w:color w:val="000000"/>
                <w:szCs w:val="24"/>
              </w:rPr>
              <w:t xml:space="preserve"> </w:t>
            </w:r>
            <w:r w:rsidR="00854600">
              <w:rPr>
                <w:rFonts w:ascii="Calibri" w:hAnsi="Calibri" w:cs="Calibri"/>
                <w:color w:val="000000"/>
                <w:szCs w:val="24"/>
              </w:rPr>
              <w:t>2024</w:t>
            </w:r>
            <w:r w:rsidR="00F24BC1">
              <w:rPr>
                <w:rFonts w:ascii="Calibri" w:hAnsi="Calibri" w:cs="Calibri"/>
                <w:color w:val="000000"/>
                <w:szCs w:val="24"/>
              </w:rPr>
              <w:t>/</w:t>
            </w:r>
            <w:r w:rsidR="00854600">
              <w:rPr>
                <w:rFonts w:ascii="Calibri" w:hAnsi="Calibri" w:cs="Calibri"/>
                <w:color w:val="000000"/>
                <w:szCs w:val="24"/>
              </w:rPr>
              <w:t>25</w:t>
            </w:r>
            <w:r w:rsidR="00644AF5" w:rsidRPr="006D042E">
              <w:rPr>
                <w:rFonts w:ascii="Calibri" w:hAnsi="Calibri" w:cs="Calibri"/>
                <w:color w:val="000000"/>
                <w:szCs w:val="24"/>
              </w:rPr>
              <w:t>.</w:t>
            </w:r>
          </w:p>
          <w:p w14:paraId="16175B62" w14:textId="3DE86824" w:rsidR="00454B23" w:rsidRPr="00644AF5" w:rsidRDefault="00421502" w:rsidP="00644AF5">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P</w:t>
            </w:r>
            <w:r w:rsidR="00D3004F" w:rsidRPr="00D3004F">
              <w:rPr>
                <w:rFonts w:ascii="Calibri" w:hAnsi="Calibri" w:cs="Calibri"/>
                <w:color w:val="000000"/>
                <w:szCs w:val="24"/>
              </w:rPr>
              <w:t>ubli</w:t>
            </w:r>
            <w:r>
              <w:rPr>
                <w:rFonts w:ascii="Calibri" w:hAnsi="Calibri" w:cs="Calibri"/>
                <w:color w:val="000000"/>
                <w:szCs w:val="24"/>
              </w:rPr>
              <w:t>cation of</w:t>
            </w:r>
            <w:r w:rsidR="00D3004F" w:rsidRPr="00D3004F">
              <w:rPr>
                <w:rFonts w:ascii="Calibri" w:hAnsi="Calibri" w:cs="Calibri"/>
                <w:color w:val="000000"/>
                <w:szCs w:val="24"/>
              </w:rPr>
              <w:t xml:space="preserve"> new guidance on landscape character</w:t>
            </w:r>
            <w:r>
              <w:rPr>
                <w:rFonts w:ascii="Calibri" w:hAnsi="Calibri" w:cs="Calibri"/>
                <w:color w:val="000000"/>
                <w:szCs w:val="24"/>
              </w:rPr>
              <w:t xml:space="preserve"> is</w:t>
            </w:r>
            <w:r w:rsidR="00D3004F" w:rsidRPr="00D3004F">
              <w:rPr>
                <w:rFonts w:ascii="Calibri" w:hAnsi="Calibri" w:cs="Calibri"/>
                <w:color w:val="000000"/>
                <w:szCs w:val="24"/>
              </w:rPr>
              <w:t xml:space="preserve"> delayed to 2024/25 to align with work currently underway by Natural England.</w:t>
            </w:r>
          </w:p>
        </w:tc>
      </w:tr>
      <w:tr w:rsidR="008D20BE" w:rsidRPr="00F550D1" w14:paraId="553D576D" w14:textId="77777777" w:rsidTr="006A44C2">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33F7827" w14:textId="77777777" w:rsidR="008D20BE" w:rsidRPr="004F3330" w:rsidRDefault="008D20BE" w:rsidP="008D20BE">
            <w:pPr>
              <w:rPr>
                <w:rFonts w:ascii="Calibri" w:hAnsi="Calibri" w:cs="Calibri"/>
                <w:b w:val="0"/>
                <w:color w:val="000000"/>
                <w:szCs w:val="24"/>
                <w:highlight w:val="yellow"/>
              </w:rPr>
            </w:pPr>
            <w:r w:rsidRPr="00014497">
              <w:rPr>
                <w:rFonts w:ascii="Calibri" w:hAnsi="Calibri" w:cs="Calibri"/>
                <w:b w:val="0"/>
                <w:color w:val="000000"/>
                <w:szCs w:val="24"/>
              </w:rPr>
              <w:t>Influence the regulatory, policy, market and institutional infrastructure needed to stimulate private sector investment into nature</w:t>
            </w:r>
          </w:p>
        </w:tc>
        <w:tc>
          <w:tcPr>
            <w:tcW w:w="1559" w:type="dxa"/>
            <w:vAlign w:val="center"/>
          </w:tcPr>
          <w:p w14:paraId="34F1272B"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Robbie Kernahan</w:t>
            </w:r>
          </w:p>
        </w:tc>
        <w:tc>
          <w:tcPr>
            <w:tcW w:w="993" w:type="dxa"/>
            <w:shd w:val="clear" w:color="auto" w:fill="9BBB59" w:themeFill="accent3"/>
            <w:vAlign w:val="center"/>
          </w:tcPr>
          <w:p w14:paraId="22785C8A"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tcPr>
          <w:p w14:paraId="04FEA746" w14:textId="20AE06CE" w:rsidR="005455BF" w:rsidRPr="005455BF" w:rsidRDefault="005455BF" w:rsidP="006A44C2">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5455BF">
              <w:rPr>
                <w:rFonts w:ascii="Calibri" w:hAnsi="Calibri" w:cs="Calibri"/>
                <w:color w:val="000000"/>
                <w:szCs w:val="24"/>
              </w:rPr>
              <w:t xml:space="preserve">£2.1m contract with </w:t>
            </w:r>
            <w:r w:rsidR="00A25A27" w:rsidRPr="00A25A27">
              <w:rPr>
                <w:rFonts w:ascii="Calibri" w:hAnsi="Calibri" w:cs="Calibri"/>
                <w:color w:val="000000"/>
                <w:szCs w:val="24"/>
              </w:rPr>
              <w:t xml:space="preserve">Scottish and Southern Electricity Networks </w:t>
            </w:r>
            <w:r w:rsidR="00A25A27">
              <w:rPr>
                <w:rFonts w:ascii="Calibri" w:hAnsi="Calibri" w:cs="Calibri"/>
                <w:color w:val="000000"/>
                <w:szCs w:val="24"/>
              </w:rPr>
              <w:t>(</w:t>
            </w:r>
            <w:r w:rsidRPr="005455BF">
              <w:rPr>
                <w:rFonts w:ascii="Calibri" w:hAnsi="Calibri" w:cs="Calibri"/>
                <w:color w:val="000000"/>
                <w:szCs w:val="24"/>
              </w:rPr>
              <w:t>SSEN</w:t>
            </w:r>
            <w:r w:rsidR="00A25A27">
              <w:rPr>
                <w:rFonts w:ascii="Calibri" w:hAnsi="Calibri" w:cs="Calibri"/>
                <w:color w:val="000000"/>
                <w:szCs w:val="24"/>
              </w:rPr>
              <w:t>)</w:t>
            </w:r>
            <w:r w:rsidRPr="005455BF">
              <w:rPr>
                <w:rFonts w:ascii="Calibri" w:hAnsi="Calibri" w:cs="Calibri"/>
                <w:color w:val="000000"/>
                <w:szCs w:val="24"/>
              </w:rPr>
              <w:t xml:space="preserve"> to plant 14ha of seagrass. </w:t>
            </w:r>
          </w:p>
          <w:p w14:paraId="559EA906" w14:textId="49297119" w:rsidR="005455BF" w:rsidRPr="005455BF" w:rsidRDefault="005455BF" w:rsidP="006A44C2">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5455BF">
              <w:rPr>
                <w:rFonts w:ascii="Calibri" w:hAnsi="Calibri" w:cs="Calibri"/>
                <w:color w:val="000000"/>
                <w:szCs w:val="24"/>
              </w:rPr>
              <w:t xml:space="preserve">Received 14 applications in </w:t>
            </w:r>
            <w:r w:rsidR="00421502" w:rsidRPr="005455BF">
              <w:rPr>
                <w:rFonts w:ascii="Calibri" w:hAnsi="Calibri" w:cs="Calibri"/>
                <w:color w:val="000000"/>
                <w:szCs w:val="24"/>
              </w:rPr>
              <w:t>Facility for Investment Ready Nature in Scotland (FIRNS</w:t>
            </w:r>
            <w:r w:rsidR="00421502">
              <w:rPr>
                <w:rFonts w:ascii="Calibri" w:hAnsi="Calibri" w:cs="Calibri"/>
                <w:color w:val="000000"/>
                <w:szCs w:val="24"/>
              </w:rPr>
              <w:t>)</w:t>
            </w:r>
            <w:r w:rsidR="006A44C2">
              <w:rPr>
                <w:rFonts w:ascii="Calibri" w:hAnsi="Calibri" w:cs="Calibri"/>
                <w:color w:val="000000"/>
                <w:szCs w:val="24"/>
              </w:rPr>
              <w:t>.</w:t>
            </w:r>
          </w:p>
          <w:p w14:paraId="53208750" w14:textId="183DCB48" w:rsidR="005455BF" w:rsidRPr="005455BF" w:rsidRDefault="005455BF" w:rsidP="006A44C2">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5455BF">
              <w:rPr>
                <w:rFonts w:ascii="Calibri" w:hAnsi="Calibri" w:cs="Calibri"/>
                <w:color w:val="000000"/>
                <w:szCs w:val="24"/>
              </w:rPr>
              <w:t xml:space="preserve">Started the design phase of the </w:t>
            </w:r>
            <w:r w:rsidR="0053560F">
              <w:rPr>
                <w:rFonts w:ascii="Calibri" w:hAnsi="Calibri" w:cs="Calibri"/>
                <w:color w:val="000000"/>
                <w:szCs w:val="24"/>
              </w:rPr>
              <w:t>Wild Heart Expansion Project (</w:t>
            </w:r>
            <w:r w:rsidRPr="005455BF">
              <w:rPr>
                <w:rFonts w:ascii="Calibri" w:hAnsi="Calibri" w:cs="Calibri"/>
                <w:color w:val="000000"/>
                <w:szCs w:val="24"/>
              </w:rPr>
              <w:t>WHEP</w:t>
            </w:r>
            <w:r w:rsidR="0053560F">
              <w:rPr>
                <w:rFonts w:ascii="Calibri" w:hAnsi="Calibri" w:cs="Calibri"/>
                <w:color w:val="000000"/>
                <w:szCs w:val="24"/>
              </w:rPr>
              <w:t>)</w:t>
            </w:r>
            <w:r w:rsidRPr="005455BF">
              <w:rPr>
                <w:rFonts w:ascii="Calibri" w:hAnsi="Calibri" w:cs="Calibri"/>
                <w:color w:val="000000"/>
                <w:szCs w:val="24"/>
              </w:rPr>
              <w:t xml:space="preserve"> project, having attracted £155k of funding for </w:t>
            </w:r>
            <w:r w:rsidR="0053560F" w:rsidRPr="0053560F">
              <w:rPr>
                <w:rFonts w:ascii="Calibri" w:hAnsi="Calibri" w:cs="Calibri"/>
                <w:color w:val="000000"/>
                <w:szCs w:val="24"/>
              </w:rPr>
              <w:t xml:space="preserve">South of Scotland Enterprise </w:t>
            </w:r>
            <w:r w:rsidR="0053560F">
              <w:rPr>
                <w:rFonts w:ascii="Calibri" w:hAnsi="Calibri" w:cs="Calibri"/>
                <w:color w:val="000000"/>
                <w:szCs w:val="24"/>
              </w:rPr>
              <w:t>(</w:t>
            </w:r>
            <w:r w:rsidRPr="005455BF">
              <w:rPr>
                <w:rFonts w:ascii="Calibri" w:hAnsi="Calibri" w:cs="Calibri"/>
                <w:color w:val="000000"/>
                <w:szCs w:val="24"/>
              </w:rPr>
              <w:t>SOSE</w:t>
            </w:r>
            <w:r w:rsidR="0053560F">
              <w:rPr>
                <w:rFonts w:ascii="Calibri" w:hAnsi="Calibri" w:cs="Calibri"/>
                <w:color w:val="000000"/>
                <w:szCs w:val="24"/>
              </w:rPr>
              <w:t>)</w:t>
            </w:r>
            <w:r w:rsidRPr="005455BF">
              <w:rPr>
                <w:rFonts w:ascii="Calibri" w:hAnsi="Calibri" w:cs="Calibri"/>
                <w:color w:val="000000"/>
                <w:szCs w:val="24"/>
              </w:rPr>
              <w:t xml:space="preserve"> and other agencies.</w:t>
            </w:r>
          </w:p>
          <w:p w14:paraId="5276DAE5" w14:textId="48A65DB0" w:rsidR="005455BF" w:rsidRPr="005455BF" w:rsidRDefault="00E872AB" w:rsidP="006A44C2">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Pr>
                <w:rFonts w:ascii="Calibri" w:hAnsi="Calibri" w:cs="Calibri"/>
                <w:color w:val="000000"/>
                <w:szCs w:val="24"/>
              </w:rPr>
              <w:t>Governance established for The Flow Country Partnership and i</w:t>
            </w:r>
            <w:r w:rsidR="005455BF" w:rsidRPr="005455BF">
              <w:rPr>
                <w:rFonts w:ascii="Calibri" w:hAnsi="Calibri" w:cs="Calibri"/>
                <w:color w:val="000000"/>
                <w:szCs w:val="24"/>
              </w:rPr>
              <w:t>nvestor exploratory meetings held, info</w:t>
            </w:r>
            <w:r w:rsidR="00854600">
              <w:rPr>
                <w:rFonts w:ascii="Calibri" w:hAnsi="Calibri" w:cs="Calibri"/>
                <w:color w:val="000000"/>
                <w:szCs w:val="24"/>
              </w:rPr>
              <w:t>rmation</w:t>
            </w:r>
            <w:r w:rsidR="005455BF" w:rsidRPr="005455BF">
              <w:rPr>
                <w:rFonts w:ascii="Calibri" w:hAnsi="Calibri" w:cs="Calibri"/>
                <w:color w:val="000000"/>
                <w:szCs w:val="24"/>
              </w:rPr>
              <w:t xml:space="preserve"> shared and specific follow up meetings planned.</w:t>
            </w:r>
          </w:p>
          <w:p w14:paraId="13A25256" w14:textId="1F3E641D" w:rsidR="00420463" w:rsidRPr="00467896" w:rsidRDefault="00420463" w:rsidP="006A44C2">
            <w:pPr>
              <w:ind w:left="36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p>
        </w:tc>
      </w:tr>
      <w:tr w:rsidR="008D20BE" w:rsidRPr="00F550D1" w14:paraId="46323132" w14:textId="77777777" w:rsidTr="004F333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D4FD48E" w14:textId="77777777" w:rsidR="008D20BE" w:rsidRPr="00F550D1" w:rsidRDefault="008D20BE" w:rsidP="008D20BE">
            <w:pPr>
              <w:rPr>
                <w:rFonts w:ascii="Calibri" w:hAnsi="Calibri" w:cs="Calibri"/>
                <w:b w:val="0"/>
                <w:color w:val="000000"/>
                <w:szCs w:val="24"/>
              </w:rPr>
            </w:pPr>
            <w:r w:rsidRPr="005C611D">
              <w:rPr>
                <w:rFonts w:ascii="Calibri" w:hAnsi="Calibri" w:cs="Calibri"/>
                <w:b w:val="0"/>
                <w:color w:val="000000"/>
                <w:szCs w:val="24"/>
              </w:rPr>
              <w:t xml:space="preserve">Drive the establishment of Natural Capital as an integral part </w:t>
            </w:r>
            <w:r w:rsidRPr="005C611D">
              <w:rPr>
                <w:rFonts w:ascii="Calibri" w:hAnsi="Calibri" w:cs="Calibri"/>
                <w:b w:val="0"/>
                <w:color w:val="000000"/>
                <w:szCs w:val="24"/>
              </w:rPr>
              <w:lastRenderedPageBreak/>
              <w:t>of public and private business planning and investment decisions at national, landscape and landholding/business scales</w:t>
            </w:r>
          </w:p>
        </w:tc>
        <w:tc>
          <w:tcPr>
            <w:tcW w:w="1559" w:type="dxa"/>
            <w:vAlign w:val="center"/>
          </w:tcPr>
          <w:p w14:paraId="6A9A0AE6"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lastRenderedPageBreak/>
              <w:t>Robbie Kernahan</w:t>
            </w:r>
          </w:p>
        </w:tc>
        <w:tc>
          <w:tcPr>
            <w:tcW w:w="993" w:type="dxa"/>
            <w:shd w:val="clear" w:color="auto" w:fill="9BBB59" w:themeFill="accent3"/>
            <w:vAlign w:val="center"/>
          </w:tcPr>
          <w:p w14:paraId="32A1060D" w14:textId="77777777" w:rsidR="008D20BE" w:rsidRPr="00F550D1" w:rsidRDefault="008D20BE"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4F5645D8" w14:textId="558CD47F" w:rsidR="005455BF" w:rsidRPr="005455BF" w:rsidRDefault="008D507C" w:rsidP="005455BF">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Pr>
                <w:rStyle w:val="ui-provider"/>
              </w:rPr>
              <w:t xml:space="preserve">Developed the prototype landscape </w:t>
            </w:r>
            <w:r w:rsidR="0053560F">
              <w:rPr>
                <w:rStyle w:val="ui-provider"/>
              </w:rPr>
              <w:t xml:space="preserve">Natural Capital </w:t>
            </w:r>
            <w:r>
              <w:rPr>
                <w:rStyle w:val="ui-provider"/>
              </w:rPr>
              <w:t>tool ready for testing.</w:t>
            </w:r>
          </w:p>
          <w:p w14:paraId="3BC24BA2" w14:textId="7201F5A5" w:rsidR="005455BF" w:rsidRPr="005455BF" w:rsidRDefault="005455BF" w:rsidP="005455BF">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5455BF">
              <w:rPr>
                <w:rFonts w:ascii="Calibri" w:hAnsi="Calibri" w:cs="Calibri"/>
                <w:color w:val="000000"/>
                <w:szCs w:val="24"/>
              </w:rPr>
              <w:lastRenderedPageBreak/>
              <w:t>Supported growth of</w:t>
            </w:r>
            <w:r w:rsidR="0053560F">
              <w:rPr>
                <w:rFonts w:ascii="Calibri" w:hAnsi="Calibri" w:cs="Calibri"/>
                <w:color w:val="000000"/>
                <w:szCs w:val="24"/>
              </w:rPr>
              <w:t xml:space="preserve"> </w:t>
            </w:r>
            <w:r w:rsidR="0053560F" w:rsidRPr="0053560F">
              <w:rPr>
                <w:rFonts w:ascii="Calibri" w:hAnsi="Calibri" w:cs="Calibri"/>
                <w:color w:val="000000"/>
                <w:szCs w:val="24"/>
              </w:rPr>
              <w:t>Scottish Forum on Natural Capital</w:t>
            </w:r>
            <w:r w:rsidR="0053560F">
              <w:rPr>
                <w:rFonts w:ascii="Calibri" w:hAnsi="Calibri" w:cs="Calibri"/>
                <w:color w:val="000000"/>
                <w:szCs w:val="24"/>
              </w:rPr>
              <w:t xml:space="preserve"> (</w:t>
            </w:r>
            <w:r w:rsidRPr="005455BF">
              <w:rPr>
                <w:rFonts w:ascii="Calibri" w:hAnsi="Calibri" w:cs="Calibri"/>
                <w:color w:val="000000"/>
                <w:szCs w:val="24"/>
              </w:rPr>
              <w:t>SFNC</w:t>
            </w:r>
            <w:r w:rsidR="0053560F">
              <w:rPr>
                <w:rFonts w:ascii="Calibri" w:hAnsi="Calibri" w:cs="Calibri"/>
                <w:color w:val="000000"/>
                <w:szCs w:val="24"/>
              </w:rPr>
              <w:t>)</w:t>
            </w:r>
            <w:r w:rsidRPr="005455BF">
              <w:rPr>
                <w:rFonts w:ascii="Calibri" w:hAnsi="Calibri" w:cs="Calibri"/>
                <w:color w:val="000000"/>
                <w:szCs w:val="24"/>
              </w:rPr>
              <w:t xml:space="preserve"> hub-of-hubs, participated in the new Digital Enablers hub and represent</w:t>
            </w:r>
            <w:r w:rsidR="007646BB">
              <w:rPr>
                <w:rFonts w:ascii="Calibri" w:hAnsi="Calibri" w:cs="Calibri"/>
                <w:color w:val="000000"/>
                <w:szCs w:val="24"/>
              </w:rPr>
              <w:t>ed</w:t>
            </w:r>
            <w:r w:rsidRPr="005455BF">
              <w:rPr>
                <w:rFonts w:ascii="Calibri" w:hAnsi="Calibri" w:cs="Calibri"/>
                <w:color w:val="000000"/>
                <w:szCs w:val="24"/>
              </w:rPr>
              <w:t xml:space="preserve"> the Marine Navigators hub on the SFNC steering group</w:t>
            </w:r>
            <w:r w:rsidR="0047415A">
              <w:rPr>
                <w:rFonts w:ascii="Calibri" w:hAnsi="Calibri" w:cs="Calibri"/>
                <w:color w:val="000000"/>
                <w:szCs w:val="24"/>
              </w:rPr>
              <w:t>.</w:t>
            </w:r>
          </w:p>
          <w:p w14:paraId="32A6DB27" w14:textId="4B5A1495" w:rsidR="008D20BE" w:rsidRPr="00F550D1" w:rsidRDefault="008D20BE" w:rsidP="005455BF">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p>
        </w:tc>
      </w:tr>
      <w:tr w:rsidR="008D20BE" w:rsidRPr="00F550D1" w14:paraId="0756AC9D" w14:textId="77777777" w:rsidTr="00F50321">
        <w:trPr>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0E9636B1" w14:textId="3E4D75D2" w:rsidR="008D20BE" w:rsidRPr="00F550D1" w:rsidRDefault="008D20BE" w:rsidP="008D20BE">
            <w:pPr>
              <w:rPr>
                <w:rFonts w:ascii="Calibri" w:hAnsi="Calibri" w:cs="Calibri"/>
                <w:b w:val="0"/>
                <w:color w:val="000000"/>
                <w:szCs w:val="24"/>
              </w:rPr>
            </w:pPr>
            <w:r w:rsidRPr="00F550D1">
              <w:rPr>
                <w:rFonts w:ascii="Calibri" w:hAnsi="Calibri" w:cs="Calibri"/>
                <w:b w:val="0"/>
                <w:color w:val="000000"/>
                <w:szCs w:val="24"/>
              </w:rPr>
              <w:lastRenderedPageBreak/>
              <w:t xml:space="preserve">Promote understanding and awareness of skills and capacity needs for the </w:t>
            </w:r>
            <w:r w:rsidR="0037041C" w:rsidRPr="00F550D1">
              <w:rPr>
                <w:rFonts w:ascii="Calibri" w:hAnsi="Calibri" w:cs="Calibri"/>
                <w:b w:val="0"/>
                <w:color w:val="000000"/>
                <w:szCs w:val="24"/>
              </w:rPr>
              <w:t>nature-based</w:t>
            </w:r>
            <w:r w:rsidRPr="00F550D1">
              <w:rPr>
                <w:rFonts w:ascii="Calibri" w:hAnsi="Calibri" w:cs="Calibri"/>
                <w:b w:val="0"/>
                <w:color w:val="000000"/>
                <w:szCs w:val="24"/>
              </w:rPr>
              <w:t xml:space="preserve"> sector</w:t>
            </w:r>
          </w:p>
        </w:tc>
        <w:tc>
          <w:tcPr>
            <w:tcW w:w="1559" w:type="dxa"/>
            <w:vAlign w:val="center"/>
          </w:tcPr>
          <w:p w14:paraId="33BCCA84"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color w:val="000000"/>
                <w:szCs w:val="24"/>
              </w:rPr>
              <w:t>Nick Halfhide</w:t>
            </w:r>
          </w:p>
        </w:tc>
        <w:tc>
          <w:tcPr>
            <w:tcW w:w="993" w:type="dxa"/>
            <w:shd w:val="clear" w:color="auto" w:fill="9BBB59" w:themeFill="accent3"/>
            <w:vAlign w:val="center"/>
          </w:tcPr>
          <w:p w14:paraId="6CB1F5DA"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szCs w:val="24"/>
              </w:rPr>
            </w:pPr>
            <w:r w:rsidRPr="00F550D1">
              <w:rPr>
                <w:rFonts w:ascii="Calibri" w:hAnsi="Calibri" w:cs="Calibri"/>
                <w:b/>
                <w:szCs w:val="24"/>
              </w:rPr>
              <w:t>GREEN</w:t>
            </w:r>
          </w:p>
        </w:tc>
        <w:tc>
          <w:tcPr>
            <w:tcW w:w="8466" w:type="dxa"/>
            <w:vAlign w:val="center"/>
          </w:tcPr>
          <w:p w14:paraId="0710B015" w14:textId="63600C86" w:rsidR="00D3004F" w:rsidRPr="00D3004F" w:rsidRDefault="00F50321" w:rsidP="00D3004F">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0321">
              <w:rPr>
                <w:rFonts w:ascii="Calibri" w:hAnsi="Calibri" w:cs="Calibri"/>
                <w:szCs w:val="24"/>
              </w:rPr>
              <w:t>"</w:t>
            </w:r>
            <w:r w:rsidR="00D3004F" w:rsidRPr="00D3004F">
              <w:rPr>
                <w:rFonts w:ascii="Calibri" w:hAnsi="Calibri" w:cs="Calibri"/>
                <w:szCs w:val="24"/>
              </w:rPr>
              <w:t>Make Your Mark" new logo now includes nature - active promotion of opportunities to include nature on-going.</w:t>
            </w:r>
          </w:p>
          <w:p w14:paraId="0CF1593C" w14:textId="6899BBE4" w:rsidR="006D042E" w:rsidRPr="006D042E" w:rsidRDefault="006A44C2" w:rsidP="006D042E">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Working</w:t>
            </w:r>
            <w:r w:rsidR="006D042E" w:rsidRPr="006D042E">
              <w:rPr>
                <w:rFonts w:ascii="Calibri" w:hAnsi="Calibri" w:cs="Calibri"/>
                <w:szCs w:val="24"/>
              </w:rPr>
              <w:t xml:space="preserve"> with </w:t>
            </w:r>
            <w:r w:rsidR="0053560F" w:rsidRPr="0053560F">
              <w:rPr>
                <w:rFonts w:ascii="Calibri" w:hAnsi="Calibri" w:cs="Calibri"/>
                <w:szCs w:val="24"/>
              </w:rPr>
              <w:t>Chartered Institute of Ecology and Environmental Management</w:t>
            </w:r>
            <w:r w:rsidR="0053560F">
              <w:rPr>
                <w:rFonts w:ascii="Calibri" w:hAnsi="Calibri" w:cs="Calibri"/>
                <w:szCs w:val="24"/>
              </w:rPr>
              <w:t xml:space="preserve"> (</w:t>
            </w:r>
            <w:r w:rsidR="006D042E" w:rsidRPr="006D042E">
              <w:rPr>
                <w:rFonts w:ascii="Calibri" w:hAnsi="Calibri" w:cs="Calibri"/>
                <w:szCs w:val="24"/>
              </w:rPr>
              <w:t>CIEEM</w:t>
            </w:r>
            <w:r w:rsidR="0053560F">
              <w:rPr>
                <w:rFonts w:ascii="Calibri" w:hAnsi="Calibri" w:cs="Calibri"/>
                <w:szCs w:val="24"/>
              </w:rPr>
              <w:t>)</w:t>
            </w:r>
            <w:r w:rsidR="006D042E" w:rsidRPr="006D042E">
              <w:rPr>
                <w:rFonts w:ascii="Calibri" w:hAnsi="Calibri" w:cs="Calibri"/>
                <w:szCs w:val="24"/>
              </w:rPr>
              <w:t xml:space="preserve"> Green Jobs for Nature Project to identify </w:t>
            </w:r>
            <w:r w:rsidR="00854600">
              <w:rPr>
                <w:rFonts w:ascii="Calibri" w:hAnsi="Calibri" w:cs="Calibri"/>
                <w:szCs w:val="24"/>
              </w:rPr>
              <w:t xml:space="preserve">an </w:t>
            </w:r>
            <w:r w:rsidR="006D042E" w:rsidRPr="006D042E">
              <w:rPr>
                <w:rFonts w:ascii="Calibri" w:hAnsi="Calibri" w:cs="Calibri"/>
                <w:szCs w:val="24"/>
              </w:rPr>
              <w:t xml:space="preserve">influencer </w:t>
            </w:r>
            <w:r>
              <w:rPr>
                <w:rFonts w:ascii="Calibri" w:hAnsi="Calibri" w:cs="Calibri"/>
                <w:szCs w:val="24"/>
              </w:rPr>
              <w:t>for</w:t>
            </w:r>
            <w:r w:rsidR="006D042E" w:rsidRPr="006D042E">
              <w:rPr>
                <w:rFonts w:ascii="Calibri" w:hAnsi="Calibri" w:cs="Calibri"/>
                <w:szCs w:val="24"/>
              </w:rPr>
              <w:t xml:space="preserve"> a Scottish audience</w:t>
            </w:r>
            <w:r w:rsidR="00D90A6D">
              <w:rPr>
                <w:rFonts w:ascii="Calibri" w:hAnsi="Calibri" w:cs="Calibri"/>
                <w:szCs w:val="24"/>
              </w:rPr>
              <w:t>.</w:t>
            </w:r>
          </w:p>
          <w:p w14:paraId="7A1EB6C5" w14:textId="5C1E1A06" w:rsidR="005D0456" w:rsidRPr="00C34985" w:rsidRDefault="006D042E" w:rsidP="006D042E">
            <w:pPr>
              <w:numPr>
                <w:ilvl w:val="0"/>
                <w:numId w:val="6"/>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6D042E">
              <w:rPr>
                <w:rFonts w:ascii="Calibri" w:hAnsi="Calibri" w:cs="Calibri"/>
                <w:szCs w:val="24"/>
              </w:rPr>
              <w:t>STEM Strategy signed off and network of over 15 Ambassadors now established</w:t>
            </w:r>
            <w:r w:rsidR="00F50321" w:rsidRPr="00F50321">
              <w:rPr>
                <w:rFonts w:ascii="Calibri" w:hAnsi="Calibri" w:cs="Calibri"/>
                <w:szCs w:val="24"/>
              </w:rPr>
              <w:t>.</w:t>
            </w:r>
          </w:p>
        </w:tc>
      </w:tr>
    </w:tbl>
    <w:p w14:paraId="69B05F64" w14:textId="00FE55E0" w:rsidR="00336265" w:rsidRDefault="00336265">
      <w:pPr>
        <w:rPr>
          <w:rFonts w:ascii="Calibri" w:eastAsiaTheme="majorEastAsia" w:hAnsi="Calibri" w:cs="Calibri"/>
          <w:b/>
          <w:szCs w:val="26"/>
        </w:rPr>
      </w:pPr>
    </w:p>
    <w:p w14:paraId="38312866" w14:textId="77777777" w:rsidR="00336265" w:rsidRDefault="00336265">
      <w:pPr>
        <w:rPr>
          <w:rFonts w:ascii="Calibri" w:eastAsiaTheme="majorEastAsia" w:hAnsi="Calibri" w:cs="Calibri"/>
          <w:b/>
          <w:szCs w:val="26"/>
        </w:rPr>
      </w:pPr>
      <w:r>
        <w:rPr>
          <w:rFonts w:ascii="Calibri" w:eastAsiaTheme="majorEastAsia" w:hAnsi="Calibri" w:cs="Calibri"/>
          <w:b/>
          <w:szCs w:val="26"/>
        </w:rPr>
        <w:br w:type="page"/>
      </w:r>
    </w:p>
    <w:p w14:paraId="47A43126" w14:textId="77777777" w:rsidR="005A2359" w:rsidRDefault="005A2359">
      <w:pPr>
        <w:rPr>
          <w:rFonts w:ascii="Calibri" w:eastAsiaTheme="majorEastAsia" w:hAnsi="Calibri" w:cs="Calibri"/>
          <w:b/>
          <w:szCs w:val="26"/>
        </w:rPr>
      </w:pPr>
    </w:p>
    <w:p w14:paraId="6D364284" w14:textId="393F2170" w:rsidR="008D20BE" w:rsidRPr="00F550D1" w:rsidRDefault="004F3330" w:rsidP="008D20BE">
      <w:pPr>
        <w:keepNext/>
        <w:keepLines/>
        <w:shd w:val="clear" w:color="auto" w:fill="007DC3"/>
        <w:spacing w:before="40" w:after="0" w:line="259" w:lineRule="auto"/>
        <w:jc w:val="center"/>
        <w:outlineLvl w:val="1"/>
        <w:rPr>
          <w:rFonts w:ascii="Calibri" w:eastAsiaTheme="majorEastAsia" w:hAnsi="Calibri" w:cs="Calibri"/>
          <w:b/>
          <w:szCs w:val="26"/>
        </w:rPr>
      </w:pPr>
      <w:r>
        <w:rPr>
          <w:rFonts w:ascii="Calibri" w:eastAsiaTheme="majorEastAsia" w:hAnsi="Calibri" w:cs="Calibri"/>
          <w:b/>
          <w:szCs w:val="26"/>
        </w:rPr>
        <w:t>W</w:t>
      </w:r>
      <w:r w:rsidR="008D20BE" w:rsidRPr="00F550D1">
        <w:rPr>
          <w:rFonts w:ascii="Calibri" w:eastAsiaTheme="majorEastAsia" w:hAnsi="Calibri" w:cs="Calibri"/>
          <w:b/>
          <w:szCs w:val="26"/>
        </w:rPr>
        <w:t>E HAVE TRANSFORMED HOW WE WORK</w:t>
      </w:r>
    </w:p>
    <w:tbl>
      <w:tblPr>
        <w:tblStyle w:val="PlainTable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701"/>
        <w:gridCol w:w="993"/>
        <w:gridCol w:w="8309"/>
      </w:tblGrid>
      <w:tr w:rsidR="008D20BE" w:rsidRPr="00F550D1" w14:paraId="37B02CDA" w14:textId="77777777" w:rsidTr="007B190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5A2B844" w14:textId="77777777" w:rsidR="008D20BE" w:rsidRPr="00F550D1" w:rsidRDefault="008D20BE" w:rsidP="008D20BE">
            <w:pPr>
              <w:rPr>
                <w:rFonts w:ascii="Calibri" w:hAnsi="Calibri" w:cs="Calibri"/>
                <w:szCs w:val="26"/>
              </w:rPr>
            </w:pPr>
            <w:r>
              <w:rPr>
                <w:rFonts w:ascii="Calibri" w:hAnsi="Calibri" w:cs="Calibri"/>
                <w:szCs w:val="26"/>
              </w:rPr>
              <w:t xml:space="preserve"> </w:t>
            </w:r>
            <w:r w:rsidRPr="00F550D1">
              <w:rPr>
                <w:rFonts w:ascii="Calibri" w:hAnsi="Calibri" w:cs="Calibri"/>
                <w:szCs w:val="26"/>
              </w:rPr>
              <w:t>CORPORATE PLAN OBJECTIVE</w:t>
            </w:r>
          </w:p>
        </w:tc>
        <w:tc>
          <w:tcPr>
            <w:tcW w:w="1701" w:type="dxa"/>
            <w:vAlign w:val="center"/>
          </w:tcPr>
          <w:p w14:paraId="5E83DB59"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SLT LEAD</w:t>
            </w:r>
          </w:p>
        </w:tc>
        <w:tc>
          <w:tcPr>
            <w:tcW w:w="993" w:type="dxa"/>
            <w:vAlign w:val="center"/>
          </w:tcPr>
          <w:p w14:paraId="0382CC96" w14:textId="77777777" w:rsidR="008D20BE" w:rsidRPr="00F550D1" w:rsidRDefault="008D20BE" w:rsidP="008D20B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sidRPr="00F550D1">
              <w:rPr>
                <w:rFonts w:ascii="Calibri" w:hAnsi="Calibri" w:cs="Calibri"/>
                <w:szCs w:val="26"/>
              </w:rPr>
              <w:t>RAG SCORE</w:t>
            </w:r>
          </w:p>
        </w:tc>
        <w:tc>
          <w:tcPr>
            <w:tcW w:w="8309" w:type="dxa"/>
            <w:vAlign w:val="center"/>
          </w:tcPr>
          <w:p w14:paraId="4BEF5582" w14:textId="7CAA0052" w:rsidR="008D20BE" w:rsidRPr="00F550D1" w:rsidRDefault="00701FAD" w:rsidP="0011387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Cs w:val="26"/>
              </w:rPr>
            </w:pPr>
            <w:r>
              <w:rPr>
                <w:rFonts w:ascii="Calibri" w:hAnsi="Calibri" w:cs="Calibri"/>
                <w:szCs w:val="26"/>
              </w:rPr>
              <w:t>Q</w:t>
            </w:r>
            <w:r w:rsidR="00582D93">
              <w:rPr>
                <w:rFonts w:ascii="Calibri" w:hAnsi="Calibri" w:cs="Calibri"/>
                <w:szCs w:val="26"/>
              </w:rPr>
              <w:t>4</w:t>
            </w:r>
            <w:r w:rsidR="0011387D">
              <w:rPr>
                <w:rFonts w:ascii="Calibri" w:hAnsi="Calibri" w:cs="Calibri"/>
                <w:szCs w:val="26"/>
              </w:rPr>
              <w:t xml:space="preserve"> </w:t>
            </w:r>
            <w:r w:rsidR="008D20BE" w:rsidRPr="00F550D1">
              <w:rPr>
                <w:rFonts w:ascii="Calibri" w:hAnsi="Calibri" w:cs="Calibri"/>
                <w:szCs w:val="26"/>
              </w:rPr>
              <w:t>UPDATE</w:t>
            </w:r>
          </w:p>
        </w:tc>
      </w:tr>
      <w:tr w:rsidR="008D20BE" w:rsidRPr="00F550D1" w14:paraId="0CABD062" w14:textId="77777777" w:rsidTr="00B473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CB56BC0" w14:textId="77777777" w:rsidR="008D20BE" w:rsidRPr="00EC6C50" w:rsidRDefault="008D20BE" w:rsidP="008D20BE">
            <w:pPr>
              <w:rPr>
                <w:rFonts w:ascii="Calibri" w:hAnsi="Calibri" w:cs="Calibri"/>
                <w:b w:val="0"/>
                <w:color w:val="000000"/>
                <w:szCs w:val="24"/>
                <w:highlight w:val="yellow"/>
              </w:rPr>
            </w:pPr>
            <w:r w:rsidRPr="005C611D">
              <w:rPr>
                <w:rFonts w:ascii="Calibri" w:hAnsi="Calibri" w:cs="Calibri"/>
                <w:b w:val="0"/>
                <w:color w:val="000000"/>
                <w:szCs w:val="24"/>
              </w:rPr>
              <w:t>Deliver new ways of working to stimulate achievement of our ambitions</w:t>
            </w:r>
          </w:p>
        </w:tc>
        <w:tc>
          <w:tcPr>
            <w:tcW w:w="1701" w:type="dxa"/>
            <w:vAlign w:val="center"/>
          </w:tcPr>
          <w:p w14:paraId="56F3ACAB"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5D340924" w14:textId="3C13F04F" w:rsidR="008D20BE" w:rsidRPr="00F550D1" w:rsidRDefault="00B4733C"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szCs w:val="24"/>
              </w:rPr>
            </w:pPr>
            <w:r>
              <w:rPr>
                <w:rFonts w:ascii="Calibri" w:hAnsi="Calibri" w:cs="Calibri"/>
                <w:b/>
                <w:szCs w:val="24"/>
              </w:rPr>
              <w:t>GREEN</w:t>
            </w:r>
          </w:p>
        </w:tc>
        <w:tc>
          <w:tcPr>
            <w:tcW w:w="8309" w:type="dxa"/>
            <w:vAlign w:val="center"/>
          </w:tcPr>
          <w:p w14:paraId="06F26AD7" w14:textId="6B811788" w:rsidR="00091D91" w:rsidRPr="00091D91" w:rsidRDefault="00E872AB"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Pr>
                <w:rStyle w:val="ui-provider"/>
                <w:rFonts w:ascii="Calibri" w:eastAsia="Times New Roman" w:hAnsi="Calibri" w:cs="Calibri"/>
              </w:rPr>
              <w:t>E</w:t>
            </w:r>
            <w:r>
              <w:rPr>
                <w:rStyle w:val="ui-provider"/>
                <w:rFonts w:eastAsia="Times New Roman"/>
              </w:rPr>
              <w:t>states Programme of locational reviews on track. Progress remains slow on Perth due to decisions pending about available locations.</w:t>
            </w:r>
          </w:p>
          <w:p w14:paraId="256CCE83" w14:textId="10A00B3C" w:rsidR="00091D91" w:rsidRPr="00091D91" w:rsidRDefault="006A44C2"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Pr>
                <w:rStyle w:val="ui-provider"/>
                <w:rFonts w:ascii="Calibri" w:eastAsia="Times New Roman" w:hAnsi="Calibri" w:cs="Calibri"/>
              </w:rPr>
              <w:t>R</w:t>
            </w:r>
            <w:r w:rsidR="00091D91" w:rsidRPr="00091D91">
              <w:rPr>
                <w:rStyle w:val="ui-provider"/>
                <w:rFonts w:ascii="Calibri" w:eastAsia="Times New Roman" w:hAnsi="Calibri" w:cs="Calibri"/>
              </w:rPr>
              <w:t xml:space="preserve">elocation of Silvan House Data Centre and work on </w:t>
            </w:r>
            <w:r w:rsidR="002243FC">
              <w:rPr>
                <w:rStyle w:val="ui-provider"/>
                <w:rFonts w:ascii="Calibri" w:eastAsia="Times New Roman" w:hAnsi="Calibri" w:cs="Calibri"/>
              </w:rPr>
              <w:t>C</w:t>
            </w:r>
            <w:r w:rsidR="00091D91" w:rsidRPr="00091D91">
              <w:rPr>
                <w:rStyle w:val="ui-provider"/>
                <w:rFonts w:ascii="Calibri" w:eastAsia="Times New Roman" w:hAnsi="Calibri" w:cs="Calibri"/>
              </w:rPr>
              <w:t>loud storage and network security</w:t>
            </w:r>
            <w:r w:rsidR="00D97D31">
              <w:rPr>
                <w:rStyle w:val="ui-provider"/>
                <w:rFonts w:ascii="Calibri" w:eastAsia="Times New Roman" w:hAnsi="Calibri" w:cs="Calibri"/>
              </w:rPr>
              <w:t>.</w:t>
            </w:r>
          </w:p>
          <w:p w14:paraId="5A3B3B66" w14:textId="66DBB032" w:rsidR="00091D91" w:rsidRPr="00091D91" w:rsidRDefault="00854600"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Pr>
                <w:rStyle w:val="ui-provider"/>
                <w:rFonts w:ascii="Calibri" w:eastAsia="Times New Roman" w:hAnsi="Calibri" w:cs="Calibri"/>
              </w:rPr>
              <w:t>S</w:t>
            </w:r>
            <w:r w:rsidR="002243FC" w:rsidRPr="00091D91">
              <w:rPr>
                <w:rStyle w:val="ui-provider"/>
                <w:rFonts w:ascii="Calibri" w:eastAsia="Times New Roman" w:hAnsi="Calibri" w:cs="Calibri"/>
              </w:rPr>
              <w:t xml:space="preserve">uccessfully concluded </w:t>
            </w:r>
            <w:r w:rsidR="002243FC">
              <w:rPr>
                <w:rStyle w:val="ui-provider"/>
                <w:rFonts w:ascii="Calibri" w:eastAsia="Times New Roman" w:hAnsi="Calibri" w:cs="Calibri"/>
              </w:rPr>
              <w:t xml:space="preserve">the </w:t>
            </w:r>
            <w:r w:rsidR="00091D91" w:rsidRPr="00091D91">
              <w:rPr>
                <w:rStyle w:val="ui-provider"/>
                <w:rFonts w:ascii="Calibri" w:eastAsia="Times New Roman" w:hAnsi="Calibri" w:cs="Calibri"/>
              </w:rPr>
              <w:t>MS Enterprise Agreement renewal</w:t>
            </w:r>
            <w:r w:rsidR="009F5E37">
              <w:rPr>
                <w:rStyle w:val="ui-provider"/>
                <w:rFonts w:ascii="Calibri" w:eastAsia="Times New Roman" w:hAnsi="Calibri" w:cs="Calibri"/>
              </w:rPr>
              <w:t xml:space="preserve">, with </w:t>
            </w:r>
            <w:r w:rsidR="002243FC">
              <w:rPr>
                <w:rStyle w:val="ui-provider"/>
                <w:rFonts w:ascii="Calibri" w:eastAsia="Times New Roman" w:hAnsi="Calibri" w:cs="Calibri"/>
              </w:rPr>
              <w:t xml:space="preserve">a </w:t>
            </w:r>
            <w:r w:rsidR="009F5E37">
              <w:rPr>
                <w:rStyle w:val="ui-provider"/>
                <w:rFonts w:ascii="Calibri" w:eastAsia="Times New Roman" w:hAnsi="Calibri" w:cs="Calibri"/>
              </w:rPr>
              <w:t>£40k saving.</w:t>
            </w:r>
          </w:p>
          <w:p w14:paraId="2D62A0A8" w14:textId="42A0FC60" w:rsidR="00091D91" w:rsidRPr="00091D91" w:rsidRDefault="00091D91"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sidRPr="00091D91">
              <w:rPr>
                <w:rStyle w:val="ui-provider"/>
                <w:rFonts w:ascii="Calibri" w:eastAsia="Times New Roman" w:hAnsi="Calibri" w:cs="Calibri"/>
              </w:rPr>
              <w:t xml:space="preserve">Storage Area Network (SAN) server replacement implemented </w:t>
            </w:r>
            <w:r w:rsidR="00443CB2">
              <w:rPr>
                <w:rStyle w:val="ui-provider"/>
                <w:rFonts w:ascii="Calibri" w:eastAsia="Times New Roman" w:hAnsi="Calibri" w:cs="Calibri"/>
              </w:rPr>
              <w:t xml:space="preserve">and has gone live. </w:t>
            </w:r>
            <w:r w:rsidRPr="00091D91">
              <w:rPr>
                <w:rStyle w:val="ui-provider"/>
                <w:rFonts w:ascii="Calibri" w:eastAsia="Times New Roman" w:hAnsi="Calibri" w:cs="Calibri"/>
              </w:rPr>
              <w:t xml:space="preserve"> </w:t>
            </w:r>
          </w:p>
          <w:p w14:paraId="4A1B8E73" w14:textId="08940CC5" w:rsidR="00091D91" w:rsidRPr="00091D91" w:rsidRDefault="006A44C2"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Pr>
                <w:rStyle w:val="ui-provider"/>
                <w:rFonts w:ascii="Calibri" w:eastAsia="Times New Roman" w:hAnsi="Calibri" w:cs="Calibri"/>
              </w:rPr>
              <w:t>S</w:t>
            </w:r>
            <w:r w:rsidR="00091D91" w:rsidRPr="00091D91">
              <w:rPr>
                <w:rStyle w:val="ui-provider"/>
                <w:rFonts w:ascii="Calibri" w:eastAsia="Times New Roman" w:hAnsi="Calibri" w:cs="Calibri"/>
              </w:rPr>
              <w:t>uccessful Objective Cloud migration</w:t>
            </w:r>
            <w:r w:rsidR="00D97D31">
              <w:rPr>
                <w:rStyle w:val="ui-provider"/>
                <w:rFonts w:ascii="Calibri" w:eastAsia="Times New Roman" w:hAnsi="Calibri" w:cs="Calibri"/>
              </w:rPr>
              <w:t>.</w:t>
            </w:r>
          </w:p>
          <w:p w14:paraId="62F12441" w14:textId="43907F1E" w:rsidR="00091D91" w:rsidRPr="00091D91" w:rsidRDefault="00091D91"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sidRPr="00091D91">
              <w:rPr>
                <w:rStyle w:val="ui-provider"/>
                <w:rFonts w:ascii="Calibri" w:eastAsia="Times New Roman" w:hAnsi="Calibri" w:cs="Calibri"/>
              </w:rPr>
              <w:t>Vacancy Process Group recommendations received and implemented; Strategic Resource Management group set up a</w:t>
            </w:r>
            <w:r w:rsidR="002243FC">
              <w:rPr>
                <w:rStyle w:val="ui-provider"/>
                <w:rFonts w:ascii="Calibri" w:eastAsia="Times New Roman" w:hAnsi="Calibri" w:cs="Calibri"/>
              </w:rPr>
              <w:t>s</w:t>
            </w:r>
            <w:r w:rsidRPr="00091D91">
              <w:rPr>
                <w:rStyle w:val="ui-provider"/>
                <w:rFonts w:ascii="Calibri" w:eastAsia="Times New Roman" w:hAnsi="Calibri" w:cs="Calibri"/>
              </w:rPr>
              <w:t xml:space="preserve"> </w:t>
            </w:r>
            <w:r w:rsidR="00F97438">
              <w:rPr>
                <w:rStyle w:val="ui-provider"/>
                <w:rFonts w:ascii="Calibri" w:eastAsia="Times New Roman" w:hAnsi="Calibri" w:cs="Calibri"/>
              </w:rPr>
              <w:t xml:space="preserve">a </w:t>
            </w:r>
            <w:r w:rsidRPr="00091D91">
              <w:rPr>
                <w:rStyle w:val="ui-provider"/>
                <w:rFonts w:ascii="Calibri" w:eastAsia="Times New Roman" w:hAnsi="Calibri" w:cs="Calibri"/>
              </w:rPr>
              <w:t xml:space="preserve">phase 2 </w:t>
            </w:r>
            <w:r w:rsidR="00F97438">
              <w:rPr>
                <w:rStyle w:val="ui-provider"/>
                <w:rFonts w:ascii="Calibri" w:eastAsia="Times New Roman" w:hAnsi="Calibri" w:cs="Calibri"/>
              </w:rPr>
              <w:t xml:space="preserve">organisational development </w:t>
            </w:r>
            <w:r w:rsidRPr="00091D91">
              <w:rPr>
                <w:rStyle w:val="ui-provider"/>
                <w:rFonts w:ascii="Calibri" w:eastAsia="Times New Roman" w:hAnsi="Calibri" w:cs="Calibri"/>
              </w:rPr>
              <w:t>project</w:t>
            </w:r>
            <w:r w:rsidR="002243FC">
              <w:rPr>
                <w:rStyle w:val="ui-provider"/>
                <w:rFonts w:ascii="Calibri" w:eastAsia="Times New Roman" w:hAnsi="Calibri" w:cs="Calibri"/>
              </w:rPr>
              <w:t>.</w:t>
            </w:r>
          </w:p>
          <w:p w14:paraId="5808C2D4" w14:textId="66554E3A" w:rsidR="00091D91" w:rsidRDefault="00091D91"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sidRPr="00091D91">
              <w:rPr>
                <w:rStyle w:val="ui-provider"/>
                <w:rFonts w:ascii="Calibri" w:eastAsia="Times New Roman" w:hAnsi="Calibri" w:cs="Calibri"/>
              </w:rPr>
              <w:t>P</w:t>
            </w:r>
            <w:r w:rsidR="002243FC">
              <w:rPr>
                <w:rStyle w:val="ui-provider"/>
                <w:rFonts w:ascii="Calibri" w:eastAsia="Times New Roman" w:hAnsi="Calibri" w:cs="Calibri"/>
              </w:rPr>
              <w:t>roject Management Office (P</w:t>
            </w:r>
            <w:r w:rsidRPr="00091D91">
              <w:rPr>
                <w:rStyle w:val="ui-provider"/>
                <w:rFonts w:ascii="Calibri" w:eastAsia="Times New Roman" w:hAnsi="Calibri" w:cs="Calibri"/>
              </w:rPr>
              <w:t>MO</w:t>
            </w:r>
            <w:r w:rsidR="002243FC">
              <w:rPr>
                <w:rStyle w:val="ui-provider"/>
                <w:rFonts w:ascii="Calibri" w:eastAsia="Times New Roman" w:hAnsi="Calibri" w:cs="Calibri"/>
              </w:rPr>
              <w:t>)</w:t>
            </w:r>
            <w:r w:rsidRPr="00091D91">
              <w:rPr>
                <w:rStyle w:val="ui-provider"/>
                <w:rFonts w:ascii="Calibri" w:eastAsia="Times New Roman" w:hAnsi="Calibri" w:cs="Calibri"/>
              </w:rPr>
              <w:t xml:space="preserve"> proposals </w:t>
            </w:r>
            <w:r w:rsidR="006A44C2">
              <w:rPr>
                <w:rStyle w:val="ui-provider"/>
                <w:rFonts w:ascii="Calibri" w:eastAsia="Times New Roman" w:hAnsi="Calibri" w:cs="Calibri"/>
              </w:rPr>
              <w:t>agreed for implementation</w:t>
            </w:r>
            <w:r w:rsidR="002243FC">
              <w:rPr>
                <w:rStyle w:val="ui-provider"/>
                <w:rFonts w:ascii="Calibri" w:eastAsia="Times New Roman" w:hAnsi="Calibri" w:cs="Calibri"/>
              </w:rPr>
              <w:t>.</w:t>
            </w:r>
          </w:p>
          <w:p w14:paraId="7094DCD6" w14:textId="1E610404" w:rsidR="00091D91" w:rsidRPr="00091D91" w:rsidRDefault="00091D91" w:rsidP="004C16F3">
            <w:pPr>
              <w:numPr>
                <w:ilvl w:val="0"/>
                <w:numId w:val="11"/>
              </w:numPr>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r w:rsidRPr="00091D91">
              <w:rPr>
                <w:rStyle w:val="ui-provider"/>
                <w:rFonts w:ascii="Calibri" w:eastAsia="Times New Roman" w:hAnsi="Calibri" w:cs="Calibri"/>
              </w:rPr>
              <w:t>Results of Members of the Scottish Parliament (MSP) Survey circulated to SLT</w:t>
            </w:r>
            <w:r w:rsidR="002243FC">
              <w:rPr>
                <w:rStyle w:val="ui-provider"/>
                <w:rFonts w:ascii="Calibri" w:eastAsia="Times New Roman" w:hAnsi="Calibri" w:cs="Calibri"/>
              </w:rPr>
              <w:t>.</w:t>
            </w:r>
          </w:p>
          <w:p w14:paraId="78C730E6" w14:textId="7DCC36D8" w:rsidR="00154FDE" w:rsidRPr="00F0315A" w:rsidRDefault="00154FDE" w:rsidP="006A44C2">
            <w:pPr>
              <w:ind w:left="360"/>
              <w:cnfStyle w:val="000000100000" w:firstRow="0" w:lastRow="0" w:firstColumn="0" w:lastColumn="0" w:oddVBand="0" w:evenVBand="0" w:oddHBand="1" w:evenHBand="0" w:firstRowFirstColumn="0" w:firstRowLastColumn="0" w:lastRowFirstColumn="0" w:lastRowLastColumn="0"/>
              <w:rPr>
                <w:rStyle w:val="ui-provider"/>
                <w:rFonts w:ascii="Calibri" w:eastAsia="Times New Roman" w:hAnsi="Calibri" w:cs="Calibri"/>
              </w:rPr>
            </w:pPr>
          </w:p>
        </w:tc>
      </w:tr>
      <w:tr w:rsidR="008D20BE" w:rsidRPr="00F550D1" w14:paraId="4B9E57BD" w14:textId="77777777" w:rsidTr="00804D5C">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65F793" w14:textId="77777777" w:rsidR="008D20BE" w:rsidRPr="00804D5C" w:rsidRDefault="008D20BE" w:rsidP="008D20BE">
            <w:pPr>
              <w:rPr>
                <w:rFonts w:ascii="Calibri" w:hAnsi="Calibri" w:cs="Calibri"/>
                <w:b w:val="0"/>
                <w:color w:val="000000"/>
                <w:szCs w:val="24"/>
              </w:rPr>
            </w:pPr>
            <w:r w:rsidRPr="00804D5C">
              <w:rPr>
                <w:rFonts w:ascii="Calibri" w:hAnsi="Calibri" w:cs="Calibri"/>
                <w:b w:val="0"/>
                <w:color w:val="000000"/>
                <w:szCs w:val="24"/>
              </w:rPr>
              <w:t>Transform our individual and collective leadership capability</w:t>
            </w:r>
          </w:p>
        </w:tc>
        <w:tc>
          <w:tcPr>
            <w:tcW w:w="1701" w:type="dxa"/>
            <w:vAlign w:val="center"/>
          </w:tcPr>
          <w:p w14:paraId="00D7902F" w14:textId="77777777" w:rsidR="008D20BE" w:rsidRPr="00F550D1" w:rsidRDefault="008D20BE" w:rsidP="008D20B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9BBB59" w:themeFill="accent3"/>
            <w:vAlign w:val="center"/>
          </w:tcPr>
          <w:p w14:paraId="68C2FD04" w14:textId="77777777" w:rsidR="008D20BE" w:rsidRPr="00F550D1" w:rsidRDefault="008D20BE" w:rsidP="008D20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F550D1">
              <w:rPr>
                <w:rFonts w:ascii="Calibri" w:hAnsi="Calibri" w:cs="Calibri"/>
                <w:b/>
                <w:szCs w:val="24"/>
              </w:rPr>
              <w:t>GREEN</w:t>
            </w:r>
          </w:p>
        </w:tc>
        <w:tc>
          <w:tcPr>
            <w:tcW w:w="8309" w:type="dxa"/>
            <w:vAlign w:val="center"/>
          </w:tcPr>
          <w:p w14:paraId="373AF77D" w14:textId="5646B6F0" w:rsidR="00091D91" w:rsidRPr="00091D91" w:rsidRDefault="006A44C2" w:rsidP="004C16F3">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R</w:t>
            </w:r>
            <w:r w:rsidR="00091D91" w:rsidRPr="00091D91">
              <w:rPr>
                <w:rFonts w:ascii="Calibri" w:hAnsi="Calibri" w:cs="Calibri"/>
                <w:szCs w:val="24"/>
              </w:rPr>
              <w:t>eceived 5 places on the IDG</w:t>
            </w:r>
            <w:r w:rsidR="00002465">
              <w:rPr>
                <w:rFonts w:ascii="Calibri" w:hAnsi="Calibri" w:cs="Calibri"/>
                <w:szCs w:val="24"/>
              </w:rPr>
              <w:t xml:space="preserve"> (Internal Development Goals)</w:t>
            </w:r>
            <w:r w:rsidR="00091D91" w:rsidRPr="00091D91">
              <w:rPr>
                <w:rFonts w:ascii="Calibri" w:hAnsi="Calibri" w:cs="Calibri"/>
                <w:szCs w:val="24"/>
              </w:rPr>
              <w:t xml:space="preserve"> Global Leadership for Sustainable Development course (GLSD)</w:t>
            </w:r>
            <w:r w:rsidR="009B6F67">
              <w:rPr>
                <w:rFonts w:ascii="Calibri" w:hAnsi="Calibri" w:cs="Calibri"/>
                <w:szCs w:val="24"/>
              </w:rPr>
              <w:t>.</w:t>
            </w:r>
            <w:r w:rsidR="005D432B">
              <w:rPr>
                <w:rFonts w:ascii="Calibri" w:hAnsi="Calibri" w:cs="Calibri"/>
                <w:szCs w:val="24"/>
              </w:rPr>
              <w:t xml:space="preserve"> </w:t>
            </w:r>
            <w:r w:rsidR="00002465">
              <w:rPr>
                <w:rFonts w:ascii="Calibri" w:hAnsi="Calibri" w:cs="Calibri"/>
                <w:szCs w:val="24"/>
              </w:rPr>
              <w:t>NatureScot now part of a UK network connected to international practitioners implementing the UN Sustainable Development Goals.</w:t>
            </w:r>
          </w:p>
          <w:p w14:paraId="54883698" w14:textId="6B6138A0" w:rsidR="00091D91" w:rsidRPr="00091D91" w:rsidRDefault="00E872AB" w:rsidP="004C16F3">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Pr>
                <w:rFonts w:ascii="Calibri" w:hAnsi="Calibri" w:cs="Calibri"/>
                <w:szCs w:val="24"/>
              </w:rPr>
              <w:t xml:space="preserve">Additional capacity added to Organisational Development to support </w:t>
            </w:r>
            <w:r w:rsidR="00002465">
              <w:rPr>
                <w:rFonts w:ascii="Calibri" w:hAnsi="Calibri" w:cs="Calibri"/>
                <w:szCs w:val="24"/>
              </w:rPr>
              <w:t>integration of IDGs into NatureScot’s Learning Framework</w:t>
            </w:r>
          </w:p>
          <w:p w14:paraId="5D88291E" w14:textId="64A4CDAA" w:rsidR="00663359" w:rsidRPr="00F96EF0" w:rsidRDefault="00091D91" w:rsidP="004C16F3">
            <w:pPr>
              <w:numPr>
                <w:ilvl w:val="0"/>
                <w:numId w:val="7"/>
              </w:numPr>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Cs w:val="24"/>
              </w:rPr>
            </w:pPr>
            <w:r w:rsidRPr="00091D91">
              <w:rPr>
                <w:rFonts w:ascii="Calibri" w:hAnsi="Calibri" w:cs="Calibri"/>
                <w:szCs w:val="24"/>
              </w:rPr>
              <w:t>The S</w:t>
            </w:r>
            <w:r w:rsidR="002243FC">
              <w:rPr>
                <w:rFonts w:ascii="Calibri" w:hAnsi="Calibri" w:cs="Calibri"/>
                <w:szCs w:val="24"/>
              </w:rPr>
              <w:t xml:space="preserve">trategic </w:t>
            </w:r>
            <w:r w:rsidRPr="00091D91">
              <w:rPr>
                <w:rFonts w:ascii="Calibri" w:hAnsi="Calibri" w:cs="Calibri"/>
                <w:szCs w:val="24"/>
              </w:rPr>
              <w:t>W</w:t>
            </w:r>
            <w:r w:rsidR="002243FC">
              <w:rPr>
                <w:rFonts w:ascii="Calibri" w:hAnsi="Calibri" w:cs="Calibri"/>
                <w:szCs w:val="24"/>
              </w:rPr>
              <w:t xml:space="preserve">orkforce </w:t>
            </w:r>
            <w:r w:rsidRPr="00091D91">
              <w:rPr>
                <w:rFonts w:ascii="Calibri" w:hAnsi="Calibri" w:cs="Calibri"/>
                <w:szCs w:val="24"/>
              </w:rPr>
              <w:t>P</w:t>
            </w:r>
            <w:r w:rsidR="002243FC">
              <w:rPr>
                <w:rFonts w:ascii="Calibri" w:hAnsi="Calibri" w:cs="Calibri"/>
                <w:szCs w:val="24"/>
              </w:rPr>
              <w:t>lanning (SWP)</w:t>
            </w:r>
            <w:r w:rsidRPr="00091D91">
              <w:rPr>
                <w:rFonts w:ascii="Calibri" w:hAnsi="Calibri" w:cs="Calibri"/>
                <w:szCs w:val="24"/>
              </w:rPr>
              <w:t xml:space="preserve"> prototype is in </w:t>
            </w:r>
            <w:r w:rsidR="002243FC">
              <w:rPr>
                <w:rFonts w:ascii="Calibri" w:hAnsi="Calibri" w:cs="Calibri"/>
                <w:szCs w:val="24"/>
              </w:rPr>
              <w:t xml:space="preserve">the </w:t>
            </w:r>
            <w:r w:rsidRPr="00091D91">
              <w:rPr>
                <w:rFonts w:ascii="Calibri" w:hAnsi="Calibri" w:cs="Calibri"/>
                <w:szCs w:val="24"/>
              </w:rPr>
              <w:t xml:space="preserve">process of being scoped </w:t>
            </w:r>
            <w:r w:rsidR="002243FC">
              <w:rPr>
                <w:rFonts w:ascii="Calibri" w:hAnsi="Calibri" w:cs="Calibri"/>
                <w:szCs w:val="24"/>
              </w:rPr>
              <w:t>will move forward with</w:t>
            </w:r>
            <w:r w:rsidRPr="00091D91">
              <w:rPr>
                <w:rFonts w:ascii="Calibri" w:hAnsi="Calibri" w:cs="Calibri"/>
                <w:szCs w:val="24"/>
              </w:rPr>
              <w:t xml:space="preserve"> three identified teams for Q1</w:t>
            </w:r>
            <w:r w:rsidR="00854600">
              <w:rPr>
                <w:rFonts w:ascii="Calibri" w:hAnsi="Calibri" w:cs="Calibri"/>
                <w:szCs w:val="24"/>
              </w:rPr>
              <w:t xml:space="preserve"> 2024</w:t>
            </w:r>
            <w:r w:rsidR="007652CA">
              <w:rPr>
                <w:rFonts w:ascii="Calibri" w:hAnsi="Calibri" w:cs="Calibri"/>
                <w:szCs w:val="24"/>
              </w:rPr>
              <w:t>/</w:t>
            </w:r>
            <w:r w:rsidR="00854600">
              <w:rPr>
                <w:rFonts w:ascii="Calibri" w:hAnsi="Calibri" w:cs="Calibri"/>
                <w:szCs w:val="24"/>
              </w:rPr>
              <w:t>25</w:t>
            </w:r>
            <w:r w:rsidR="002243FC">
              <w:rPr>
                <w:rFonts w:ascii="Calibri" w:hAnsi="Calibri" w:cs="Calibri"/>
                <w:szCs w:val="24"/>
              </w:rPr>
              <w:t>.</w:t>
            </w:r>
          </w:p>
        </w:tc>
      </w:tr>
      <w:tr w:rsidR="008D20BE" w:rsidRPr="00F550D1" w14:paraId="7AF6A97C" w14:textId="77777777" w:rsidTr="00041A5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498C075" w14:textId="77777777" w:rsidR="008D20BE" w:rsidRPr="00804D5C" w:rsidRDefault="008D20BE" w:rsidP="008D20BE">
            <w:pPr>
              <w:rPr>
                <w:rFonts w:ascii="Calibri" w:hAnsi="Calibri" w:cs="Calibri"/>
                <w:b w:val="0"/>
                <w:color w:val="000000"/>
                <w:szCs w:val="24"/>
              </w:rPr>
            </w:pPr>
            <w:r w:rsidRPr="00804D5C">
              <w:rPr>
                <w:rFonts w:ascii="Calibri" w:hAnsi="Calibri" w:cs="Calibri"/>
                <w:b w:val="0"/>
                <w:color w:val="000000"/>
                <w:szCs w:val="24"/>
              </w:rPr>
              <w:t>Sustain our focus on developing a happy and resilient workforce</w:t>
            </w:r>
          </w:p>
        </w:tc>
        <w:tc>
          <w:tcPr>
            <w:tcW w:w="1701" w:type="dxa"/>
            <w:vAlign w:val="center"/>
          </w:tcPr>
          <w:p w14:paraId="431C1754" w14:textId="77777777" w:rsidR="008D20BE" w:rsidRPr="00F550D1" w:rsidRDefault="008D20BE" w:rsidP="008D20B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Cs w:val="24"/>
              </w:rPr>
            </w:pPr>
            <w:r w:rsidRPr="00F550D1">
              <w:rPr>
                <w:rFonts w:ascii="Calibri" w:hAnsi="Calibri" w:cs="Calibri"/>
                <w:color w:val="000000"/>
                <w:szCs w:val="24"/>
              </w:rPr>
              <w:t xml:space="preserve">Jane Macdonald </w:t>
            </w:r>
          </w:p>
        </w:tc>
        <w:tc>
          <w:tcPr>
            <w:tcW w:w="993" w:type="dxa"/>
            <w:shd w:val="clear" w:color="auto" w:fill="F79646" w:themeFill="accent6"/>
            <w:vAlign w:val="center"/>
          </w:tcPr>
          <w:p w14:paraId="27B7CEA7" w14:textId="1ED6D633" w:rsidR="008D20BE" w:rsidRPr="00F550D1" w:rsidRDefault="00EC6C50" w:rsidP="008D20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b/>
                <w:szCs w:val="24"/>
              </w:rPr>
              <w:t>AMBER</w:t>
            </w:r>
          </w:p>
        </w:tc>
        <w:tc>
          <w:tcPr>
            <w:tcW w:w="8309" w:type="dxa"/>
            <w:vAlign w:val="center"/>
          </w:tcPr>
          <w:p w14:paraId="341EDD69" w14:textId="13A8E625" w:rsidR="00CB2814" w:rsidRDefault="00CB2814" w:rsidP="00041A5C">
            <w:pPr>
              <w:numPr>
                <w:ilvl w:val="0"/>
                <w:numId w:val="8"/>
              </w:num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t xml:space="preserve">Amber rating due to the delays in the </w:t>
            </w:r>
            <w:r w:rsidRPr="00041A5C">
              <w:rPr>
                <w:rFonts w:ascii="Calibri" w:hAnsi="Calibri" w:cs="Calibri"/>
                <w:szCs w:val="24"/>
              </w:rPr>
              <w:t>Skills development project</w:t>
            </w:r>
            <w:r>
              <w:rPr>
                <w:rFonts w:ascii="Calibri" w:hAnsi="Calibri" w:cs="Calibri"/>
                <w:szCs w:val="24"/>
              </w:rPr>
              <w:t>. E</w:t>
            </w:r>
            <w:r w:rsidRPr="00041A5C">
              <w:rPr>
                <w:rFonts w:ascii="Calibri" w:hAnsi="Calibri" w:cs="Calibri"/>
                <w:szCs w:val="24"/>
              </w:rPr>
              <w:t>xternal support</w:t>
            </w:r>
            <w:r>
              <w:rPr>
                <w:rFonts w:ascii="Calibri" w:hAnsi="Calibri" w:cs="Calibri"/>
                <w:szCs w:val="24"/>
              </w:rPr>
              <w:t xml:space="preserve"> has now been procured</w:t>
            </w:r>
            <w:r w:rsidRPr="00041A5C">
              <w:rPr>
                <w:rFonts w:ascii="Calibri" w:hAnsi="Calibri" w:cs="Calibri"/>
                <w:szCs w:val="24"/>
              </w:rPr>
              <w:t xml:space="preserve"> to conclude phase 1 and move this work into phase 2.</w:t>
            </w:r>
          </w:p>
          <w:p w14:paraId="5796D177" w14:textId="41CD430E" w:rsidR="00041A5C" w:rsidRPr="00041A5C" w:rsidRDefault="00F24BC1" w:rsidP="00041A5C">
            <w:pPr>
              <w:numPr>
                <w:ilvl w:val="0"/>
                <w:numId w:val="8"/>
              </w:num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Pr>
                <w:rFonts w:ascii="Calibri" w:hAnsi="Calibri" w:cs="Calibri"/>
                <w:szCs w:val="24"/>
              </w:rPr>
              <w:lastRenderedPageBreak/>
              <w:t>A</w:t>
            </w:r>
            <w:r w:rsidR="009B6F67">
              <w:rPr>
                <w:rFonts w:ascii="Calibri" w:hAnsi="Calibri" w:cs="Calibri"/>
                <w:szCs w:val="24"/>
              </w:rPr>
              <w:t>s a</w:t>
            </w:r>
            <w:r w:rsidR="009B6F67" w:rsidRPr="00041A5C">
              <w:rPr>
                <w:rFonts w:ascii="Calibri" w:hAnsi="Calibri" w:cs="Calibri"/>
                <w:szCs w:val="24"/>
              </w:rPr>
              <w:t xml:space="preserve"> result of </w:t>
            </w:r>
            <w:r w:rsidR="0047415A">
              <w:rPr>
                <w:rFonts w:ascii="Calibri" w:hAnsi="Calibri" w:cs="Calibri"/>
                <w:szCs w:val="24"/>
              </w:rPr>
              <w:t>managerial engagement</w:t>
            </w:r>
            <w:r w:rsidR="009B6F67">
              <w:rPr>
                <w:rFonts w:ascii="Calibri" w:hAnsi="Calibri" w:cs="Calibri"/>
                <w:szCs w:val="24"/>
              </w:rPr>
              <w:t>, t</w:t>
            </w:r>
            <w:r w:rsidR="00041A5C" w:rsidRPr="00041A5C">
              <w:rPr>
                <w:rFonts w:ascii="Calibri" w:hAnsi="Calibri" w:cs="Calibri"/>
                <w:szCs w:val="24"/>
              </w:rPr>
              <w:t xml:space="preserve">here has been a significant reduction in flexi balances particularly for those with higher balances. </w:t>
            </w:r>
          </w:p>
          <w:p w14:paraId="4FEEBA0A" w14:textId="73B0F9A8" w:rsidR="00041A5C" w:rsidRPr="00041A5C" w:rsidRDefault="00041A5C" w:rsidP="00041A5C">
            <w:pPr>
              <w:numPr>
                <w:ilvl w:val="0"/>
                <w:numId w:val="8"/>
              </w:num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41A5C">
              <w:rPr>
                <w:rFonts w:ascii="Calibri" w:hAnsi="Calibri" w:cs="Calibri"/>
                <w:szCs w:val="24"/>
              </w:rPr>
              <w:t xml:space="preserve">Career </w:t>
            </w:r>
            <w:r w:rsidR="009B6F67">
              <w:rPr>
                <w:rFonts w:ascii="Calibri" w:hAnsi="Calibri" w:cs="Calibri"/>
                <w:szCs w:val="24"/>
              </w:rPr>
              <w:t>C</w:t>
            </w:r>
            <w:r w:rsidRPr="00041A5C">
              <w:rPr>
                <w:rFonts w:ascii="Calibri" w:hAnsi="Calibri" w:cs="Calibri"/>
                <w:szCs w:val="24"/>
              </w:rPr>
              <w:t xml:space="preserve">onversation training has been </w:t>
            </w:r>
            <w:r w:rsidR="0047415A" w:rsidRPr="00041A5C">
              <w:rPr>
                <w:rFonts w:ascii="Calibri" w:hAnsi="Calibri" w:cs="Calibri"/>
                <w:szCs w:val="24"/>
              </w:rPr>
              <w:t>continuing</w:t>
            </w:r>
            <w:r w:rsidR="0047415A">
              <w:rPr>
                <w:rFonts w:ascii="Calibri" w:hAnsi="Calibri" w:cs="Calibri"/>
                <w:szCs w:val="24"/>
              </w:rPr>
              <w:t xml:space="preserve"> and</w:t>
            </w:r>
            <w:r w:rsidR="009B6F67">
              <w:rPr>
                <w:rFonts w:ascii="Calibri" w:hAnsi="Calibri" w:cs="Calibri"/>
                <w:szCs w:val="24"/>
              </w:rPr>
              <w:t xml:space="preserve"> C</w:t>
            </w:r>
            <w:r w:rsidRPr="00041A5C">
              <w:rPr>
                <w:rFonts w:ascii="Calibri" w:hAnsi="Calibri" w:cs="Calibri"/>
                <w:szCs w:val="24"/>
              </w:rPr>
              <w:t xml:space="preserve">ohort 1 are nearing the end of their training. The OD team are now planning next steps </w:t>
            </w:r>
            <w:r w:rsidR="009B6F67">
              <w:rPr>
                <w:rFonts w:ascii="Calibri" w:hAnsi="Calibri" w:cs="Calibri"/>
                <w:szCs w:val="24"/>
              </w:rPr>
              <w:t>for the</w:t>
            </w:r>
            <w:r w:rsidRPr="00041A5C">
              <w:rPr>
                <w:rFonts w:ascii="Calibri" w:hAnsi="Calibri" w:cs="Calibri"/>
                <w:szCs w:val="24"/>
              </w:rPr>
              <w:t xml:space="preserve"> roll out for </w:t>
            </w:r>
            <w:r w:rsidR="009B6F67">
              <w:rPr>
                <w:rFonts w:ascii="Calibri" w:hAnsi="Calibri" w:cs="Calibri"/>
                <w:szCs w:val="24"/>
              </w:rPr>
              <w:t>20</w:t>
            </w:r>
            <w:r w:rsidRPr="00041A5C">
              <w:rPr>
                <w:rFonts w:ascii="Calibri" w:hAnsi="Calibri" w:cs="Calibri"/>
                <w:szCs w:val="24"/>
              </w:rPr>
              <w:t>24/25.</w:t>
            </w:r>
          </w:p>
          <w:p w14:paraId="1463FC7C" w14:textId="3B1BF092" w:rsidR="00041A5C" w:rsidRPr="00041A5C" w:rsidRDefault="00041A5C" w:rsidP="00041A5C">
            <w:pPr>
              <w:numPr>
                <w:ilvl w:val="0"/>
                <w:numId w:val="8"/>
              </w:num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41A5C">
              <w:rPr>
                <w:rFonts w:ascii="Calibri" w:hAnsi="Calibri" w:cs="Calibri"/>
                <w:szCs w:val="24"/>
              </w:rPr>
              <w:t>A workshop for H</w:t>
            </w:r>
            <w:r w:rsidR="007652CA">
              <w:rPr>
                <w:rFonts w:ascii="Calibri" w:hAnsi="Calibri" w:cs="Calibri"/>
                <w:szCs w:val="24"/>
              </w:rPr>
              <w:t>ealth</w:t>
            </w:r>
            <w:r w:rsidR="00854600">
              <w:rPr>
                <w:rFonts w:ascii="Calibri" w:hAnsi="Calibri" w:cs="Calibri"/>
                <w:szCs w:val="24"/>
              </w:rPr>
              <w:t xml:space="preserve"> </w:t>
            </w:r>
            <w:r w:rsidR="00DD4A1A">
              <w:rPr>
                <w:rFonts w:ascii="Calibri" w:hAnsi="Calibri" w:cs="Calibri"/>
                <w:szCs w:val="24"/>
              </w:rPr>
              <w:t xml:space="preserve">and </w:t>
            </w:r>
            <w:r w:rsidRPr="00041A5C">
              <w:rPr>
                <w:rFonts w:ascii="Calibri" w:hAnsi="Calibri" w:cs="Calibri"/>
                <w:szCs w:val="24"/>
              </w:rPr>
              <w:t>S</w:t>
            </w:r>
            <w:r w:rsidR="007652CA">
              <w:rPr>
                <w:rFonts w:ascii="Calibri" w:hAnsi="Calibri" w:cs="Calibri"/>
                <w:szCs w:val="24"/>
              </w:rPr>
              <w:t>afety</w:t>
            </w:r>
            <w:r w:rsidRPr="00041A5C">
              <w:rPr>
                <w:rFonts w:ascii="Calibri" w:hAnsi="Calibri" w:cs="Calibri"/>
                <w:szCs w:val="24"/>
              </w:rPr>
              <w:t xml:space="preserve"> Co-ordinators </w:t>
            </w:r>
            <w:r w:rsidR="009B6F67">
              <w:rPr>
                <w:rFonts w:ascii="Calibri" w:hAnsi="Calibri" w:cs="Calibri"/>
                <w:szCs w:val="24"/>
              </w:rPr>
              <w:t>has taken</w:t>
            </w:r>
            <w:r w:rsidRPr="00041A5C">
              <w:rPr>
                <w:rFonts w:ascii="Calibri" w:hAnsi="Calibri" w:cs="Calibri"/>
                <w:szCs w:val="24"/>
              </w:rPr>
              <w:t xml:space="preserve"> place and a project team </w:t>
            </w:r>
            <w:r w:rsidR="009B6F67">
              <w:rPr>
                <w:rFonts w:ascii="Calibri" w:hAnsi="Calibri" w:cs="Calibri"/>
                <w:szCs w:val="24"/>
              </w:rPr>
              <w:t xml:space="preserve">is currently being established </w:t>
            </w:r>
            <w:r w:rsidRPr="00041A5C">
              <w:rPr>
                <w:rFonts w:ascii="Calibri" w:hAnsi="Calibri" w:cs="Calibri"/>
                <w:szCs w:val="24"/>
              </w:rPr>
              <w:t xml:space="preserve">to focus on improving our safety culture. </w:t>
            </w:r>
          </w:p>
          <w:p w14:paraId="5AD9D545" w14:textId="499CF384" w:rsidR="00041A5C" w:rsidRPr="00041A5C" w:rsidRDefault="00041A5C" w:rsidP="00041A5C">
            <w:pPr>
              <w:numPr>
                <w:ilvl w:val="0"/>
                <w:numId w:val="8"/>
              </w:numPr>
              <w:tabs>
                <w:tab w:val="center" w:pos="4513"/>
                <w:tab w:val="right" w:pos="9026"/>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r w:rsidRPr="00041A5C">
              <w:rPr>
                <w:rFonts w:ascii="Calibri" w:hAnsi="Calibri" w:cs="Calibri"/>
                <w:szCs w:val="24"/>
              </w:rPr>
              <w:t>The continuous improvement forum in POD has been established</w:t>
            </w:r>
            <w:r w:rsidR="0047415A">
              <w:rPr>
                <w:rFonts w:ascii="Calibri" w:hAnsi="Calibri" w:cs="Calibri"/>
                <w:szCs w:val="24"/>
              </w:rPr>
              <w:t>.</w:t>
            </w:r>
          </w:p>
          <w:p w14:paraId="33D7DAEE" w14:textId="5DEEA04E" w:rsidR="002929E5" w:rsidRPr="00C97C1C" w:rsidRDefault="002929E5" w:rsidP="00CB2814">
            <w:pPr>
              <w:tabs>
                <w:tab w:val="center" w:pos="4513"/>
                <w:tab w:val="right" w:pos="9026"/>
              </w:tabs>
              <w:ind w:left="36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Cs w:val="24"/>
              </w:rPr>
            </w:pPr>
          </w:p>
        </w:tc>
      </w:tr>
    </w:tbl>
    <w:p w14:paraId="27337E68" w14:textId="77777777" w:rsidR="00567986" w:rsidRDefault="00567986">
      <w:pPr>
        <w:rPr>
          <w:rFonts w:ascii="Calibri" w:hAnsi="Calibri" w:cs="Calibri"/>
          <w:b/>
          <w:color w:val="007DC3"/>
          <w:sz w:val="28"/>
        </w:rPr>
      </w:pPr>
      <w:r>
        <w:rPr>
          <w:rFonts w:ascii="Calibri" w:hAnsi="Calibri" w:cs="Calibri"/>
          <w:color w:val="007DC3"/>
        </w:rPr>
        <w:lastRenderedPageBreak/>
        <w:br w:type="page"/>
      </w:r>
    </w:p>
    <w:p w14:paraId="03CEE2BA" w14:textId="021BA85E" w:rsidR="001126C6" w:rsidRPr="00B80F36" w:rsidRDefault="008D20BE" w:rsidP="00B80F36">
      <w:pPr>
        <w:pStyle w:val="Heading2"/>
        <w:shd w:val="clear" w:color="auto" w:fill="007DC3"/>
        <w:jc w:val="center"/>
        <w:rPr>
          <w:rFonts w:ascii="Calibri" w:hAnsi="Calibri" w:cs="Calibri"/>
          <w:szCs w:val="28"/>
        </w:rPr>
      </w:pPr>
      <w:r w:rsidRPr="00B80F36">
        <w:rPr>
          <w:rFonts w:ascii="Calibri" w:hAnsi="Calibri" w:cs="Calibri"/>
          <w:szCs w:val="28"/>
        </w:rPr>
        <w:lastRenderedPageBreak/>
        <w:t>WE HAVE PROTECTED NATUR</w:t>
      </w:r>
      <w:r w:rsidR="001126C6" w:rsidRPr="00B80F36">
        <w:rPr>
          <w:rFonts w:ascii="Calibri" w:hAnsi="Calibri" w:cs="Calibri"/>
          <w:szCs w:val="28"/>
        </w:rPr>
        <w:t>E</w:t>
      </w:r>
    </w:p>
    <w:tbl>
      <w:tblPr>
        <w:tblW w:w="15737" w:type="dxa"/>
        <w:jc w:val="center"/>
        <w:tblLayout w:type="fixed"/>
        <w:tblLook w:val="04A0" w:firstRow="1" w:lastRow="0" w:firstColumn="1" w:lastColumn="0" w:noHBand="0" w:noVBand="1"/>
      </w:tblPr>
      <w:tblGrid>
        <w:gridCol w:w="1997"/>
        <w:gridCol w:w="2898"/>
        <w:gridCol w:w="1292"/>
        <w:gridCol w:w="4966"/>
        <w:gridCol w:w="4584"/>
      </w:tblGrid>
      <w:tr w:rsidR="00540A77" w:rsidRPr="001428C1" w14:paraId="52F29391" w14:textId="77777777" w:rsidTr="008070E2">
        <w:trPr>
          <w:cantSplit/>
          <w:trHeight w:val="147"/>
          <w:tblHeader/>
          <w:jc w:val="center"/>
        </w:trPr>
        <w:tc>
          <w:tcPr>
            <w:tcW w:w="1997" w:type="dxa"/>
            <w:tcBorders>
              <w:bottom w:val="single" w:sz="4" w:space="0" w:color="548DD4" w:themeColor="text2" w:themeTint="99"/>
            </w:tcBorders>
          </w:tcPr>
          <w:p w14:paraId="00AE7D92" w14:textId="77777777" w:rsidR="001126C6" w:rsidRPr="00330547" w:rsidRDefault="001126C6" w:rsidP="00E80188">
            <w:pPr>
              <w:spacing w:after="0"/>
              <w:jc w:val="center"/>
              <w:rPr>
                <w:rFonts w:ascii="Calibri" w:hAnsi="Calibri" w:cs="Calibri"/>
                <w:b/>
              </w:rPr>
            </w:pPr>
            <w:r w:rsidRPr="00330547">
              <w:rPr>
                <w:rFonts w:ascii="Calibri" w:hAnsi="Calibri" w:cs="Calibri"/>
                <w:b/>
              </w:rPr>
              <w:t>Measure</w:t>
            </w:r>
          </w:p>
        </w:tc>
        <w:tc>
          <w:tcPr>
            <w:tcW w:w="2898" w:type="dxa"/>
            <w:tcBorders>
              <w:bottom w:val="single" w:sz="4" w:space="0" w:color="548DD4" w:themeColor="text2" w:themeTint="99"/>
            </w:tcBorders>
          </w:tcPr>
          <w:p w14:paraId="4113EE74" w14:textId="77777777" w:rsidR="001126C6" w:rsidRPr="00330547" w:rsidRDefault="001126C6" w:rsidP="00E80188">
            <w:pPr>
              <w:spacing w:after="0"/>
              <w:jc w:val="center"/>
              <w:rPr>
                <w:rFonts w:ascii="Calibri" w:hAnsi="Calibri" w:cs="Calibri"/>
                <w:b/>
              </w:rPr>
            </w:pPr>
            <w:r w:rsidRPr="00330547">
              <w:rPr>
                <w:rFonts w:ascii="Calibri" w:hAnsi="Calibri" w:cs="Calibri"/>
                <w:b/>
              </w:rPr>
              <w:t>Performance Overview</w:t>
            </w:r>
          </w:p>
        </w:tc>
        <w:tc>
          <w:tcPr>
            <w:tcW w:w="1292" w:type="dxa"/>
            <w:tcBorders>
              <w:bottom w:val="single" w:sz="4" w:space="0" w:color="548DD4" w:themeColor="text2" w:themeTint="99"/>
            </w:tcBorders>
          </w:tcPr>
          <w:p w14:paraId="34AFBC9F" w14:textId="77777777" w:rsidR="001126C6" w:rsidRPr="005265DA" w:rsidRDefault="001126C6" w:rsidP="00E80188">
            <w:pPr>
              <w:spacing w:after="0"/>
              <w:jc w:val="center"/>
              <w:rPr>
                <w:rFonts w:ascii="Calibri" w:hAnsi="Calibri" w:cs="Calibri"/>
                <w:b/>
              </w:rPr>
            </w:pPr>
            <w:r w:rsidRPr="005265DA">
              <w:rPr>
                <w:rFonts w:ascii="Calibri" w:hAnsi="Calibri" w:cs="Calibri"/>
                <w:b/>
              </w:rPr>
              <w:t>Actual</w:t>
            </w:r>
          </w:p>
        </w:tc>
        <w:tc>
          <w:tcPr>
            <w:tcW w:w="4966" w:type="dxa"/>
            <w:tcBorders>
              <w:bottom w:val="single" w:sz="4" w:space="0" w:color="548DD4" w:themeColor="text2" w:themeTint="99"/>
            </w:tcBorders>
          </w:tcPr>
          <w:p w14:paraId="54E3F4F4" w14:textId="77777777" w:rsidR="001126C6" w:rsidRPr="00330547" w:rsidRDefault="001126C6" w:rsidP="00E80188">
            <w:pPr>
              <w:spacing w:after="0"/>
              <w:jc w:val="center"/>
              <w:rPr>
                <w:rFonts w:ascii="Calibri" w:hAnsi="Calibri" w:cs="Calibri"/>
                <w:b/>
              </w:rPr>
            </w:pPr>
            <w:r w:rsidRPr="00330547">
              <w:rPr>
                <w:rFonts w:ascii="Calibri" w:hAnsi="Calibri" w:cs="Calibri"/>
                <w:b/>
              </w:rPr>
              <w:t>Cause</w:t>
            </w:r>
          </w:p>
        </w:tc>
        <w:tc>
          <w:tcPr>
            <w:tcW w:w="4584" w:type="dxa"/>
            <w:tcBorders>
              <w:bottom w:val="single" w:sz="4" w:space="0" w:color="548DD4" w:themeColor="text2" w:themeTint="99"/>
            </w:tcBorders>
          </w:tcPr>
          <w:p w14:paraId="483922A3" w14:textId="77777777" w:rsidR="001126C6" w:rsidRPr="00330547" w:rsidRDefault="001126C6" w:rsidP="00E80188">
            <w:pPr>
              <w:spacing w:after="0"/>
              <w:jc w:val="center"/>
              <w:rPr>
                <w:rFonts w:ascii="Calibri" w:hAnsi="Calibri" w:cs="Calibri"/>
                <w:b/>
              </w:rPr>
            </w:pPr>
            <w:r w:rsidRPr="00330547">
              <w:rPr>
                <w:rFonts w:ascii="Calibri" w:hAnsi="Calibri" w:cs="Calibri"/>
                <w:b/>
              </w:rPr>
              <w:t>Response</w:t>
            </w:r>
          </w:p>
        </w:tc>
      </w:tr>
      <w:tr w:rsidR="00540A77" w:rsidRPr="0014395C" w14:paraId="05851F79" w14:textId="77777777" w:rsidTr="008070E2">
        <w:trPr>
          <w:trHeight w:val="898"/>
          <w:tblHeader/>
          <w:jc w:val="center"/>
        </w:trPr>
        <w:tc>
          <w:tcPr>
            <w:tcW w:w="1997" w:type="dxa"/>
            <w:tcBorders>
              <w:bottom w:val="single" w:sz="4" w:space="0" w:color="548DD4" w:themeColor="text2" w:themeTint="99"/>
            </w:tcBorders>
            <w:vAlign w:val="center"/>
          </w:tcPr>
          <w:p w14:paraId="3F13FF09" w14:textId="62AB67B6" w:rsidR="001126C6" w:rsidRPr="004F7386" w:rsidRDefault="00000000" w:rsidP="00E80188">
            <w:pPr>
              <w:spacing w:after="0"/>
              <w:jc w:val="center"/>
              <w:rPr>
                <w:rFonts w:cstheme="minorHAnsi"/>
                <w:b/>
                <w:sz w:val="20"/>
                <w:szCs w:val="20"/>
                <w:highlight w:val="yellow"/>
              </w:rPr>
            </w:pPr>
            <w:hyperlink r:id="rId12" w:history="1">
              <w:r w:rsidR="001126C6" w:rsidRPr="002976DD">
                <w:rPr>
                  <w:rStyle w:val="Hyperlink"/>
                  <w:rFonts w:cstheme="minorHAnsi"/>
                  <w:b/>
                  <w:iCs/>
                  <w:color w:val="808080" w:themeColor="background1" w:themeShade="80"/>
                  <w:sz w:val="20"/>
                  <w:szCs w:val="20"/>
                </w:rPr>
                <w:t>Stakeholder interest in MPA Information</w:t>
              </w:r>
            </w:hyperlink>
            <w:r w:rsidR="00F63AD7" w:rsidRPr="002976DD">
              <w:rPr>
                <w:rStyle w:val="Hyperlink"/>
                <w:rFonts w:cstheme="minorHAnsi"/>
                <w:b/>
                <w:iCs/>
                <w:color w:val="808080" w:themeColor="background1" w:themeShade="80"/>
                <w:sz w:val="20"/>
                <w:szCs w:val="20"/>
              </w:rPr>
              <w:t xml:space="preserve"> (hits on webpages)</w:t>
            </w:r>
          </w:p>
        </w:tc>
        <w:tc>
          <w:tcPr>
            <w:tcW w:w="2898" w:type="dxa"/>
            <w:tcBorders>
              <w:bottom w:val="single" w:sz="4" w:space="0" w:color="548DD4" w:themeColor="text2" w:themeTint="99"/>
            </w:tcBorders>
            <w:vAlign w:val="center"/>
          </w:tcPr>
          <w:p w14:paraId="179EEC61" w14:textId="10FF3E7E" w:rsidR="001126C6" w:rsidRPr="0014395C" w:rsidRDefault="00F85732" w:rsidP="00E80188">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1FEABA16" wp14:editId="3B68C109">
                  <wp:extent cx="1791779" cy="5327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4262" cy="539423"/>
                          </a:xfrm>
                          <a:prstGeom prst="rect">
                            <a:avLst/>
                          </a:prstGeom>
                          <a:noFill/>
                        </pic:spPr>
                      </pic:pic>
                    </a:graphicData>
                  </a:graphic>
                </wp:inline>
              </w:drawing>
            </w:r>
          </w:p>
        </w:tc>
        <w:tc>
          <w:tcPr>
            <w:tcW w:w="1292" w:type="dxa"/>
            <w:tcBorders>
              <w:bottom w:val="single" w:sz="4" w:space="0" w:color="548DD4" w:themeColor="text2" w:themeTint="99"/>
            </w:tcBorders>
            <w:vAlign w:val="center"/>
          </w:tcPr>
          <w:p w14:paraId="46DEFEB5" w14:textId="465CF29C" w:rsidR="001126C6" w:rsidRPr="005265DA" w:rsidRDefault="00F85732"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964</w:t>
            </w:r>
          </w:p>
        </w:tc>
        <w:tc>
          <w:tcPr>
            <w:tcW w:w="4966" w:type="dxa"/>
            <w:tcBorders>
              <w:bottom w:val="single" w:sz="4" w:space="0" w:color="548DD4" w:themeColor="text2" w:themeTint="99"/>
            </w:tcBorders>
            <w:vAlign w:val="center"/>
          </w:tcPr>
          <w:p w14:paraId="73DE4BCE" w14:textId="1540586A" w:rsidR="001126C6" w:rsidRPr="003A5820" w:rsidRDefault="006D5E49" w:rsidP="006D5E49">
            <w:pPr>
              <w:spacing w:after="0"/>
              <w:jc w:val="both"/>
              <w:rPr>
                <w:rFonts w:ascii="Calibri" w:hAnsi="Calibri" w:cs="Calibri"/>
                <w:color w:val="808080" w:themeColor="background1" w:themeShade="80"/>
                <w:sz w:val="19"/>
                <w:szCs w:val="19"/>
              </w:rPr>
            </w:pPr>
            <w:r w:rsidRPr="006D5E49">
              <w:rPr>
                <w:rFonts w:ascii="Calibri" w:hAnsi="Calibri" w:cs="Calibri"/>
                <w:color w:val="808080" w:themeColor="background1" w:themeShade="80"/>
                <w:sz w:val="19"/>
                <w:szCs w:val="19"/>
              </w:rPr>
              <w:t xml:space="preserve">Our page </w:t>
            </w:r>
            <w:r w:rsidR="00206A8E" w:rsidRPr="006D5E49">
              <w:rPr>
                <w:rFonts w:ascii="Calibri" w:hAnsi="Calibri" w:cs="Calibri"/>
                <w:color w:val="808080" w:themeColor="background1" w:themeShade="80"/>
                <w:sz w:val="19"/>
                <w:szCs w:val="19"/>
              </w:rPr>
              <w:t>on Enhancing</w:t>
            </w:r>
            <w:r w:rsidRPr="006D5E49">
              <w:rPr>
                <w:rFonts w:ascii="Calibri" w:hAnsi="Calibri" w:cs="Calibri"/>
                <w:color w:val="808080" w:themeColor="background1" w:themeShade="80"/>
                <w:sz w:val="19"/>
                <w:szCs w:val="19"/>
              </w:rPr>
              <w:t xml:space="preserve"> the protection of our seas received 75 views this quarter. While our page on Marine Protected Areas (MPAs) received 889 </w:t>
            </w:r>
            <w:r w:rsidR="00206A8E" w:rsidRPr="006D5E49">
              <w:rPr>
                <w:rFonts w:ascii="Calibri" w:hAnsi="Calibri" w:cs="Calibri"/>
                <w:color w:val="808080" w:themeColor="background1" w:themeShade="80"/>
                <w:sz w:val="19"/>
                <w:szCs w:val="19"/>
              </w:rPr>
              <w:t>page views</w:t>
            </w:r>
            <w:r w:rsidRPr="006D5E49">
              <w:rPr>
                <w:rFonts w:ascii="Calibri" w:hAnsi="Calibri" w:cs="Calibri"/>
                <w:color w:val="808080" w:themeColor="background1" w:themeShade="80"/>
                <w:sz w:val="19"/>
                <w:szCs w:val="19"/>
              </w:rPr>
              <w:t xml:space="preserve">. </w:t>
            </w:r>
          </w:p>
        </w:tc>
        <w:tc>
          <w:tcPr>
            <w:tcW w:w="4584" w:type="dxa"/>
            <w:tcBorders>
              <w:bottom w:val="single" w:sz="4" w:space="0" w:color="548DD4" w:themeColor="text2" w:themeTint="99"/>
            </w:tcBorders>
            <w:vAlign w:val="center"/>
          </w:tcPr>
          <w:p w14:paraId="320F06D0" w14:textId="7C95411F" w:rsidR="001126C6" w:rsidRPr="003A5820" w:rsidRDefault="006D5E49" w:rsidP="00E80188">
            <w:pPr>
              <w:spacing w:after="0"/>
              <w:jc w:val="both"/>
              <w:rPr>
                <w:rFonts w:ascii="Calibri" w:hAnsi="Calibri" w:cs="Calibri"/>
                <w:color w:val="808080" w:themeColor="background1" w:themeShade="80"/>
                <w:sz w:val="19"/>
                <w:szCs w:val="19"/>
              </w:rPr>
            </w:pPr>
            <w:r w:rsidRPr="006D5E49">
              <w:rPr>
                <w:rFonts w:ascii="Calibri" w:hAnsi="Calibri" w:cs="Calibri"/>
                <w:color w:val="808080" w:themeColor="background1" w:themeShade="80"/>
                <w:sz w:val="19"/>
                <w:szCs w:val="19"/>
              </w:rPr>
              <w:t>We are developing a joint communications strategy with the Marine Directorate</w:t>
            </w:r>
            <w:r w:rsidR="007652CA">
              <w:rPr>
                <w:rFonts w:ascii="Calibri" w:hAnsi="Calibri" w:cs="Calibri"/>
                <w:color w:val="808080" w:themeColor="background1" w:themeShade="80"/>
                <w:sz w:val="19"/>
                <w:szCs w:val="19"/>
              </w:rPr>
              <w:t xml:space="preserve"> (MD)</w:t>
            </w:r>
            <w:r w:rsidRPr="006D5E49">
              <w:rPr>
                <w:rFonts w:ascii="Calibri" w:hAnsi="Calibri" w:cs="Calibri"/>
                <w:color w:val="808080" w:themeColor="background1" w:themeShade="80"/>
                <w:sz w:val="19"/>
                <w:szCs w:val="19"/>
              </w:rPr>
              <w:t xml:space="preserve"> for enhanced marine protection in Scotland's seas. It is anticipated that this will lead to increased social media communications which will help drive traffic to the webpages.</w:t>
            </w:r>
          </w:p>
        </w:tc>
      </w:tr>
      <w:tr w:rsidR="00540A77" w:rsidRPr="0014395C" w14:paraId="548C1438" w14:textId="77777777" w:rsidTr="008070E2">
        <w:trPr>
          <w:cantSplit/>
          <w:trHeight w:val="1274"/>
          <w:tblHeader/>
          <w:jc w:val="center"/>
        </w:trPr>
        <w:tc>
          <w:tcPr>
            <w:tcW w:w="1997" w:type="dxa"/>
            <w:tcBorders>
              <w:bottom w:val="single" w:sz="4" w:space="0" w:color="548DD4" w:themeColor="text2" w:themeTint="99"/>
            </w:tcBorders>
            <w:vAlign w:val="center"/>
          </w:tcPr>
          <w:p w14:paraId="5F152A7D" w14:textId="77777777" w:rsidR="001126C6" w:rsidRPr="004F7386" w:rsidRDefault="00000000" w:rsidP="00E80188">
            <w:pPr>
              <w:spacing w:after="0"/>
              <w:jc w:val="center"/>
              <w:rPr>
                <w:rFonts w:ascii="Calibri" w:hAnsi="Calibri" w:cs="Calibri"/>
                <w:b/>
                <w:iCs/>
                <w:color w:val="808080" w:themeColor="background1" w:themeShade="80"/>
                <w:sz w:val="20"/>
                <w:szCs w:val="20"/>
                <w:highlight w:val="yellow"/>
              </w:rPr>
            </w:pPr>
            <w:hyperlink r:id="rId14" w:history="1">
              <w:r w:rsidR="001126C6" w:rsidRPr="00540A77">
                <w:rPr>
                  <w:rStyle w:val="Hyperlink"/>
                  <w:rFonts w:ascii="Calibri" w:hAnsi="Calibri" w:cs="Calibri"/>
                  <w:b/>
                  <w:iCs/>
                  <w:color w:val="808080" w:themeColor="background1" w:themeShade="80"/>
                  <w:sz w:val="20"/>
                  <w:szCs w:val="20"/>
                </w:rPr>
                <w:t>No. of restoration projects for which we’ve provided advice</w:t>
              </w:r>
            </w:hyperlink>
          </w:p>
        </w:tc>
        <w:tc>
          <w:tcPr>
            <w:tcW w:w="2898" w:type="dxa"/>
            <w:tcBorders>
              <w:bottom w:val="single" w:sz="4" w:space="0" w:color="548DD4" w:themeColor="text2" w:themeTint="99"/>
            </w:tcBorders>
            <w:vAlign w:val="center"/>
          </w:tcPr>
          <w:p w14:paraId="4A0BECD4" w14:textId="6E13A032" w:rsidR="001126C6" w:rsidRPr="0014395C" w:rsidRDefault="0043465F"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05AE99A3" wp14:editId="11EB5905">
                  <wp:extent cx="1791335" cy="600175"/>
                  <wp:effectExtent l="0" t="0" r="0" b="0"/>
                  <wp:docPr id="2051268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3443" cy="604232"/>
                          </a:xfrm>
                          <a:prstGeom prst="rect">
                            <a:avLst/>
                          </a:prstGeom>
                          <a:noFill/>
                        </pic:spPr>
                      </pic:pic>
                    </a:graphicData>
                  </a:graphic>
                </wp:inline>
              </w:drawing>
            </w:r>
          </w:p>
        </w:tc>
        <w:tc>
          <w:tcPr>
            <w:tcW w:w="1292" w:type="dxa"/>
            <w:tcBorders>
              <w:bottom w:val="single" w:sz="4" w:space="0" w:color="548DD4" w:themeColor="text2" w:themeTint="99"/>
            </w:tcBorders>
            <w:vAlign w:val="center"/>
          </w:tcPr>
          <w:p w14:paraId="46895EAD" w14:textId="090A4E98" w:rsidR="001126C6" w:rsidRPr="005265DA" w:rsidRDefault="001E1AFD"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14</w:t>
            </w:r>
          </w:p>
        </w:tc>
        <w:tc>
          <w:tcPr>
            <w:tcW w:w="4966" w:type="dxa"/>
            <w:tcBorders>
              <w:bottom w:val="single" w:sz="4" w:space="0" w:color="548DD4" w:themeColor="text2" w:themeTint="99"/>
            </w:tcBorders>
            <w:vAlign w:val="center"/>
          </w:tcPr>
          <w:p w14:paraId="1F01EEA3" w14:textId="1A0D9439" w:rsidR="001126C6" w:rsidRPr="003A5820" w:rsidRDefault="007652CA" w:rsidP="00E80188">
            <w:pPr>
              <w:spacing w:after="0"/>
              <w:jc w:val="both"/>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E</w:t>
            </w:r>
            <w:r w:rsidR="001E1AFD" w:rsidRPr="001E1AFD">
              <w:rPr>
                <w:rFonts w:ascii="Calibri" w:hAnsi="Calibri" w:cs="Calibri"/>
                <w:color w:val="808080" w:themeColor="background1" w:themeShade="80"/>
                <w:sz w:val="19"/>
                <w:szCs w:val="19"/>
              </w:rPr>
              <w:t xml:space="preserve">xisting projects </w:t>
            </w:r>
            <w:r w:rsidR="00206A8E">
              <w:rPr>
                <w:rFonts w:ascii="Calibri" w:hAnsi="Calibri" w:cs="Calibri"/>
                <w:color w:val="808080" w:themeColor="background1" w:themeShade="80"/>
                <w:sz w:val="19"/>
                <w:szCs w:val="19"/>
              </w:rPr>
              <w:t xml:space="preserve">on licensing and Habitats Regulation Appraisals </w:t>
            </w:r>
            <w:r w:rsidR="001E1AFD" w:rsidRPr="001E1AFD">
              <w:rPr>
                <w:rFonts w:ascii="Calibri" w:hAnsi="Calibri" w:cs="Calibri"/>
                <w:color w:val="808080" w:themeColor="background1" w:themeShade="80"/>
                <w:sz w:val="19"/>
                <w:szCs w:val="19"/>
              </w:rPr>
              <w:t xml:space="preserve">have </w:t>
            </w:r>
            <w:r w:rsidR="00206A8E">
              <w:rPr>
                <w:rFonts w:ascii="Calibri" w:hAnsi="Calibri" w:cs="Calibri"/>
                <w:color w:val="808080" w:themeColor="background1" w:themeShade="80"/>
                <w:sz w:val="19"/>
                <w:szCs w:val="19"/>
              </w:rPr>
              <w:t>required</w:t>
            </w:r>
            <w:r w:rsidR="001E1AFD" w:rsidRPr="001E1AFD">
              <w:rPr>
                <w:rFonts w:ascii="Calibri" w:hAnsi="Calibri" w:cs="Calibri"/>
                <w:color w:val="808080" w:themeColor="background1" w:themeShade="80"/>
                <w:sz w:val="19"/>
                <w:szCs w:val="19"/>
              </w:rPr>
              <w:t xml:space="preserve"> significant detailed input recent</w:t>
            </w:r>
            <w:r>
              <w:rPr>
                <w:rFonts w:ascii="Calibri" w:hAnsi="Calibri" w:cs="Calibri"/>
                <w:color w:val="808080" w:themeColor="background1" w:themeShade="80"/>
                <w:sz w:val="19"/>
                <w:szCs w:val="19"/>
              </w:rPr>
              <w:t>ly</w:t>
            </w:r>
            <w:r w:rsidR="001E1AFD" w:rsidRPr="001E1AFD">
              <w:rPr>
                <w:rFonts w:ascii="Calibri" w:hAnsi="Calibri" w:cs="Calibri"/>
                <w:color w:val="808080" w:themeColor="background1" w:themeShade="80"/>
                <w:sz w:val="19"/>
                <w:szCs w:val="19"/>
              </w:rPr>
              <w:t>. Advice has been provided to NatureScot colleagues</w:t>
            </w:r>
            <w:r w:rsidR="00206A8E">
              <w:rPr>
                <w:rFonts w:ascii="Calibri" w:hAnsi="Calibri" w:cs="Calibri"/>
                <w:color w:val="808080" w:themeColor="background1" w:themeShade="80"/>
                <w:sz w:val="19"/>
                <w:szCs w:val="19"/>
              </w:rPr>
              <w:t xml:space="preserve"> on</w:t>
            </w:r>
            <w:r w:rsidR="001E1AFD" w:rsidRPr="001E1AFD">
              <w:rPr>
                <w:rFonts w:ascii="Calibri" w:hAnsi="Calibri" w:cs="Calibri"/>
                <w:color w:val="808080" w:themeColor="background1" w:themeShade="80"/>
                <w:sz w:val="19"/>
                <w:szCs w:val="19"/>
              </w:rPr>
              <w:t xml:space="preserve"> </w:t>
            </w:r>
            <w:r w:rsidR="00206A8E" w:rsidRPr="001E1AFD">
              <w:rPr>
                <w:rFonts w:ascii="Calibri" w:hAnsi="Calibri" w:cs="Calibri"/>
                <w:color w:val="808080" w:themeColor="background1" w:themeShade="80"/>
                <w:sz w:val="19"/>
                <w:szCs w:val="19"/>
              </w:rPr>
              <w:t>several</w:t>
            </w:r>
            <w:r w:rsidR="0043465F">
              <w:rPr>
                <w:rFonts w:ascii="Calibri" w:hAnsi="Calibri" w:cs="Calibri"/>
                <w:color w:val="808080" w:themeColor="background1" w:themeShade="80"/>
                <w:sz w:val="19"/>
                <w:szCs w:val="19"/>
              </w:rPr>
              <w:t xml:space="preserve"> Nature Restoration Fund (</w:t>
            </w:r>
            <w:r w:rsidR="001E1AFD" w:rsidRPr="001E1AFD">
              <w:rPr>
                <w:rFonts w:ascii="Calibri" w:hAnsi="Calibri" w:cs="Calibri"/>
                <w:color w:val="808080" w:themeColor="background1" w:themeShade="80"/>
                <w:sz w:val="19"/>
                <w:szCs w:val="19"/>
              </w:rPr>
              <w:t>NRF</w:t>
            </w:r>
            <w:r w:rsidR="0043465F">
              <w:rPr>
                <w:rFonts w:ascii="Calibri" w:hAnsi="Calibri" w:cs="Calibri"/>
                <w:color w:val="808080" w:themeColor="background1" w:themeShade="80"/>
                <w:sz w:val="19"/>
                <w:szCs w:val="19"/>
              </w:rPr>
              <w:t>)</w:t>
            </w:r>
            <w:r w:rsidR="001E1AFD" w:rsidRPr="001E1AFD">
              <w:rPr>
                <w:rFonts w:ascii="Calibri" w:hAnsi="Calibri" w:cs="Calibri"/>
                <w:color w:val="808080" w:themeColor="background1" w:themeShade="80"/>
                <w:sz w:val="19"/>
                <w:szCs w:val="19"/>
              </w:rPr>
              <w:t xml:space="preserve"> and </w:t>
            </w:r>
            <w:r w:rsidR="00206A8E" w:rsidRPr="00206A8E">
              <w:rPr>
                <w:rFonts w:ascii="Calibri" w:hAnsi="Calibri" w:cs="Calibri"/>
                <w:color w:val="808080" w:themeColor="background1" w:themeShade="80"/>
                <w:sz w:val="19"/>
                <w:szCs w:val="19"/>
              </w:rPr>
              <w:t>Facility for Investment Ready Nature in Scotland</w:t>
            </w:r>
            <w:r w:rsidR="00206A8E">
              <w:rPr>
                <w:rFonts w:ascii="Calibri" w:hAnsi="Calibri" w:cs="Calibri"/>
                <w:color w:val="808080" w:themeColor="background1" w:themeShade="80"/>
                <w:sz w:val="19"/>
                <w:szCs w:val="19"/>
              </w:rPr>
              <w:t xml:space="preserve"> (</w:t>
            </w:r>
            <w:r w:rsidR="001E1AFD" w:rsidRPr="001E1AFD">
              <w:rPr>
                <w:rFonts w:ascii="Calibri" w:hAnsi="Calibri" w:cs="Calibri"/>
                <w:color w:val="808080" w:themeColor="background1" w:themeShade="80"/>
                <w:sz w:val="19"/>
                <w:szCs w:val="19"/>
              </w:rPr>
              <w:t>FIRNS</w:t>
            </w:r>
            <w:r w:rsidR="00206A8E">
              <w:rPr>
                <w:rFonts w:ascii="Calibri" w:hAnsi="Calibri" w:cs="Calibri"/>
                <w:color w:val="808080" w:themeColor="background1" w:themeShade="80"/>
                <w:sz w:val="19"/>
                <w:szCs w:val="19"/>
              </w:rPr>
              <w:t>)</w:t>
            </w:r>
            <w:r w:rsidR="001E1AFD" w:rsidRPr="001E1AFD">
              <w:rPr>
                <w:rFonts w:ascii="Calibri" w:hAnsi="Calibri" w:cs="Calibri"/>
                <w:color w:val="808080" w:themeColor="background1" w:themeShade="80"/>
                <w:sz w:val="19"/>
                <w:szCs w:val="19"/>
              </w:rPr>
              <w:t xml:space="preserve"> funding proposals</w:t>
            </w:r>
            <w:r w:rsidR="0043465F">
              <w:rPr>
                <w:rFonts w:ascii="Calibri" w:hAnsi="Calibri" w:cs="Calibri"/>
                <w:color w:val="808080" w:themeColor="background1" w:themeShade="80"/>
                <w:sz w:val="19"/>
                <w:szCs w:val="19"/>
              </w:rPr>
              <w:t>,</w:t>
            </w:r>
            <w:r w:rsidR="001E1AFD" w:rsidRPr="001E1AFD">
              <w:rPr>
                <w:rFonts w:ascii="Calibri" w:hAnsi="Calibri" w:cs="Calibri"/>
                <w:color w:val="808080" w:themeColor="background1" w:themeShade="80"/>
                <w:sz w:val="19"/>
                <w:szCs w:val="19"/>
              </w:rPr>
              <w:t xml:space="preserve"> and to </w:t>
            </w:r>
            <w:r w:rsidR="0043465F" w:rsidRPr="0043465F">
              <w:rPr>
                <w:rFonts w:ascii="Calibri" w:hAnsi="Calibri" w:cs="Calibri"/>
                <w:color w:val="808080" w:themeColor="background1" w:themeShade="80"/>
                <w:sz w:val="19"/>
                <w:szCs w:val="19"/>
              </w:rPr>
              <w:t>Scottish Marine Environmental Enhancement Fund</w:t>
            </w:r>
            <w:r w:rsidR="0043465F">
              <w:rPr>
                <w:rFonts w:ascii="Calibri" w:hAnsi="Calibri" w:cs="Calibri"/>
                <w:color w:val="808080" w:themeColor="background1" w:themeShade="80"/>
                <w:sz w:val="19"/>
                <w:szCs w:val="19"/>
              </w:rPr>
              <w:t xml:space="preserve"> (</w:t>
            </w:r>
            <w:r w:rsidR="001E1AFD" w:rsidRPr="001E1AFD">
              <w:rPr>
                <w:rFonts w:ascii="Calibri" w:hAnsi="Calibri" w:cs="Calibri"/>
                <w:color w:val="808080" w:themeColor="background1" w:themeShade="80"/>
                <w:sz w:val="19"/>
                <w:szCs w:val="19"/>
              </w:rPr>
              <w:t>SMEEF</w:t>
            </w:r>
            <w:r w:rsidR="0043465F">
              <w:rPr>
                <w:rFonts w:ascii="Calibri" w:hAnsi="Calibri" w:cs="Calibri"/>
                <w:color w:val="808080" w:themeColor="background1" w:themeShade="80"/>
                <w:sz w:val="19"/>
                <w:szCs w:val="19"/>
              </w:rPr>
              <w:t>)</w:t>
            </w:r>
            <w:r w:rsidR="001E1AFD" w:rsidRPr="001E1AFD">
              <w:rPr>
                <w:rFonts w:ascii="Calibri" w:hAnsi="Calibri" w:cs="Calibri"/>
                <w:color w:val="808080" w:themeColor="background1" w:themeShade="80"/>
                <w:sz w:val="19"/>
                <w:szCs w:val="19"/>
              </w:rPr>
              <w:t xml:space="preserve"> </w:t>
            </w:r>
            <w:r w:rsidR="0043465F" w:rsidRPr="001E1AFD">
              <w:rPr>
                <w:rFonts w:ascii="Calibri" w:hAnsi="Calibri" w:cs="Calibri"/>
                <w:color w:val="808080" w:themeColor="background1" w:themeShade="80"/>
                <w:sz w:val="19"/>
                <w:szCs w:val="19"/>
              </w:rPr>
              <w:t>about</w:t>
            </w:r>
            <w:r w:rsidR="001E1AFD" w:rsidRPr="001E1AFD">
              <w:rPr>
                <w:rFonts w:ascii="Calibri" w:hAnsi="Calibri" w:cs="Calibri"/>
                <w:color w:val="808080" w:themeColor="background1" w:themeShade="80"/>
                <w:sz w:val="19"/>
                <w:szCs w:val="19"/>
              </w:rPr>
              <w:t xml:space="preserve"> the recently announced partnership with</w:t>
            </w:r>
            <w:r w:rsidR="0043465F">
              <w:rPr>
                <w:rFonts w:ascii="Calibri" w:hAnsi="Calibri" w:cs="Calibri"/>
                <w:color w:val="808080" w:themeColor="background1" w:themeShade="80"/>
                <w:sz w:val="19"/>
                <w:szCs w:val="19"/>
              </w:rPr>
              <w:t xml:space="preserve"> </w:t>
            </w:r>
            <w:r w:rsidR="0043465F" w:rsidRPr="0043465F">
              <w:rPr>
                <w:rFonts w:ascii="Calibri" w:hAnsi="Calibri" w:cs="Calibri"/>
                <w:color w:val="808080" w:themeColor="background1" w:themeShade="80"/>
                <w:sz w:val="19"/>
                <w:szCs w:val="19"/>
              </w:rPr>
              <w:t>Scottish and Southern Electricity Networks</w:t>
            </w:r>
            <w:r w:rsidR="0043465F">
              <w:rPr>
                <w:rFonts w:ascii="Calibri" w:hAnsi="Calibri" w:cs="Calibri"/>
                <w:color w:val="808080" w:themeColor="background1" w:themeShade="80"/>
                <w:sz w:val="19"/>
                <w:szCs w:val="19"/>
              </w:rPr>
              <w:t xml:space="preserve"> (</w:t>
            </w:r>
            <w:r w:rsidR="001E1AFD" w:rsidRPr="001E1AFD">
              <w:rPr>
                <w:rFonts w:ascii="Calibri" w:hAnsi="Calibri" w:cs="Calibri"/>
                <w:color w:val="808080" w:themeColor="background1" w:themeShade="80"/>
                <w:sz w:val="19"/>
                <w:szCs w:val="19"/>
              </w:rPr>
              <w:t>SSEN</w:t>
            </w:r>
            <w:r w:rsidR="0043465F">
              <w:rPr>
                <w:rFonts w:ascii="Calibri" w:hAnsi="Calibri" w:cs="Calibri"/>
                <w:color w:val="808080" w:themeColor="background1" w:themeShade="80"/>
                <w:sz w:val="19"/>
                <w:szCs w:val="19"/>
              </w:rPr>
              <w:t>)</w:t>
            </w:r>
            <w:r w:rsidR="001E1AFD" w:rsidRPr="001E1AFD">
              <w:rPr>
                <w:rFonts w:ascii="Calibri" w:hAnsi="Calibri" w:cs="Calibri"/>
                <w:color w:val="808080" w:themeColor="background1" w:themeShade="80"/>
                <w:sz w:val="19"/>
                <w:szCs w:val="19"/>
              </w:rPr>
              <w:t>.</w:t>
            </w:r>
          </w:p>
        </w:tc>
        <w:tc>
          <w:tcPr>
            <w:tcW w:w="4584" w:type="dxa"/>
            <w:tcBorders>
              <w:bottom w:val="single" w:sz="4" w:space="0" w:color="548DD4" w:themeColor="text2" w:themeTint="99"/>
            </w:tcBorders>
            <w:vAlign w:val="center"/>
          </w:tcPr>
          <w:p w14:paraId="282CAA40" w14:textId="20A660AB" w:rsidR="001126C6" w:rsidRPr="003A5820" w:rsidRDefault="001E1AFD" w:rsidP="00E80188">
            <w:pPr>
              <w:spacing w:after="0"/>
              <w:jc w:val="both"/>
              <w:rPr>
                <w:rFonts w:ascii="Calibri" w:hAnsi="Calibri" w:cs="Calibri"/>
                <w:color w:val="808080" w:themeColor="background1" w:themeShade="80"/>
                <w:sz w:val="19"/>
                <w:szCs w:val="19"/>
              </w:rPr>
            </w:pPr>
            <w:r w:rsidRPr="001E1AFD">
              <w:rPr>
                <w:rFonts w:ascii="Calibri" w:hAnsi="Calibri" w:cs="Calibri"/>
                <w:color w:val="808080" w:themeColor="background1" w:themeShade="80"/>
                <w:sz w:val="19"/>
                <w:szCs w:val="19"/>
              </w:rPr>
              <w:t xml:space="preserve">The enhancement team continues to provide advice to colleagues in the </w:t>
            </w:r>
            <w:r w:rsidR="007652CA">
              <w:rPr>
                <w:rFonts w:ascii="Calibri" w:hAnsi="Calibri" w:cs="Calibri"/>
                <w:color w:val="808080" w:themeColor="background1" w:themeShade="80"/>
                <w:sz w:val="19"/>
                <w:szCs w:val="19"/>
              </w:rPr>
              <w:t xml:space="preserve">MD </w:t>
            </w:r>
            <w:r w:rsidRPr="001E1AFD">
              <w:rPr>
                <w:rFonts w:ascii="Calibri" w:hAnsi="Calibri" w:cs="Calibri"/>
                <w:color w:val="808080" w:themeColor="background1" w:themeShade="80"/>
                <w:sz w:val="19"/>
                <w:szCs w:val="19"/>
              </w:rPr>
              <w:t>and other agencies/</w:t>
            </w:r>
            <w:r w:rsidR="0043465F">
              <w:rPr>
                <w:rFonts w:ascii="Calibri" w:hAnsi="Calibri" w:cs="Calibri"/>
                <w:color w:val="808080" w:themeColor="background1" w:themeShade="80"/>
                <w:sz w:val="19"/>
                <w:szCs w:val="19"/>
              </w:rPr>
              <w:t>Statutory Nature Conservation Bodies (</w:t>
            </w:r>
            <w:r w:rsidRPr="001E1AFD">
              <w:rPr>
                <w:rFonts w:ascii="Calibri" w:hAnsi="Calibri" w:cs="Calibri"/>
                <w:color w:val="808080" w:themeColor="background1" w:themeShade="80"/>
                <w:sz w:val="19"/>
                <w:szCs w:val="19"/>
              </w:rPr>
              <w:t>SNCBs</w:t>
            </w:r>
            <w:r w:rsidR="0043465F">
              <w:rPr>
                <w:rFonts w:ascii="Calibri" w:hAnsi="Calibri" w:cs="Calibri"/>
                <w:color w:val="808080" w:themeColor="background1" w:themeShade="80"/>
                <w:sz w:val="19"/>
                <w:szCs w:val="19"/>
              </w:rPr>
              <w:t>)</w:t>
            </w:r>
            <w:r w:rsidRPr="001E1AFD">
              <w:rPr>
                <w:rFonts w:ascii="Calibri" w:hAnsi="Calibri" w:cs="Calibri"/>
                <w:color w:val="808080" w:themeColor="background1" w:themeShade="80"/>
                <w:sz w:val="19"/>
                <w:szCs w:val="19"/>
              </w:rPr>
              <w:t>.</w:t>
            </w:r>
          </w:p>
        </w:tc>
      </w:tr>
      <w:tr w:rsidR="00540A77" w:rsidRPr="0014395C" w14:paraId="20947602" w14:textId="77777777" w:rsidTr="008070E2">
        <w:trPr>
          <w:cantSplit/>
          <w:trHeight w:val="1159"/>
          <w:tblHeader/>
          <w:jc w:val="center"/>
        </w:trPr>
        <w:tc>
          <w:tcPr>
            <w:tcW w:w="1997" w:type="dxa"/>
            <w:tcBorders>
              <w:bottom w:val="single" w:sz="4" w:space="0" w:color="548DD4" w:themeColor="text2" w:themeTint="99"/>
            </w:tcBorders>
            <w:vAlign w:val="center"/>
          </w:tcPr>
          <w:p w14:paraId="1CF08050" w14:textId="3191D674" w:rsidR="001126C6" w:rsidRPr="0014395C" w:rsidRDefault="00000000" w:rsidP="00E80188">
            <w:pPr>
              <w:spacing w:after="0"/>
              <w:jc w:val="center"/>
              <w:rPr>
                <w:rFonts w:ascii="Calibri" w:hAnsi="Calibri" w:cs="Calibri"/>
                <w:b/>
                <w:iCs/>
                <w:color w:val="808080" w:themeColor="background1" w:themeShade="80"/>
                <w:sz w:val="20"/>
                <w:szCs w:val="20"/>
              </w:rPr>
            </w:pPr>
            <w:hyperlink r:id="rId16" w:history="1">
              <w:r w:rsidR="00B80F36" w:rsidRPr="0014395C">
                <w:rPr>
                  <w:rStyle w:val="Hyperlink"/>
                  <w:rFonts w:ascii="Calibri" w:hAnsi="Calibri" w:cs="Calibri"/>
                  <w:b/>
                  <w:iCs/>
                  <w:color w:val="808080" w:themeColor="background1" w:themeShade="80"/>
                  <w:sz w:val="20"/>
                  <w:szCs w:val="20"/>
                </w:rPr>
                <w:t>Li</w:t>
              </w:r>
              <w:r w:rsidR="001126C6" w:rsidRPr="0014395C">
                <w:rPr>
                  <w:rStyle w:val="Hyperlink"/>
                  <w:rFonts w:ascii="Calibri" w:hAnsi="Calibri" w:cs="Calibri"/>
                  <w:b/>
                  <w:iCs/>
                  <w:color w:val="808080" w:themeColor="background1" w:themeShade="80"/>
                  <w:sz w:val="20"/>
                  <w:szCs w:val="20"/>
                </w:rPr>
                <w:t>cense applications turnaround time within standards</w:t>
              </w:r>
            </w:hyperlink>
          </w:p>
        </w:tc>
        <w:tc>
          <w:tcPr>
            <w:tcW w:w="2898" w:type="dxa"/>
            <w:tcBorders>
              <w:bottom w:val="single" w:sz="4" w:space="0" w:color="548DD4" w:themeColor="text2" w:themeTint="99"/>
            </w:tcBorders>
            <w:vAlign w:val="center"/>
          </w:tcPr>
          <w:p w14:paraId="517739FA" w14:textId="2FE31533" w:rsidR="001126C6" w:rsidRPr="0014395C" w:rsidRDefault="001E1AFD"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Data Not available</w:t>
            </w:r>
          </w:p>
        </w:tc>
        <w:tc>
          <w:tcPr>
            <w:tcW w:w="1292" w:type="dxa"/>
            <w:tcBorders>
              <w:bottom w:val="single" w:sz="4" w:space="0" w:color="548DD4" w:themeColor="text2" w:themeTint="99"/>
            </w:tcBorders>
            <w:vAlign w:val="center"/>
          </w:tcPr>
          <w:p w14:paraId="65F81F82" w14:textId="197EA2E7" w:rsidR="001126C6" w:rsidRPr="005265DA" w:rsidRDefault="001E1AFD"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N/A</w:t>
            </w:r>
          </w:p>
        </w:tc>
        <w:tc>
          <w:tcPr>
            <w:tcW w:w="4966" w:type="dxa"/>
            <w:tcBorders>
              <w:bottom w:val="single" w:sz="4" w:space="0" w:color="548DD4" w:themeColor="text2" w:themeTint="99"/>
            </w:tcBorders>
            <w:vAlign w:val="center"/>
          </w:tcPr>
          <w:p w14:paraId="7ADDA972" w14:textId="49730A50" w:rsidR="001126C6" w:rsidRPr="003A5820" w:rsidRDefault="0020017B" w:rsidP="00E80188">
            <w:pPr>
              <w:spacing w:after="0"/>
              <w:jc w:val="both"/>
              <w:rPr>
                <w:rFonts w:ascii="Calibri" w:hAnsi="Calibri" w:cs="Calibri"/>
                <w:color w:val="808080" w:themeColor="background1" w:themeShade="80"/>
                <w:sz w:val="19"/>
                <w:szCs w:val="19"/>
              </w:rPr>
            </w:pPr>
            <w:r>
              <w:rPr>
                <w:rFonts w:ascii="Calibri" w:hAnsi="Calibri" w:cs="Calibri"/>
                <w:color w:val="808080" w:themeColor="background1" w:themeShade="80"/>
                <w:sz w:val="19"/>
                <w:szCs w:val="19"/>
              </w:rPr>
              <w:t>NA</w:t>
            </w:r>
          </w:p>
        </w:tc>
        <w:tc>
          <w:tcPr>
            <w:tcW w:w="4584" w:type="dxa"/>
            <w:tcBorders>
              <w:bottom w:val="single" w:sz="4" w:space="0" w:color="548DD4" w:themeColor="text2" w:themeTint="99"/>
            </w:tcBorders>
            <w:vAlign w:val="center"/>
          </w:tcPr>
          <w:p w14:paraId="24BA77D9" w14:textId="57D7ABE7" w:rsidR="001126C6" w:rsidRPr="003A5820" w:rsidRDefault="00505A57" w:rsidP="00044D57">
            <w:pPr>
              <w:spacing w:after="0"/>
              <w:jc w:val="both"/>
              <w:rPr>
                <w:rFonts w:ascii="Calibri" w:hAnsi="Calibri" w:cs="Calibri"/>
                <w:color w:val="808080" w:themeColor="background1" w:themeShade="80"/>
                <w:sz w:val="19"/>
                <w:szCs w:val="19"/>
              </w:rPr>
            </w:pPr>
            <w:r w:rsidRPr="0095308B">
              <w:rPr>
                <w:rFonts w:ascii="Calibri" w:hAnsi="Calibri" w:cs="Calibri"/>
                <w:color w:val="808080" w:themeColor="background1" w:themeShade="80"/>
                <w:sz w:val="19"/>
                <w:szCs w:val="19"/>
              </w:rPr>
              <w:t>Aiming to produce these standards in Q</w:t>
            </w:r>
            <w:r w:rsidR="0095308B" w:rsidRPr="0095308B">
              <w:rPr>
                <w:rFonts w:ascii="Calibri" w:hAnsi="Calibri" w:cs="Calibri"/>
                <w:color w:val="808080" w:themeColor="background1" w:themeShade="80"/>
                <w:sz w:val="19"/>
                <w:szCs w:val="19"/>
              </w:rPr>
              <w:t>2</w:t>
            </w:r>
            <w:r w:rsidRPr="0095308B">
              <w:rPr>
                <w:rFonts w:ascii="Calibri" w:hAnsi="Calibri" w:cs="Calibri"/>
                <w:color w:val="808080" w:themeColor="background1" w:themeShade="80"/>
                <w:sz w:val="19"/>
                <w:szCs w:val="19"/>
              </w:rPr>
              <w:t xml:space="preserve"> </w:t>
            </w:r>
            <w:r w:rsidR="0095308B" w:rsidRPr="0095308B">
              <w:rPr>
                <w:rFonts w:ascii="Calibri" w:hAnsi="Calibri" w:cs="Calibri"/>
                <w:color w:val="808080" w:themeColor="background1" w:themeShade="80"/>
                <w:sz w:val="19"/>
                <w:szCs w:val="19"/>
              </w:rPr>
              <w:t>of 2024/25.</w:t>
            </w:r>
          </w:p>
        </w:tc>
      </w:tr>
      <w:bookmarkStart w:id="1" w:name="_Hlk155774122"/>
      <w:tr w:rsidR="00540A77" w:rsidRPr="0014395C" w14:paraId="2644D0BA" w14:textId="77777777" w:rsidTr="008070E2">
        <w:trPr>
          <w:cantSplit/>
          <w:trHeight w:val="1027"/>
          <w:tblHeader/>
          <w:jc w:val="center"/>
        </w:trPr>
        <w:tc>
          <w:tcPr>
            <w:tcW w:w="1997" w:type="dxa"/>
            <w:tcBorders>
              <w:bottom w:val="single" w:sz="4" w:space="0" w:color="548DD4" w:themeColor="text2" w:themeTint="99"/>
            </w:tcBorders>
            <w:vAlign w:val="center"/>
          </w:tcPr>
          <w:p w14:paraId="7A7FEAB6" w14:textId="7625D96D" w:rsidR="001126C6" w:rsidRPr="009C109E" w:rsidRDefault="002976DD" w:rsidP="00E80188">
            <w:pPr>
              <w:spacing w:after="0"/>
              <w:jc w:val="center"/>
              <w:rPr>
                <w:rFonts w:ascii="Calibri" w:hAnsi="Calibri" w:cs="Calibri"/>
                <w:b/>
                <w:iCs/>
                <w:color w:val="808080" w:themeColor="background1" w:themeShade="80"/>
                <w:sz w:val="20"/>
                <w:szCs w:val="20"/>
              </w:rPr>
            </w:pPr>
            <w:r w:rsidRPr="009C109E">
              <w:rPr>
                <w:highlight w:val="red"/>
              </w:rPr>
              <w:fldChar w:fldCharType="begin"/>
            </w:r>
            <w:r w:rsidRPr="009C109E">
              <w:instrText xml:space="preserve"> HYPERLINK "https://naturescot.nexus.objective.co.uk/documents/A3920276/details" </w:instrText>
            </w:r>
            <w:r w:rsidRPr="009C109E">
              <w:rPr>
                <w:highlight w:val="red"/>
              </w:rPr>
            </w:r>
            <w:r w:rsidRPr="009C109E">
              <w:rPr>
                <w:highlight w:val="red"/>
              </w:rPr>
              <w:fldChar w:fldCharType="separate"/>
            </w:r>
            <w:r w:rsidR="001126C6" w:rsidRPr="009C109E">
              <w:rPr>
                <w:rStyle w:val="Hyperlink"/>
                <w:rFonts w:ascii="Calibri" w:hAnsi="Calibri" w:cs="Calibri"/>
                <w:b/>
                <w:iCs/>
                <w:color w:val="808080" w:themeColor="background1" w:themeShade="80"/>
                <w:sz w:val="20"/>
                <w:szCs w:val="20"/>
              </w:rPr>
              <w:t>No. and Types of licen</w:t>
            </w:r>
            <w:r w:rsidR="00C44379">
              <w:rPr>
                <w:rStyle w:val="Hyperlink"/>
                <w:rFonts w:ascii="Calibri" w:hAnsi="Calibri" w:cs="Calibri"/>
                <w:b/>
                <w:iCs/>
                <w:color w:val="808080" w:themeColor="background1" w:themeShade="80"/>
                <w:sz w:val="20"/>
                <w:szCs w:val="20"/>
              </w:rPr>
              <w:t>s</w:t>
            </w:r>
            <w:r w:rsidR="001126C6" w:rsidRPr="009C109E">
              <w:rPr>
                <w:rStyle w:val="Hyperlink"/>
                <w:rFonts w:ascii="Calibri" w:hAnsi="Calibri" w:cs="Calibri"/>
                <w:b/>
                <w:iCs/>
                <w:color w:val="808080" w:themeColor="background1" w:themeShade="80"/>
                <w:sz w:val="20"/>
                <w:szCs w:val="20"/>
              </w:rPr>
              <w:t>es that are processed through the online system</w:t>
            </w:r>
            <w:r w:rsidRPr="009C109E">
              <w:rPr>
                <w:rStyle w:val="Hyperlink"/>
                <w:rFonts w:ascii="Calibri" w:hAnsi="Calibri" w:cs="Calibri"/>
                <w:b/>
                <w:iCs/>
                <w:color w:val="808080" w:themeColor="background1" w:themeShade="80"/>
                <w:sz w:val="20"/>
                <w:szCs w:val="20"/>
                <w:highlight w:val="red"/>
              </w:rPr>
              <w:fldChar w:fldCharType="end"/>
            </w:r>
            <w:bookmarkEnd w:id="1"/>
          </w:p>
        </w:tc>
        <w:tc>
          <w:tcPr>
            <w:tcW w:w="2898" w:type="dxa"/>
            <w:tcBorders>
              <w:bottom w:val="single" w:sz="4" w:space="0" w:color="548DD4" w:themeColor="text2" w:themeTint="99"/>
            </w:tcBorders>
            <w:vAlign w:val="center"/>
          </w:tcPr>
          <w:p w14:paraId="185C4CF8" w14:textId="2339CC1D" w:rsidR="001126C6" w:rsidRPr="009C109E" w:rsidRDefault="00947D93" w:rsidP="00044D57">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634E3BC0" wp14:editId="262D0C82">
                  <wp:extent cx="1791335" cy="724319"/>
                  <wp:effectExtent l="0" t="0" r="0" b="0"/>
                  <wp:docPr id="3369128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137" cy="731517"/>
                          </a:xfrm>
                          <a:prstGeom prst="rect">
                            <a:avLst/>
                          </a:prstGeom>
                          <a:noFill/>
                        </pic:spPr>
                      </pic:pic>
                    </a:graphicData>
                  </a:graphic>
                </wp:inline>
              </w:drawing>
            </w:r>
          </w:p>
        </w:tc>
        <w:tc>
          <w:tcPr>
            <w:tcW w:w="1292" w:type="dxa"/>
            <w:tcBorders>
              <w:bottom w:val="single" w:sz="4" w:space="0" w:color="548DD4" w:themeColor="text2" w:themeTint="99"/>
            </w:tcBorders>
            <w:vAlign w:val="center"/>
          </w:tcPr>
          <w:p w14:paraId="28017B85" w14:textId="2CB42AA4" w:rsidR="001126C6" w:rsidRPr="009C109E" w:rsidRDefault="00930102"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333</w:t>
            </w:r>
          </w:p>
        </w:tc>
        <w:tc>
          <w:tcPr>
            <w:tcW w:w="4966" w:type="dxa"/>
            <w:tcBorders>
              <w:bottom w:val="single" w:sz="4" w:space="0" w:color="548DD4" w:themeColor="text2" w:themeTint="99"/>
            </w:tcBorders>
            <w:vAlign w:val="center"/>
          </w:tcPr>
          <w:p w14:paraId="5BEC6459" w14:textId="11AFE53D" w:rsidR="001126C6" w:rsidRPr="009C109E" w:rsidRDefault="00930102" w:rsidP="00E80188">
            <w:pPr>
              <w:spacing w:after="0"/>
              <w:jc w:val="both"/>
              <w:rPr>
                <w:rFonts w:ascii="Calibri" w:hAnsi="Calibri" w:cs="Calibri"/>
                <w:color w:val="808080" w:themeColor="background1" w:themeShade="80"/>
                <w:sz w:val="19"/>
                <w:szCs w:val="19"/>
              </w:rPr>
            </w:pPr>
            <w:r w:rsidRPr="00930102">
              <w:rPr>
                <w:rFonts w:ascii="Calibri" w:hAnsi="Calibri" w:cs="Calibri"/>
                <w:color w:val="808080" w:themeColor="background1" w:themeShade="80"/>
                <w:sz w:val="19"/>
                <w:szCs w:val="19"/>
              </w:rPr>
              <w:t>Number of applications withdrawn is high</w:t>
            </w:r>
            <w:r w:rsidR="00947D93">
              <w:rPr>
                <w:rFonts w:ascii="Calibri" w:hAnsi="Calibri" w:cs="Calibri"/>
                <w:color w:val="808080" w:themeColor="background1" w:themeShade="80"/>
                <w:sz w:val="19"/>
                <w:szCs w:val="19"/>
              </w:rPr>
              <w:t xml:space="preserve"> (210)</w:t>
            </w:r>
            <w:r w:rsidRPr="00930102">
              <w:rPr>
                <w:rFonts w:ascii="Calibri" w:hAnsi="Calibri" w:cs="Calibri"/>
                <w:color w:val="808080" w:themeColor="background1" w:themeShade="80"/>
                <w:sz w:val="19"/>
                <w:szCs w:val="19"/>
              </w:rPr>
              <w:t xml:space="preserve"> because applicants are applying for licences before gulls are nesting and we won't issue a licence on a precautionary basis.</w:t>
            </w:r>
          </w:p>
        </w:tc>
        <w:tc>
          <w:tcPr>
            <w:tcW w:w="4584" w:type="dxa"/>
            <w:tcBorders>
              <w:bottom w:val="single" w:sz="4" w:space="0" w:color="548DD4" w:themeColor="text2" w:themeTint="99"/>
            </w:tcBorders>
            <w:vAlign w:val="center"/>
          </w:tcPr>
          <w:p w14:paraId="16D28BAB" w14:textId="57C19A69" w:rsidR="001126C6" w:rsidRPr="009C109E" w:rsidRDefault="00930102" w:rsidP="00E80188">
            <w:pPr>
              <w:spacing w:after="0"/>
              <w:jc w:val="both"/>
              <w:rPr>
                <w:rFonts w:ascii="Calibri" w:hAnsi="Calibri" w:cs="Calibri"/>
                <w:color w:val="808080" w:themeColor="background1" w:themeShade="80"/>
                <w:sz w:val="19"/>
                <w:szCs w:val="19"/>
              </w:rPr>
            </w:pPr>
            <w:r w:rsidRPr="00930102">
              <w:rPr>
                <w:rFonts w:ascii="Calibri" w:hAnsi="Calibri" w:cs="Calibri"/>
                <w:color w:val="808080" w:themeColor="background1" w:themeShade="80"/>
                <w:sz w:val="19"/>
                <w:szCs w:val="19"/>
              </w:rPr>
              <w:t>From Q1</w:t>
            </w:r>
            <w:r w:rsidR="000D5794">
              <w:rPr>
                <w:rFonts w:ascii="Calibri" w:hAnsi="Calibri" w:cs="Calibri"/>
                <w:color w:val="808080" w:themeColor="background1" w:themeShade="80"/>
                <w:sz w:val="19"/>
                <w:szCs w:val="19"/>
              </w:rPr>
              <w:t xml:space="preserve"> (2024</w:t>
            </w:r>
            <w:r w:rsidR="007652CA">
              <w:rPr>
                <w:rFonts w:ascii="Calibri" w:hAnsi="Calibri" w:cs="Calibri"/>
                <w:color w:val="808080" w:themeColor="background1" w:themeShade="80"/>
                <w:sz w:val="19"/>
                <w:szCs w:val="19"/>
              </w:rPr>
              <w:t>/</w:t>
            </w:r>
            <w:r w:rsidR="000D5794">
              <w:rPr>
                <w:rFonts w:ascii="Calibri" w:hAnsi="Calibri" w:cs="Calibri"/>
                <w:color w:val="808080" w:themeColor="background1" w:themeShade="80"/>
                <w:sz w:val="19"/>
                <w:szCs w:val="19"/>
              </w:rPr>
              <w:t>25)</w:t>
            </w:r>
            <w:r w:rsidRPr="00930102">
              <w:rPr>
                <w:rFonts w:ascii="Calibri" w:hAnsi="Calibri" w:cs="Calibri"/>
                <w:color w:val="808080" w:themeColor="background1" w:themeShade="80"/>
                <w:sz w:val="19"/>
                <w:szCs w:val="19"/>
              </w:rPr>
              <w:t xml:space="preserve"> we will include the figures for deer as the Online Deer Service </w:t>
            </w:r>
            <w:r w:rsidR="007652CA">
              <w:rPr>
                <w:rFonts w:ascii="Calibri" w:hAnsi="Calibri" w:cs="Calibri"/>
                <w:color w:val="808080" w:themeColor="background1" w:themeShade="80"/>
                <w:sz w:val="19"/>
                <w:szCs w:val="19"/>
              </w:rPr>
              <w:t>is</w:t>
            </w:r>
            <w:r w:rsidR="007652CA" w:rsidRPr="00930102">
              <w:rPr>
                <w:rFonts w:ascii="Calibri" w:hAnsi="Calibri" w:cs="Calibri"/>
                <w:color w:val="808080" w:themeColor="background1" w:themeShade="80"/>
                <w:sz w:val="19"/>
                <w:szCs w:val="19"/>
              </w:rPr>
              <w:t xml:space="preserve"> </w:t>
            </w:r>
            <w:r w:rsidRPr="00930102">
              <w:rPr>
                <w:rFonts w:ascii="Calibri" w:hAnsi="Calibri" w:cs="Calibri"/>
                <w:color w:val="808080" w:themeColor="background1" w:themeShade="80"/>
                <w:sz w:val="19"/>
                <w:szCs w:val="19"/>
              </w:rPr>
              <w:t>now live</w:t>
            </w:r>
          </w:p>
        </w:tc>
      </w:tr>
      <w:tr w:rsidR="00540A77" w:rsidRPr="0014395C" w14:paraId="241E2554" w14:textId="77777777" w:rsidTr="008070E2">
        <w:trPr>
          <w:cantSplit/>
          <w:trHeight w:val="846"/>
          <w:tblHeader/>
          <w:jc w:val="center"/>
        </w:trPr>
        <w:tc>
          <w:tcPr>
            <w:tcW w:w="1997" w:type="dxa"/>
            <w:tcBorders>
              <w:bottom w:val="single" w:sz="4" w:space="0" w:color="548DD4" w:themeColor="text2" w:themeTint="99"/>
            </w:tcBorders>
            <w:vAlign w:val="center"/>
          </w:tcPr>
          <w:p w14:paraId="39082C7D" w14:textId="77777777" w:rsidR="001126C6" w:rsidRPr="0014395C" w:rsidRDefault="00000000" w:rsidP="00E80188">
            <w:pPr>
              <w:spacing w:after="0"/>
              <w:jc w:val="center"/>
              <w:rPr>
                <w:rFonts w:ascii="Calibri" w:hAnsi="Calibri" w:cs="Calibri"/>
                <w:b/>
                <w:iCs/>
                <w:color w:val="808080" w:themeColor="background1" w:themeShade="80"/>
                <w:sz w:val="20"/>
                <w:szCs w:val="20"/>
              </w:rPr>
            </w:pPr>
            <w:hyperlink r:id="rId18" w:history="1">
              <w:r w:rsidR="001126C6" w:rsidRPr="0014395C">
                <w:rPr>
                  <w:rStyle w:val="Hyperlink"/>
                  <w:rFonts w:ascii="Calibri" w:hAnsi="Calibri" w:cs="Calibri"/>
                  <w:b/>
                  <w:iCs/>
                  <w:color w:val="808080" w:themeColor="background1" w:themeShade="80"/>
                  <w:sz w:val="20"/>
                  <w:szCs w:val="20"/>
                </w:rPr>
                <w:t>No. of catchments with established beaver populations</w:t>
              </w:r>
            </w:hyperlink>
          </w:p>
        </w:tc>
        <w:tc>
          <w:tcPr>
            <w:tcW w:w="2898" w:type="dxa"/>
            <w:tcBorders>
              <w:bottom w:val="single" w:sz="4" w:space="0" w:color="548DD4" w:themeColor="text2" w:themeTint="99"/>
            </w:tcBorders>
            <w:vAlign w:val="center"/>
          </w:tcPr>
          <w:p w14:paraId="099F84BD" w14:textId="1E782A29" w:rsidR="001126C6" w:rsidRPr="0014395C" w:rsidRDefault="00F94446" w:rsidP="00E80188">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476D629D" wp14:editId="577C55C3">
                  <wp:extent cx="1922734" cy="59634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0667" cy="611214"/>
                          </a:xfrm>
                          <a:prstGeom prst="rect">
                            <a:avLst/>
                          </a:prstGeom>
                          <a:noFill/>
                        </pic:spPr>
                      </pic:pic>
                    </a:graphicData>
                  </a:graphic>
                </wp:inline>
              </w:drawing>
            </w:r>
          </w:p>
        </w:tc>
        <w:tc>
          <w:tcPr>
            <w:tcW w:w="1292" w:type="dxa"/>
            <w:tcBorders>
              <w:bottom w:val="single" w:sz="4" w:space="0" w:color="548DD4" w:themeColor="text2" w:themeTint="99"/>
            </w:tcBorders>
            <w:vAlign w:val="center"/>
          </w:tcPr>
          <w:p w14:paraId="47B40B85" w14:textId="21149574" w:rsidR="001126C6" w:rsidRPr="005265DA" w:rsidRDefault="00F94446" w:rsidP="00E80188">
            <w:pPr>
              <w:spacing w:after="0"/>
              <w:jc w:val="center"/>
              <w:rPr>
                <w:rFonts w:ascii="Calibri" w:hAnsi="Calibri" w:cs="Calibri"/>
                <w:b/>
                <w:color w:val="808080" w:themeColor="background1" w:themeShade="80"/>
                <w:sz w:val="20"/>
                <w:szCs w:val="20"/>
              </w:rPr>
            </w:pPr>
            <w:r>
              <w:rPr>
                <w:rFonts w:ascii="Calibri" w:hAnsi="Calibri" w:cs="Calibri"/>
                <w:b/>
                <w:color w:val="808080" w:themeColor="background1" w:themeShade="80"/>
                <w:sz w:val="20"/>
                <w:szCs w:val="20"/>
              </w:rPr>
              <w:t>5</w:t>
            </w:r>
          </w:p>
        </w:tc>
        <w:tc>
          <w:tcPr>
            <w:tcW w:w="4966" w:type="dxa"/>
            <w:tcBorders>
              <w:bottom w:val="single" w:sz="4" w:space="0" w:color="548DD4" w:themeColor="text2" w:themeTint="99"/>
            </w:tcBorders>
            <w:vAlign w:val="center"/>
          </w:tcPr>
          <w:p w14:paraId="612AC462" w14:textId="144340C7" w:rsidR="001126C6" w:rsidRPr="003A5820" w:rsidRDefault="00F94446" w:rsidP="00E80188">
            <w:pPr>
              <w:spacing w:after="0"/>
              <w:jc w:val="both"/>
              <w:rPr>
                <w:rFonts w:ascii="Calibri" w:hAnsi="Calibri" w:cs="Calibri"/>
                <w:color w:val="808080" w:themeColor="background1" w:themeShade="80"/>
                <w:sz w:val="19"/>
                <w:szCs w:val="19"/>
              </w:rPr>
            </w:pPr>
            <w:r w:rsidRPr="00F94446">
              <w:rPr>
                <w:rFonts w:ascii="Calibri" w:hAnsi="Calibri" w:cs="Calibri"/>
                <w:color w:val="808080" w:themeColor="background1" w:themeShade="80"/>
                <w:sz w:val="19"/>
                <w:szCs w:val="19"/>
              </w:rPr>
              <w:t>We have</w:t>
            </w:r>
            <w:r w:rsidR="00AC3A90">
              <w:rPr>
                <w:rFonts w:ascii="Calibri" w:hAnsi="Calibri" w:cs="Calibri"/>
                <w:color w:val="808080" w:themeColor="background1" w:themeShade="80"/>
                <w:sz w:val="19"/>
                <w:szCs w:val="19"/>
              </w:rPr>
              <w:t xml:space="preserve"> not</w:t>
            </w:r>
            <w:r w:rsidRPr="00F94446">
              <w:rPr>
                <w:rFonts w:ascii="Calibri" w:hAnsi="Calibri" w:cs="Calibri"/>
                <w:color w:val="808080" w:themeColor="background1" w:themeShade="80"/>
                <w:sz w:val="19"/>
                <w:szCs w:val="19"/>
              </w:rPr>
              <w:t xml:space="preserve"> approved </w:t>
            </w:r>
            <w:r w:rsidR="00AC3A90">
              <w:rPr>
                <w:rFonts w:ascii="Calibri" w:hAnsi="Calibri" w:cs="Calibri"/>
                <w:color w:val="808080" w:themeColor="background1" w:themeShade="80"/>
                <w:sz w:val="19"/>
                <w:szCs w:val="19"/>
              </w:rPr>
              <w:t xml:space="preserve">any </w:t>
            </w:r>
            <w:r w:rsidRPr="00F94446">
              <w:rPr>
                <w:rFonts w:ascii="Calibri" w:hAnsi="Calibri" w:cs="Calibri"/>
                <w:color w:val="808080" w:themeColor="background1" w:themeShade="80"/>
                <w:sz w:val="19"/>
                <w:szCs w:val="19"/>
              </w:rPr>
              <w:t xml:space="preserve">applications </w:t>
            </w:r>
            <w:r w:rsidR="00AC3A90">
              <w:rPr>
                <w:rFonts w:ascii="Calibri" w:hAnsi="Calibri" w:cs="Calibri"/>
                <w:color w:val="808080" w:themeColor="background1" w:themeShade="80"/>
                <w:sz w:val="19"/>
                <w:szCs w:val="19"/>
              </w:rPr>
              <w:t>in Q4</w:t>
            </w:r>
            <w:r w:rsidRPr="00F94446">
              <w:rPr>
                <w:rFonts w:ascii="Calibri" w:hAnsi="Calibri" w:cs="Calibri"/>
                <w:color w:val="808080" w:themeColor="background1" w:themeShade="80"/>
                <w:sz w:val="19"/>
                <w:szCs w:val="19"/>
              </w:rPr>
              <w:t>, though we have received one for Abriachan that we are currently assessing</w:t>
            </w:r>
            <w:r w:rsidR="00C75BB4">
              <w:rPr>
                <w:rFonts w:ascii="Calibri" w:hAnsi="Calibri" w:cs="Calibri"/>
                <w:color w:val="808080" w:themeColor="background1" w:themeShade="80"/>
                <w:sz w:val="19"/>
                <w:szCs w:val="19"/>
              </w:rPr>
              <w:t>.</w:t>
            </w:r>
          </w:p>
        </w:tc>
        <w:tc>
          <w:tcPr>
            <w:tcW w:w="4584" w:type="dxa"/>
            <w:tcBorders>
              <w:bottom w:val="single" w:sz="4" w:space="0" w:color="548DD4" w:themeColor="text2" w:themeTint="99"/>
            </w:tcBorders>
            <w:vAlign w:val="center"/>
          </w:tcPr>
          <w:p w14:paraId="40BCBFFD" w14:textId="7AFC3539" w:rsidR="001126C6" w:rsidRPr="003A5820" w:rsidRDefault="00F94446" w:rsidP="00E80188">
            <w:pPr>
              <w:spacing w:after="0"/>
              <w:jc w:val="both"/>
              <w:rPr>
                <w:rFonts w:ascii="Calibri" w:hAnsi="Calibri" w:cs="Calibri"/>
                <w:color w:val="808080" w:themeColor="background1" w:themeShade="80"/>
                <w:sz w:val="19"/>
                <w:szCs w:val="19"/>
              </w:rPr>
            </w:pPr>
            <w:r w:rsidRPr="00F94446">
              <w:rPr>
                <w:rFonts w:ascii="Calibri" w:hAnsi="Calibri" w:cs="Calibri"/>
                <w:color w:val="808080" w:themeColor="background1" w:themeShade="80"/>
                <w:sz w:val="19"/>
                <w:szCs w:val="19"/>
              </w:rPr>
              <w:t>We are aware that the Beauly application is conducting further consultation with a view for release later in the year</w:t>
            </w:r>
            <w:r w:rsidR="000D5794">
              <w:rPr>
                <w:rFonts w:ascii="Calibri" w:hAnsi="Calibri" w:cs="Calibri"/>
                <w:color w:val="808080" w:themeColor="background1" w:themeShade="80"/>
                <w:sz w:val="19"/>
                <w:szCs w:val="19"/>
              </w:rPr>
              <w:t xml:space="preserve"> (2024/25)</w:t>
            </w:r>
            <w:r w:rsidRPr="00F94446">
              <w:rPr>
                <w:rFonts w:ascii="Calibri" w:hAnsi="Calibri" w:cs="Calibri"/>
                <w:color w:val="808080" w:themeColor="background1" w:themeShade="80"/>
                <w:sz w:val="19"/>
                <w:szCs w:val="19"/>
              </w:rPr>
              <w:t>.</w:t>
            </w:r>
          </w:p>
        </w:tc>
      </w:tr>
      <w:tr w:rsidR="00540A77" w:rsidRPr="0014395C" w14:paraId="488F5C6E" w14:textId="77777777" w:rsidTr="008070E2">
        <w:trPr>
          <w:cantSplit/>
          <w:trHeight w:val="1119"/>
          <w:tblHeader/>
          <w:jc w:val="center"/>
        </w:trPr>
        <w:tc>
          <w:tcPr>
            <w:tcW w:w="1997" w:type="dxa"/>
            <w:tcBorders>
              <w:bottom w:val="single" w:sz="4" w:space="0" w:color="548DD4" w:themeColor="text2" w:themeTint="99"/>
            </w:tcBorders>
            <w:vAlign w:val="center"/>
          </w:tcPr>
          <w:p w14:paraId="2F8115D2" w14:textId="6AAF6FA7" w:rsidR="001126C6" w:rsidRPr="009328DC" w:rsidRDefault="00000000" w:rsidP="00E80188">
            <w:pPr>
              <w:spacing w:after="0"/>
              <w:jc w:val="center"/>
              <w:rPr>
                <w:rFonts w:ascii="Calibri" w:hAnsi="Calibri" w:cs="Calibri"/>
                <w:b/>
                <w:iCs/>
                <w:color w:val="808080" w:themeColor="background1" w:themeShade="80"/>
                <w:sz w:val="20"/>
                <w:szCs w:val="20"/>
              </w:rPr>
            </w:pPr>
            <w:hyperlink r:id="rId20" w:history="1">
              <w:r w:rsidR="001126C6" w:rsidRPr="009328DC">
                <w:rPr>
                  <w:rStyle w:val="Hyperlink"/>
                  <w:rFonts w:ascii="Calibri" w:hAnsi="Calibri" w:cs="Calibri"/>
                  <w:b/>
                  <w:iCs/>
                  <w:color w:val="808080" w:themeColor="background1" w:themeShade="80"/>
                  <w:sz w:val="20"/>
                  <w:szCs w:val="20"/>
                </w:rPr>
                <w:t xml:space="preserve">% of holding objections for formal planning applications </w:t>
              </w:r>
            </w:hyperlink>
          </w:p>
        </w:tc>
        <w:tc>
          <w:tcPr>
            <w:tcW w:w="2898" w:type="dxa"/>
            <w:tcBorders>
              <w:bottom w:val="single" w:sz="4" w:space="0" w:color="548DD4" w:themeColor="text2" w:themeTint="99"/>
            </w:tcBorders>
            <w:vAlign w:val="center"/>
          </w:tcPr>
          <w:p w14:paraId="062EEC63" w14:textId="153D45E7" w:rsidR="001126C6" w:rsidRPr="009328DC" w:rsidRDefault="00DA125A" w:rsidP="00E80188">
            <w:pPr>
              <w:spacing w:after="0"/>
              <w:jc w:val="both"/>
              <w:rPr>
                <w:rFonts w:ascii="Calibri" w:hAnsi="Calibri" w:cs="Calibri"/>
                <w:b/>
                <w:color w:val="808080" w:themeColor="background1" w:themeShade="80"/>
                <w:sz w:val="20"/>
                <w:szCs w:val="20"/>
              </w:rPr>
            </w:pPr>
            <w:r w:rsidRPr="009328DC">
              <w:rPr>
                <w:rFonts w:ascii="Calibri" w:hAnsi="Calibri" w:cs="Calibri"/>
                <w:b/>
                <w:noProof/>
                <w:color w:val="808080" w:themeColor="background1" w:themeShade="80"/>
                <w:sz w:val="20"/>
                <w:szCs w:val="20"/>
                <w:lang w:eastAsia="en-GB"/>
              </w:rPr>
              <w:drawing>
                <wp:inline distT="0" distB="0" distL="0" distR="0" wp14:anchorId="22974D01" wp14:editId="5CAA8856">
                  <wp:extent cx="1779905" cy="707390"/>
                  <wp:effectExtent l="0" t="0" r="0" b="0"/>
                  <wp:docPr id="10083600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79905" cy="707390"/>
                          </a:xfrm>
                          <a:prstGeom prst="rect">
                            <a:avLst/>
                          </a:prstGeom>
                          <a:noFill/>
                        </pic:spPr>
                      </pic:pic>
                    </a:graphicData>
                  </a:graphic>
                </wp:inline>
              </w:drawing>
            </w:r>
          </w:p>
        </w:tc>
        <w:tc>
          <w:tcPr>
            <w:tcW w:w="1292" w:type="dxa"/>
            <w:tcBorders>
              <w:bottom w:val="single" w:sz="4" w:space="0" w:color="548DD4" w:themeColor="text2" w:themeTint="99"/>
            </w:tcBorders>
            <w:vAlign w:val="center"/>
          </w:tcPr>
          <w:p w14:paraId="512F564C" w14:textId="3B28DD4B" w:rsidR="001126C6" w:rsidRPr="009328DC" w:rsidRDefault="00E5108B" w:rsidP="008070E2">
            <w:pPr>
              <w:jc w:val="center"/>
              <w:rPr>
                <w:rFonts w:ascii="Arial Narrow" w:hAnsi="Arial Narrow" w:cs="Calibri"/>
                <w:color w:val="808080"/>
                <w:sz w:val="20"/>
                <w:szCs w:val="20"/>
              </w:rPr>
            </w:pPr>
            <w:r w:rsidRPr="009328DC">
              <w:rPr>
                <w:rFonts w:ascii="Arial Narrow" w:hAnsi="Arial Narrow" w:cs="Calibri"/>
                <w:color w:val="808080"/>
                <w:sz w:val="20"/>
                <w:szCs w:val="20"/>
              </w:rPr>
              <w:t>9.</w:t>
            </w:r>
            <w:r w:rsidR="00C75BB4">
              <w:rPr>
                <w:rFonts w:ascii="Arial Narrow" w:hAnsi="Arial Narrow" w:cs="Calibri"/>
                <w:color w:val="808080"/>
                <w:sz w:val="20"/>
                <w:szCs w:val="20"/>
              </w:rPr>
              <w:t>57</w:t>
            </w:r>
            <w:r w:rsidR="008070E2" w:rsidRPr="009328DC">
              <w:rPr>
                <w:rFonts w:ascii="Calibri" w:hAnsi="Calibri" w:cs="Calibri"/>
                <w:b/>
                <w:color w:val="808080" w:themeColor="background1" w:themeShade="80"/>
                <w:sz w:val="20"/>
                <w:szCs w:val="20"/>
              </w:rPr>
              <w:t>%</w:t>
            </w:r>
          </w:p>
        </w:tc>
        <w:tc>
          <w:tcPr>
            <w:tcW w:w="4966" w:type="dxa"/>
            <w:tcBorders>
              <w:bottom w:val="single" w:sz="4" w:space="0" w:color="548DD4" w:themeColor="text2" w:themeTint="99"/>
            </w:tcBorders>
            <w:vAlign w:val="center"/>
          </w:tcPr>
          <w:p w14:paraId="200E94A0" w14:textId="12846BD9" w:rsidR="001126C6" w:rsidRPr="009328DC" w:rsidRDefault="00E5108B" w:rsidP="00E80188">
            <w:pPr>
              <w:spacing w:after="0"/>
              <w:jc w:val="both"/>
              <w:rPr>
                <w:rFonts w:ascii="Calibri" w:hAnsi="Calibri" w:cs="Calibri"/>
                <w:color w:val="808080" w:themeColor="background1" w:themeShade="80"/>
                <w:sz w:val="19"/>
                <w:szCs w:val="19"/>
              </w:rPr>
            </w:pPr>
            <w:r w:rsidRPr="009328DC">
              <w:rPr>
                <w:rFonts w:ascii="Calibri" w:hAnsi="Calibri" w:cs="Calibri"/>
                <w:color w:val="808080" w:themeColor="background1" w:themeShade="80"/>
                <w:sz w:val="20"/>
                <w:szCs w:val="20"/>
              </w:rPr>
              <w:t>Number and proportion of holding objections</w:t>
            </w:r>
            <w:r w:rsidR="00F02BF2">
              <w:rPr>
                <w:rFonts w:ascii="Calibri" w:hAnsi="Calibri" w:cs="Calibri"/>
                <w:color w:val="808080" w:themeColor="background1" w:themeShade="80"/>
                <w:sz w:val="20"/>
                <w:szCs w:val="20"/>
              </w:rPr>
              <w:t xml:space="preserve"> are</w:t>
            </w:r>
            <w:r w:rsidRPr="009328DC">
              <w:rPr>
                <w:rFonts w:ascii="Calibri" w:hAnsi="Calibri" w:cs="Calibri"/>
                <w:color w:val="808080" w:themeColor="background1" w:themeShade="80"/>
                <w:sz w:val="20"/>
                <w:szCs w:val="20"/>
              </w:rPr>
              <w:t xml:space="preserve"> </w:t>
            </w:r>
            <w:r w:rsidR="00DA125A" w:rsidRPr="009328DC">
              <w:rPr>
                <w:rFonts w:ascii="Calibri" w:hAnsi="Calibri" w:cs="Calibri"/>
                <w:color w:val="808080" w:themeColor="background1" w:themeShade="80"/>
                <w:sz w:val="20"/>
                <w:szCs w:val="20"/>
              </w:rPr>
              <w:t xml:space="preserve">less than </w:t>
            </w:r>
            <w:r w:rsidR="00F02BF2">
              <w:rPr>
                <w:rFonts w:ascii="Calibri" w:hAnsi="Calibri" w:cs="Calibri"/>
                <w:color w:val="808080" w:themeColor="background1" w:themeShade="80"/>
                <w:sz w:val="20"/>
                <w:szCs w:val="20"/>
              </w:rPr>
              <w:t>Q3</w:t>
            </w:r>
            <w:r w:rsidRPr="009328DC">
              <w:rPr>
                <w:rFonts w:ascii="Calibri" w:hAnsi="Calibri" w:cs="Calibri"/>
                <w:color w:val="808080" w:themeColor="background1" w:themeShade="80"/>
                <w:sz w:val="20"/>
                <w:szCs w:val="20"/>
              </w:rPr>
              <w:t xml:space="preserve"> but still significantly higher than previous</w:t>
            </w:r>
            <w:r w:rsidR="00F02BF2">
              <w:rPr>
                <w:rFonts w:ascii="Calibri" w:hAnsi="Calibri" w:cs="Calibri"/>
                <w:color w:val="808080" w:themeColor="background1" w:themeShade="80"/>
                <w:sz w:val="20"/>
                <w:szCs w:val="20"/>
              </w:rPr>
              <w:t>ly</w:t>
            </w:r>
            <w:r w:rsidRPr="009328DC">
              <w:rPr>
                <w:rFonts w:ascii="Calibri" w:hAnsi="Calibri" w:cs="Calibri"/>
                <w:color w:val="808080" w:themeColor="background1" w:themeShade="80"/>
                <w:sz w:val="20"/>
                <w:szCs w:val="20"/>
              </w:rPr>
              <w:t>.  Shared Rural Network mast applications still a high proportion of the</w:t>
            </w:r>
            <w:r w:rsidR="009328DC" w:rsidRPr="009328DC">
              <w:rPr>
                <w:rFonts w:ascii="Calibri" w:hAnsi="Calibri" w:cs="Calibri"/>
                <w:color w:val="808080" w:themeColor="background1" w:themeShade="80"/>
                <w:sz w:val="20"/>
                <w:szCs w:val="20"/>
              </w:rPr>
              <w:t xml:space="preserve"> holding objections (8 out of 18</w:t>
            </w:r>
            <w:r w:rsidRPr="009328DC">
              <w:rPr>
                <w:rFonts w:ascii="Calibri" w:hAnsi="Calibri" w:cs="Calibri"/>
                <w:color w:val="808080" w:themeColor="background1" w:themeShade="80"/>
                <w:sz w:val="20"/>
                <w:szCs w:val="20"/>
              </w:rPr>
              <w:t xml:space="preserve">).   Note the overall annual totals </w:t>
            </w:r>
            <w:r w:rsidR="00DA125A" w:rsidRPr="009328DC">
              <w:rPr>
                <w:rFonts w:ascii="Calibri" w:hAnsi="Calibri" w:cs="Calibri"/>
                <w:color w:val="808080" w:themeColor="background1" w:themeShade="80"/>
                <w:sz w:val="20"/>
                <w:szCs w:val="20"/>
              </w:rPr>
              <w:t xml:space="preserve">are </w:t>
            </w:r>
            <w:r w:rsidRPr="009328DC">
              <w:rPr>
                <w:rFonts w:ascii="Calibri" w:hAnsi="Calibri" w:cs="Calibri"/>
                <w:color w:val="808080" w:themeColor="background1" w:themeShade="80"/>
                <w:sz w:val="20"/>
                <w:szCs w:val="20"/>
              </w:rPr>
              <w:t>71 holding objections out of 738 Planning application/</w:t>
            </w:r>
            <w:r w:rsidR="009328DC">
              <w:rPr>
                <w:rFonts w:ascii="Calibri" w:hAnsi="Calibri" w:cs="Calibri"/>
                <w:color w:val="808080" w:themeColor="background1" w:themeShade="80"/>
                <w:sz w:val="20"/>
                <w:szCs w:val="20"/>
              </w:rPr>
              <w:t>S36/S37 consultations (9.62%).</w:t>
            </w:r>
            <w:r w:rsidRPr="009328DC">
              <w:rPr>
                <w:rFonts w:ascii="Calibri" w:hAnsi="Calibri" w:cs="Calibri"/>
                <w:color w:val="808080" w:themeColor="background1" w:themeShade="80"/>
                <w:sz w:val="20"/>
                <w:szCs w:val="20"/>
              </w:rPr>
              <w:t xml:space="preserve"> </w:t>
            </w:r>
          </w:p>
        </w:tc>
        <w:tc>
          <w:tcPr>
            <w:tcW w:w="4584" w:type="dxa"/>
            <w:tcBorders>
              <w:bottom w:val="single" w:sz="4" w:space="0" w:color="548DD4" w:themeColor="text2" w:themeTint="99"/>
            </w:tcBorders>
            <w:vAlign w:val="center"/>
          </w:tcPr>
          <w:p w14:paraId="6A6890FE" w14:textId="56A9D6E2" w:rsidR="001126C6" w:rsidRPr="009328DC" w:rsidRDefault="00E5108B" w:rsidP="00E80188">
            <w:pPr>
              <w:spacing w:after="0"/>
              <w:jc w:val="both"/>
              <w:rPr>
                <w:rFonts w:ascii="Calibri" w:hAnsi="Calibri" w:cs="Calibri"/>
                <w:color w:val="808080" w:themeColor="background1" w:themeShade="80"/>
                <w:sz w:val="19"/>
                <w:szCs w:val="19"/>
              </w:rPr>
            </w:pPr>
            <w:r w:rsidRPr="009328DC">
              <w:rPr>
                <w:rFonts w:ascii="Calibri" w:hAnsi="Calibri" w:cs="Calibri"/>
                <w:color w:val="808080" w:themeColor="background1" w:themeShade="80"/>
                <w:sz w:val="20"/>
                <w:szCs w:val="20"/>
              </w:rPr>
              <w:t xml:space="preserve">The overall figure of 9.6% is over our Red RAG tolerance threshold which was set at 9%. The increase is largely due to a significant number of holding objections with respect to Shared Rural Network mast applications, which accounted for </w:t>
            </w:r>
            <w:r w:rsidR="0017625A">
              <w:rPr>
                <w:rFonts w:ascii="Calibri" w:hAnsi="Calibri" w:cs="Calibri"/>
                <w:color w:val="808080" w:themeColor="background1" w:themeShade="80"/>
                <w:sz w:val="20"/>
                <w:szCs w:val="20"/>
              </w:rPr>
              <w:t>approximately a third</w:t>
            </w:r>
            <w:r w:rsidRPr="009328DC">
              <w:rPr>
                <w:rFonts w:ascii="Calibri" w:hAnsi="Calibri" w:cs="Calibri"/>
                <w:color w:val="808080" w:themeColor="background1" w:themeShade="80"/>
                <w:sz w:val="20"/>
                <w:szCs w:val="20"/>
              </w:rPr>
              <w:t xml:space="preserve"> of all holding objections</w:t>
            </w:r>
            <w:r w:rsidR="0017625A">
              <w:rPr>
                <w:rFonts w:ascii="Calibri" w:hAnsi="Calibri" w:cs="Calibri"/>
                <w:color w:val="808080" w:themeColor="background1" w:themeShade="80"/>
                <w:sz w:val="20"/>
                <w:szCs w:val="20"/>
              </w:rPr>
              <w:t xml:space="preserve"> this year</w:t>
            </w:r>
            <w:r w:rsidRPr="009328DC">
              <w:rPr>
                <w:rFonts w:ascii="Calibri" w:hAnsi="Calibri" w:cs="Calibri"/>
                <w:color w:val="808080" w:themeColor="background1" w:themeShade="80"/>
                <w:sz w:val="20"/>
                <w:szCs w:val="20"/>
              </w:rPr>
              <w:t xml:space="preserve">. </w:t>
            </w:r>
          </w:p>
        </w:tc>
      </w:tr>
    </w:tbl>
    <w:p w14:paraId="6EEFCAA6" w14:textId="516075D5"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 xml:space="preserve">WE HAVE </w:t>
      </w:r>
      <w:r w:rsidR="00F24BC1">
        <w:rPr>
          <w:rFonts w:ascii="Calibri" w:hAnsi="Calibri" w:cs="Calibri"/>
        </w:rPr>
        <w:t>RESTORE</w:t>
      </w:r>
      <w:r w:rsidRPr="0014395C">
        <w:rPr>
          <w:rFonts w:ascii="Calibri" w:hAnsi="Calibri" w:cs="Calibri"/>
        </w:rPr>
        <w:t>D NATURE</w:t>
      </w:r>
    </w:p>
    <w:tbl>
      <w:tblPr>
        <w:tblW w:w="15508" w:type="dxa"/>
        <w:jc w:val="center"/>
        <w:tblLayout w:type="fixed"/>
        <w:tblLook w:val="04A0" w:firstRow="1" w:lastRow="0" w:firstColumn="1" w:lastColumn="0" w:noHBand="0" w:noVBand="1"/>
      </w:tblPr>
      <w:tblGrid>
        <w:gridCol w:w="2276"/>
        <w:gridCol w:w="3131"/>
        <w:gridCol w:w="995"/>
        <w:gridCol w:w="4047"/>
        <w:gridCol w:w="5059"/>
      </w:tblGrid>
      <w:tr w:rsidR="004914EA" w:rsidRPr="0014395C" w14:paraId="2D15FDE9" w14:textId="77777777" w:rsidTr="00E85B18">
        <w:trPr>
          <w:trHeight w:val="568"/>
          <w:tblHeader/>
          <w:jc w:val="center"/>
        </w:trPr>
        <w:tc>
          <w:tcPr>
            <w:tcW w:w="2276" w:type="dxa"/>
            <w:tcBorders>
              <w:bottom w:val="single" w:sz="4" w:space="0" w:color="548DD4" w:themeColor="text2" w:themeTint="99"/>
            </w:tcBorders>
          </w:tcPr>
          <w:p w14:paraId="6DF4F948" w14:textId="77777777" w:rsidR="004914EA" w:rsidRPr="0014395C" w:rsidRDefault="004914EA" w:rsidP="003753A7">
            <w:pPr>
              <w:spacing w:after="0"/>
              <w:jc w:val="center"/>
              <w:rPr>
                <w:rFonts w:ascii="Calibri" w:hAnsi="Calibri" w:cs="Calibri"/>
                <w:b/>
              </w:rPr>
            </w:pPr>
            <w:r w:rsidRPr="0014395C">
              <w:rPr>
                <w:rFonts w:ascii="Calibri" w:hAnsi="Calibri" w:cs="Calibri"/>
                <w:b/>
              </w:rPr>
              <w:t>Measure</w:t>
            </w:r>
          </w:p>
        </w:tc>
        <w:tc>
          <w:tcPr>
            <w:tcW w:w="3131" w:type="dxa"/>
            <w:tcBorders>
              <w:bottom w:val="single" w:sz="4" w:space="0" w:color="548DD4" w:themeColor="text2" w:themeTint="99"/>
            </w:tcBorders>
          </w:tcPr>
          <w:p w14:paraId="6A0C2C1A" w14:textId="77777777" w:rsidR="004914EA" w:rsidRPr="0014395C" w:rsidRDefault="004914EA" w:rsidP="003753A7">
            <w:pPr>
              <w:spacing w:after="0"/>
              <w:jc w:val="center"/>
              <w:rPr>
                <w:rFonts w:ascii="Calibri" w:hAnsi="Calibri" w:cs="Calibri"/>
                <w:b/>
              </w:rPr>
            </w:pPr>
            <w:r w:rsidRPr="0014395C">
              <w:rPr>
                <w:rFonts w:ascii="Calibri" w:hAnsi="Calibri" w:cs="Calibri"/>
                <w:b/>
              </w:rPr>
              <w:t>Performance Overview</w:t>
            </w:r>
          </w:p>
        </w:tc>
        <w:tc>
          <w:tcPr>
            <w:tcW w:w="995" w:type="dxa"/>
            <w:tcBorders>
              <w:bottom w:val="single" w:sz="4" w:space="0" w:color="548DD4" w:themeColor="text2" w:themeTint="99"/>
            </w:tcBorders>
          </w:tcPr>
          <w:p w14:paraId="7004CDB7" w14:textId="77777777" w:rsidR="004914EA" w:rsidRPr="0014395C" w:rsidRDefault="004914EA" w:rsidP="003753A7">
            <w:pPr>
              <w:spacing w:after="0"/>
              <w:jc w:val="center"/>
              <w:rPr>
                <w:rFonts w:ascii="Calibri" w:hAnsi="Calibri" w:cs="Calibri"/>
                <w:b/>
              </w:rPr>
            </w:pPr>
            <w:r w:rsidRPr="0014395C">
              <w:rPr>
                <w:rFonts w:ascii="Calibri" w:hAnsi="Calibri" w:cs="Calibri"/>
                <w:b/>
              </w:rPr>
              <w:t>Actual</w:t>
            </w:r>
          </w:p>
        </w:tc>
        <w:tc>
          <w:tcPr>
            <w:tcW w:w="4047" w:type="dxa"/>
            <w:tcBorders>
              <w:bottom w:val="single" w:sz="4" w:space="0" w:color="548DD4" w:themeColor="text2" w:themeTint="99"/>
            </w:tcBorders>
          </w:tcPr>
          <w:p w14:paraId="0354D162"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5059" w:type="dxa"/>
            <w:tcBorders>
              <w:bottom w:val="single" w:sz="4" w:space="0" w:color="548DD4" w:themeColor="text2" w:themeTint="99"/>
            </w:tcBorders>
          </w:tcPr>
          <w:p w14:paraId="67F13F4B"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4914EA" w:rsidRPr="0014395C" w14:paraId="68CE47DF" w14:textId="77777777" w:rsidTr="00DA125A">
        <w:trPr>
          <w:trHeight w:hRule="exact" w:val="1105"/>
          <w:jc w:val="center"/>
        </w:trPr>
        <w:tc>
          <w:tcPr>
            <w:tcW w:w="2276" w:type="dxa"/>
            <w:tcBorders>
              <w:top w:val="single" w:sz="4" w:space="0" w:color="548DD4" w:themeColor="text2" w:themeTint="99"/>
              <w:bottom w:val="single" w:sz="4" w:space="0" w:color="548DD4" w:themeColor="text2" w:themeTint="99"/>
            </w:tcBorders>
            <w:vAlign w:val="center"/>
          </w:tcPr>
          <w:p w14:paraId="759BB6DD" w14:textId="565C4FFB" w:rsidR="004914EA" w:rsidRPr="0014395C" w:rsidRDefault="00000000" w:rsidP="003753A7">
            <w:pPr>
              <w:spacing w:after="0"/>
              <w:jc w:val="center"/>
              <w:rPr>
                <w:rFonts w:ascii="Calibri" w:hAnsi="Calibri" w:cs="Calibri"/>
                <w:b/>
                <w:iCs/>
                <w:color w:val="808080" w:themeColor="background1" w:themeShade="80"/>
                <w:sz w:val="20"/>
                <w:szCs w:val="20"/>
              </w:rPr>
            </w:pPr>
            <w:hyperlink r:id="rId22" w:history="1">
              <w:r w:rsidR="004914EA" w:rsidRPr="0014395C">
                <w:rPr>
                  <w:rStyle w:val="Hyperlink"/>
                  <w:rFonts w:ascii="Calibri" w:hAnsi="Calibri" w:cs="Calibri"/>
                  <w:b/>
                  <w:iCs/>
                  <w:color w:val="808080" w:themeColor="background1" w:themeShade="80"/>
                  <w:sz w:val="20"/>
                  <w:szCs w:val="20"/>
                </w:rPr>
                <w:t>No. of individual farm businesses that have completed a biodiversity audit</w:t>
              </w:r>
            </w:hyperlink>
          </w:p>
        </w:tc>
        <w:tc>
          <w:tcPr>
            <w:tcW w:w="3131" w:type="dxa"/>
            <w:tcBorders>
              <w:top w:val="single" w:sz="4" w:space="0" w:color="548DD4" w:themeColor="text2" w:themeTint="99"/>
              <w:bottom w:val="single" w:sz="4" w:space="0" w:color="548DD4" w:themeColor="text2" w:themeTint="99"/>
            </w:tcBorders>
            <w:vAlign w:val="center"/>
          </w:tcPr>
          <w:p w14:paraId="71C344CD" w14:textId="36E7CF04" w:rsidR="004914EA" w:rsidRPr="0014395C" w:rsidRDefault="005E184D" w:rsidP="00371D9E">
            <w:pPr>
              <w:spacing w:after="0"/>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57AE869F" wp14:editId="4FE3571F">
                  <wp:extent cx="1889760" cy="558029"/>
                  <wp:effectExtent l="0" t="0" r="0" b="0"/>
                  <wp:docPr id="167916828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7258" cy="560243"/>
                          </a:xfrm>
                          <a:prstGeom prst="rect">
                            <a:avLst/>
                          </a:prstGeom>
                          <a:noFill/>
                        </pic:spPr>
                      </pic:pic>
                    </a:graphicData>
                  </a:graphic>
                </wp:inline>
              </w:drawing>
            </w:r>
          </w:p>
        </w:tc>
        <w:tc>
          <w:tcPr>
            <w:tcW w:w="995" w:type="dxa"/>
            <w:tcBorders>
              <w:top w:val="single" w:sz="4" w:space="0" w:color="548DD4" w:themeColor="text2" w:themeTint="99"/>
              <w:bottom w:val="single" w:sz="4" w:space="0" w:color="548DD4" w:themeColor="text2" w:themeTint="99"/>
            </w:tcBorders>
            <w:vAlign w:val="center"/>
          </w:tcPr>
          <w:p w14:paraId="6B336AE0" w14:textId="31AF4ECD" w:rsidR="004914EA" w:rsidRPr="0014395C" w:rsidRDefault="00505A57" w:rsidP="003753A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71</w:t>
            </w:r>
          </w:p>
        </w:tc>
        <w:tc>
          <w:tcPr>
            <w:tcW w:w="4047" w:type="dxa"/>
            <w:tcBorders>
              <w:top w:val="single" w:sz="4" w:space="0" w:color="548DD4" w:themeColor="text2" w:themeTint="99"/>
              <w:bottom w:val="single" w:sz="4" w:space="0" w:color="548DD4" w:themeColor="text2" w:themeTint="99"/>
            </w:tcBorders>
            <w:vAlign w:val="center"/>
          </w:tcPr>
          <w:p w14:paraId="2E97FDB3" w14:textId="3BA8F73C" w:rsidR="004914EA" w:rsidRPr="0014395C" w:rsidRDefault="00505A57" w:rsidP="0004428F">
            <w:pPr>
              <w:spacing w:after="0"/>
              <w:jc w:val="both"/>
              <w:rPr>
                <w:rFonts w:ascii="Calibri" w:hAnsi="Calibri" w:cs="Calibri"/>
                <w:color w:val="808080" w:themeColor="background1" w:themeShade="80"/>
                <w:sz w:val="20"/>
                <w:szCs w:val="20"/>
              </w:rPr>
            </w:pPr>
            <w:r w:rsidRPr="0004428F">
              <w:rPr>
                <w:rFonts w:ascii="Calibri" w:hAnsi="Calibri" w:cs="Calibri"/>
                <w:color w:val="808080" w:themeColor="background1" w:themeShade="80"/>
                <w:sz w:val="20"/>
                <w:szCs w:val="20"/>
              </w:rPr>
              <w:t>The NatureScot Biodiversity Audit has been tested for the first phase with 71 participants, working on the first two stages (mapping and habitat assessments).</w:t>
            </w:r>
            <w:r>
              <w:rPr>
                <w:rFonts w:ascii="Calibri" w:hAnsi="Calibri" w:cs="Calibri"/>
                <w:color w:val="002060"/>
                <w:sz w:val="18"/>
                <w:szCs w:val="18"/>
              </w:rPr>
              <w:t xml:space="preserve">  </w:t>
            </w:r>
          </w:p>
        </w:tc>
        <w:tc>
          <w:tcPr>
            <w:tcW w:w="5059" w:type="dxa"/>
            <w:tcBorders>
              <w:top w:val="single" w:sz="4" w:space="0" w:color="548DD4" w:themeColor="text2" w:themeTint="99"/>
              <w:bottom w:val="single" w:sz="4" w:space="0" w:color="548DD4" w:themeColor="text2" w:themeTint="99"/>
            </w:tcBorders>
            <w:vAlign w:val="center"/>
          </w:tcPr>
          <w:p w14:paraId="5C219867" w14:textId="037323F3" w:rsidR="007C375E" w:rsidRPr="0004428F" w:rsidRDefault="007C375E" w:rsidP="0004428F">
            <w:pPr>
              <w:spacing w:after="0"/>
              <w:jc w:val="both"/>
              <w:rPr>
                <w:rFonts w:ascii="Calibri" w:hAnsi="Calibri" w:cs="Calibri"/>
                <w:color w:val="808080" w:themeColor="background1" w:themeShade="80"/>
                <w:sz w:val="20"/>
                <w:szCs w:val="20"/>
              </w:rPr>
            </w:pPr>
            <w:r w:rsidRPr="0004428F">
              <w:rPr>
                <w:rFonts w:ascii="Calibri" w:hAnsi="Calibri" w:cs="Calibri"/>
                <w:color w:val="808080" w:themeColor="background1" w:themeShade="80"/>
                <w:sz w:val="20"/>
                <w:szCs w:val="20"/>
              </w:rPr>
              <w:t xml:space="preserve">The final phase of testing for the Biodiversity Audit will take place in </w:t>
            </w:r>
            <w:r w:rsidR="005E184D">
              <w:rPr>
                <w:rFonts w:ascii="Calibri" w:hAnsi="Calibri" w:cs="Calibri"/>
                <w:color w:val="808080" w:themeColor="background1" w:themeShade="80"/>
                <w:sz w:val="20"/>
                <w:szCs w:val="20"/>
              </w:rPr>
              <w:t>20</w:t>
            </w:r>
            <w:r w:rsidRPr="0004428F">
              <w:rPr>
                <w:rFonts w:ascii="Calibri" w:hAnsi="Calibri" w:cs="Calibri"/>
                <w:color w:val="808080" w:themeColor="background1" w:themeShade="80"/>
                <w:sz w:val="20"/>
                <w:szCs w:val="20"/>
              </w:rPr>
              <w:t>24/25 which will result in an increased number having at minimum a habitat map in place.</w:t>
            </w:r>
          </w:p>
          <w:p w14:paraId="17EC8C47" w14:textId="5CB63D72" w:rsidR="004914EA" w:rsidRPr="0014395C" w:rsidRDefault="004914EA" w:rsidP="004F3330">
            <w:pPr>
              <w:spacing w:after="0"/>
              <w:jc w:val="both"/>
              <w:rPr>
                <w:rFonts w:ascii="Calibri" w:hAnsi="Calibri" w:cs="Calibri"/>
                <w:color w:val="808080" w:themeColor="background1" w:themeShade="80"/>
                <w:sz w:val="20"/>
                <w:szCs w:val="20"/>
              </w:rPr>
            </w:pPr>
          </w:p>
        </w:tc>
      </w:tr>
      <w:tr w:rsidR="00A15D6F" w:rsidRPr="0014395C" w14:paraId="6975E74A" w14:textId="77777777" w:rsidTr="004974E7">
        <w:trPr>
          <w:trHeight w:hRule="exact" w:val="1688"/>
          <w:jc w:val="center"/>
        </w:trPr>
        <w:tc>
          <w:tcPr>
            <w:tcW w:w="2276" w:type="dxa"/>
            <w:tcBorders>
              <w:top w:val="single" w:sz="4" w:space="0" w:color="548DD4" w:themeColor="text2" w:themeTint="99"/>
              <w:bottom w:val="single" w:sz="4" w:space="0" w:color="548DD4" w:themeColor="text2" w:themeTint="99"/>
            </w:tcBorders>
            <w:vAlign w:val="center"/>
          </w:tcPr>
          <w:p w14:paraId="6AB37EFB" w14:textId="71651CF8" w:rsidR="004914EA" w:rsidRPr="0014395C" w:rsidRDefault="00000000" w:rsidP="003753A7">
            <w:pPr>
              <w:spacing w:after="0"/>
              <w:jc w:val="center"/>
              <w:rPr>
                <w:rFonts w:ascii="Calibri" w:hAnsi="Calibri" w:cs="Calibri"/>
                <w:b/>
                <w:iCs/>
                <w:color w:val="808080" w:themeColor="background1" w:themeShade="80"/>
                <w:sz w:val="20"/>
                <w:szCs w:val="20"/>
              </w:rPr>
            </w:pPr>
            <w:hyperlink r:id="rId24" w:history="1">
              <w:r w:rsidR="004914EA" w:rsidRPr="0014395C">
                <w:rPr>
                  <w:rStyle w:val="Hyperlink"/>
                  <w:rFonts w:ascii="Calibri" w:hAnsi="Calibri" w:cs="Calibri"/>
                  <w:b/>
                  <w:iCs/>
                  <w:color w:val="808080" w:themeColor="background1" w:themeShade="80"/>
                  <w:sz w:val="20"/>
                  <w:szCs w:val="20"/>
                </w:rPr>
                <w:t>No. of marine renewable energy consultations we provide advice on avoiding impacts on nature</w:t>
              </w:r>
            </w:hyperlink>
          </w:p>
        </w:tc>
        <w:tc>
          <w:tcPr>
            <w:tcW w:w="3131" w:type="dxa"/>
            <w:tcBorders>
              <w:top w:val="single" w:sz="4" w:space="0" w:color="548DD4" w:themeColor="text2" w:themeTint="99"/>
              <w:bottom w:val="single" w:sz="4" w:space="0" w:color="548DD4" w:themeColor="text2" w:themeTint="99"/>
            </w:tcBorders>
            <w:vAlign w:val="center"/>
          </w:tcPr>
          <w:p w14:paraId="031B4BB6" w14:textId="2AB78088" w:rsidR="004914EA" w:rsidRPr="0014395C" w:rsidRDefault="00D01F8A" w:rsidP="00087704">
            <w:pPr>
              <w:spacing w:after="0"/>
              <w:rPr>
                <w:rFonts w:ascii="Calibri" w:hAnsi="Calibri" w:cs="Calibri"/>
                <w:noProof/>
                <w:color w:val="808080" w:themeColor="background1" w:themeShade="80"/>
                <w:sz w:val="20"/>
                <w:szCs w:val="20"/>
                <w:lang w:eastAsia="en-GB"/>
              </w:rPr>
            </w:pPr>
            <w:r>
              <w:rPr>
                <w:rFonts w:ascii="Calibri" w:hAnsi="Calibri" w:cs="Calibri"/>
                <w:noProof/>
                <w:color w:val="808080" w:themeColor="background1" w:themeShade="80"/>
                <w:sz w:val="20"/>
                <w:szCs w:val="20"/>
                <w:lang w:eastAsia="en-GB"/>
              </w:rPr>
              <w:drawing>
                <wp:inline distT="0" distB="0" distL="0" distR="0" wp14:anchorId="170D6447" wp14:editId="61B653BE">
                  <wp:extent cx="1889760" cy="6337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89760" cy="633730"/>
                          </a:xfrm>
                          <a:prstGeom prst="rect">
                            <a:avLst/>
                          </a:prstGeom>
                          <a:noFill/>
                        </pic:spPr>
                      </pic:pic>
                    </a:graphicData>
                  </a:graphic>
                </wp:inline>
              </w:drawing>
            </w:r>
          </w:p>
        </w:tc>
        <w:tc>
          <w:tcPr>
            <w:tcW w:w="995" w:type="dxa"/>
            <w:tcBorders>
              <w:top w:val="single" w:sz="4" w:space="0" w:color="548DD4" w:themeColor="text2" w:themeTint="99"/>
              <w:bottom w:val="single" w:sz="4" w:space="0" w:color="548DD4" w:themeColor="text2" w:themeTint="99"/>
            </w:tcBorders>
            <w:vAlign w:val="center"/>
          </w:tcPr>
          <w:p w14:paraId="49344781" w14:textId="4AAEA5A9" w:rsidR="004914EA" w:rsidRPr="0014395C" w:rsidRDefault="007C375E" w:rsidP="003753A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125</w:t>
            </w:r>
          </w:p>
        </w:tc>
        <w:tc>
          <w:tcPr>
            <w:tcW w:w="4047" w:type="dxa"/>
            <w:tcBorders>
              <w:top w:val="single" w:sz="4" w:space="0" w:color="548DD4" w:themeColor="text2" w:themeTint="99"/>
              <w:bottom w:val="single" w:sz="4" w:space="0" w:color="548DD4" w:themeColor="text2" w:themeTint="99"/>
            </w:tcBorders>
            <w:vAlign w:val="center"/>
          </w:tcPr>
          <w:p w14:paraId="24000D1E" w14:textId="7D2059E8" w:rsidR="007C375E" w:rsidRPr="007C375E" w:rsidRDefault="007C375E" w:rsidP="007C375E">
            <w:pPr>
              <w:spacing w:after="0"/>
              <w:jc w:val="both"/>
              <w:rPr>
                <w:rFonts w:ascii="Calibri" w:hAnsi="Calibri" w:cs="Calibri"/>
                <w:color w:val="808080" w:themeColor="background1" w:themeShade="80"/>
                <w:sz w:val="20"/>
                <w:szCs w:val="20"/>
              </w:rPr>
            </w:pPr>
            <w:r w:rsidRPr="007C375E">
              <w:rPr>
                <w:rFonts w:ascii="Calibri" w:hAnsi="Calibri" w:cs="Calibri"/>
                <w:color w:val="808080" w:themeColor="background1" w:themeShade="80"/>
                <w:sz w:val="20"/>
                <w:szCs w:val="20"/>
              </w:rPr>
              <w:t xml:space="preserve"> Includes the following significant consultation responses issued:</w:t>
            </w:r>
            <w:r w:rsidR="005E184D">
              <w:rPr>
                <w:rFonts w:ascii="Calibri" w:hAnsi="Calibri" w:cs="Calibri"/>
                <w:color w:val="808080" w:themeColor="background1" w:themeShade="80"/>
                <w:sz w:val="20"/>
                <w:szCs w:val="20"/>
              </w:rPr>
              <w:t xml:space="preserve"> </w:t>
            </w:r>
            <w:r w:rsidRPr="007C375E">
              <w:rPr>
                <w:rFonts w:ascii="Calibri" w:hAnsi="Calibri" w:cs="Calibri"/>
                <w:color w:val="808080" w:themeColor="background1" w:themeShade="80"/>
                <w:sz w:val="20"/>
                <w:szCs w:val="20"/>
              </w:rPr>
              <w:t>Green Volt s36 additional information, Stromar OWF Scoping, Westray Tidal Array Scoping, Broadshore Hub Scoping.</w:t>
            </w:r>
          </w:p>
          <w:p w14:paraId="75A7F727" w14:textId="0D153B70" w:rsidR="004914EA" w:rsidRPr="0014395C" w:rsidRDefault="007C375E" w:rsidP="007C375E">
            <w:pPr>
              <w:spacing w:after="0"/>
              <w:jc w:val="both"/>
              <w:rPr>
                <w:rFonts w:ascii="Calibri" w:hAnsi="Calibri" w:cs="Calibri"/>
                <w:color w:val="808080" w:themeColor="background1" w:themeShade="80"/>
                <w:sz w:val="20"/>
                <w:szCs w:val="20"/>
              </w:rPr>
            </w:pPr>
            <w:r w:rsidRPr="007C375E">
              <w:rPr>
                <w:rFonts w:ascii="Calibri" w:hAnsi="Calibri" w:cs="Calibri"/>
                <w:color w:val="808080" w:themeColor="background1" w:themeShade="80"/>
                <w:sz w:val="20"/>
                <w:szCs w:val="20"/>
              </w:rPr>
              <w:t xml:space="preserve">0.5 FTE Marine Ornithologist left post. </w:t>
            </w:r>
          </w:p>
        </w:tc>
        <w:tc>
          <w:tcPr>
            <w:tcW w:w="5059" w:type="dxa"/>
            <w:tcBorders>
              <w:top w:val="single" w:sz="4" w:space="0" w:color="548DD4" w:themeColor="text2" w:themeTint="99"/>
              <w:bottom w:val="single" w:sz="4" w:space="0" w:color="548DD4" w:themeColor="text2" w:themeTint="99"/>
            </w:tcBorders>
            <w:vAlign w:val="center"/>
          </w:tcPr>
          <w:p w14:paraId="47C19B76" w14:textId="6BA4D9DD" w:rsidR="004914EA" w:rsidRPr="0014395C" w:rsidRDefault="007C375E" w:rsidP="004E4A88">
            <w:pPr>
              <w:spacing w:after="0"/>
              <w:jc w:val="both"/>
              <w:rPr>
                <w:rFonts w:ascii="Calibri" w:hAnsi="Calibri" w:cs="Calibri"/>
                <w:color w:val="808080" w:themeColor="background1" w:themeShade="80"/>
                <w:sz w:val="20"/>
                <w:szCs w:val="20"/>
              </w:rPr>
            </w:pPr>
            <w:r w:rsidRPr="007C375E">
              <w:rPr>
                <w:rFonts w:ascii="Calibri" w:hAnsi="Calibri" w:cs="Calibri"/>
                <w:color w:val="808080" w:themeColor="background1" w:themeShade="80"/>
                <w:sz w:val="20"/>
                <w:szCs w:val="20"/>
              </w:rPr>
              <w:t>Bid for additional ScotWind staff resources confirmed. Appointed F grade Marine Energy Programme Manager. Currently recruiting 2x E Grade Marine Energy Sustainability Managers. Will soon be recruiting various additional posts identified in resourcing bid.</w:t>
            </w:r>
          </w:p>
        </w:tc>
      </w:tr>
      <w:tr w:rsidR="00A15D6F" w:rsidRPr="0014395C" w14:paraId="327CCC74" w14:textId="77777777" w:rsidTr="00141D2A">
        <w:trPr>
          <w:trHeight w:hRule="exact" w:val="1712"/>
          <w:jc w:val="center"/>
        </w:trPr>
        <w:tc>
          <w:tcPr>
            <w:tcW w:w="2276" w:type="dxa"/>
            <w:tcBorders>
              <w:top w:val="single" w:sz="4" w:space="0" w:color="548DD4" w:themeColor="text2" w:themeTint="99"/>
              <w:bottom w:val="single" w:sz="4" w:space="0" w:color="548DD4" w:themeColor="text2" w:themeTint="99"/>
            </w:tcBorders>
            <w:vAlign w:val="center"/>
          </w:tcPr>
          <w:p w14:paraId="1BEE0319" w14:textId="2B99A748" w:rsidR="004914EA" w:rsidRPr="0014395C" w:rsidRDefault="00000000" w:rsidP="003753A7">
            <w:pPr>
              <w:spacing w:after="0"/>
              <w:jc w:val="center"/>
              <w:rPr>
                <w:rFonts w:ascii="Calibri" w:hAnsi="Calibri" w:cs="Calibri"/>
                <w:b/>
                <w:iCs/>
                <w:color w:val="808080" w:themeColor="background1" w:themeShade="80"/>
                <w:sz w:val="20"/>
                <w:szCs w:val="20"/>
              </w:rPr>
            </w:pPr>
            <w:hyperlink r:id="rId26" w:history="1">
              <w:r w:rsidR="004914EA" w:rsidRPr="0014395C">
                <w:rPr>
                  <w:rStyle w:val="Hyperlink"/>
                  <w:rFonts w:ascii="Calibri" w:hAnsi="Calibri" w:cs="Calibri"/>
                  <w:b/>
                  <w:iCs/>
                  <w:color w:val="808080" w:themeColor="background1" w:themeShade="80"/>
                  <w:sz w:val="20"/>
                  <w:szCs w:val="20"/>
                </w:rPr>
                <w:t xml:space="preserve">NatureScot is in partnership with new </w:t>
              </w:r>
            </w:hyperlink>
            <w:r w:rsidR="00B20645" w:rsidRPr="0014395C">
              <w:rPr>
                <w:rStyle w:val="Hyperlink"/>
                <w:rFonts w:ascii="Calibri" w:hAnsi="Calibri" w:cs="Calibri"/>
                <w:b/>
                <w:iCs/>
                <w:color w:val="808080" w:themeColor="background1" w:themeShade="80"/>
                <w:sz w:val="20"/>
                <w:szCs w:val="20"/>
              </w:rPr>
              <w:t>recipients</w:t>
            </w:r>
          </w:p>
        </w:tc>
        <w:tc>
          <w:tcPr>
            <w:tcW w:w="3131" w:type="dxa"/>
            <w:tcBorders>
              <w:top w:val="single" w:sz="4" w:space="0" w:color="548DD4" w:themeColor="text2" w:themeTint="99"/>
              <w:bottom w:val="single" w:sz="4" w:space="0" w:color="548DD4" w:themeColor="text2" w:themeTint="99"/>
            </w:tcBorders>
            <w:vAlign w:val="center"/>
          </w:tcPr>
          <w:p w14:paraId="14F99147" w14:textId="5A91447B" w:rsidR="004914EA" w:rsidRPr="0014395C" w:rsidRDefault="00AF334F" w:rsidP="003753A7">
            <w:pPr>
              <w:spacing w:after="0"/>
              <w:jc w:val="center"/>
              <w:rPr>
                <w:rFonts w:ascii="Calibri" w:hAnsi="Calibri" w:cs="Calibri"/>
                <w:b/>
                <w:color w:val="808080" w:themeColor="background1" w:themeShade="80"/>
                <w:sz w:val="20"/>
                <w:szCs w:val="20"/>
              </w:rPr>
            </w:pPr>
            <w:r>
              <w:rPr>
                <w:rFonts w:ascii="Calibri" w:hAnsi="Calibri" w:cs="Calibri"/>
                <w:b/>
                <w:noProof/>
                <w:color w:val="808080" w:themeColor="background1" w:themeShade="80"/>
                <w:sz w:val="20"/>
                <w:szCs w:val="20"/>
                <w:lang w:eastAsia="en-GB"/>
              </w:rPr>
              <w:drawing>
                <wp:inline distT="0" distB="0" distL="0" distR="0" wp14:anchorId="512EF416" wp14:editId="722002BB">
                  <wp:extent cx="1717482" cy="5342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9718" cy="541128"/>
                          </a:xfrm>
                          <a:prstGeom prst="rect">
                            <a:avLst/>
                          </a:prstGeom>
                          <a:noFill/>
                        </pic:spPr>
                      </pic:pic>
                    </a:graphicData>
                  </a:graphic>
                </wp:inline>
              </w:drawing>
            </w:r>
          </w:p>
        </w:tc>
        <w:tc>
          <w:tcPr>
            <w:tcW w:w="995" w:type="dxa"/>
            <w:tcBorders>
              <w:top w:val="single" w:sz="4" w:space="0" w:color="548DD4" w:themeColor="text2" w:themeTint="99"/>
              <w:bottom w:val="single" w:sz="4" w:space="0" w:color="548DD4" w:themeColor="text2" w:themeTint="99"/>
            </w:tcBorders>
            <w:vAlign w:val="center"/>
          </w:tcPr>
          <w:p w14:paraId="4547174D" w14:textId="5115B652" w:rsidR="004914EA" w:rsidRPr="0014395C" w:rsidRDefault="00AF334F" w:rsidP="003753A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4</w:t>
            </w:r>
          </w:p>
        </w:tc>
        <w:tc>
          <w:tcPr>
            <w:tcW w:w="4047" w:type="dxa"/>
            <w:tcBorders>
              <w:top w:val="single" w:sz="4" w:space="0" w:color="548DD4" w:themeColor="text2" w:themeTint="99"/>
              <w:bottom w:val="single" w:sz="4" w:space="0" w:color="548DD4" w:themeColor="text2" w:themeTint="99"/>
            </w:tcBorders>
            <w:vAlign w:val="center"/>
          </w:tcPr>
          <w:p w14:paraId="5355BBE3" w14:textId="5B67B36A" w:rsidR="004914EA" w:rsidRPr="0014395C" w:rsidRDefault="0017625A"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Four</w:t>
            </w:r>
            <w:r w:rsidRPr="00AF334F">
              <w:rPr>
                <w:rFonts w:ascii="Calibri" w:hAnsi="Calibri" w:cs="Calibri"/>
                <w:color w:val="808080" w:themeColor="background1" w:themeShade="80"/>
                <w:sz w:val="20"/>
                <w:szCs w:val="20"/>
              </w:rPr>
              <w:t xml:space="preserve"> </w:t>
            </w:r>
            <w:r w:rsidR="00AF334F" w:rsidRPr="00AF334F">
              <w:rPr>
                <w:rFonts w:ascii="Calibri" w:hAnsi="Calibri" w:cs="Calibri"/>
                <w:color w:val="808080" w:themeColor="background1" w:themeShade="80"/>
                <w:sz w:val="20"/>
                <w:szCs w:val="20"/>
              </w:rPr>
              <w:t xml:space="preserve">new recipients of NRF funding - </w:t>
            </w:r>
            <w:r>
              <w:rPr>
                <w:rFonts w:ascii="Calibri" w:hAnsi="Calibri" w:cs="Calibri"/>
                <w:color w:val="808080" w:themeColor="background1" w:themeShade="80"/>
                <w:sz w:val="20"/>
                <w:szCs w:val="20"/>
              </w:rPr>
              <w:t>one</w:t>
            </w:r>
            <w:r w:rsidR="00AF334F" w:rsidRPr="00AF334F">
              <w:rPr>
                <w:rFonts w:ascii="Calibri" w:hAnsi="Calibri" w:cs="Calibri"/>
                <w:color w:val="808080" w:themeColor="background1" w:themeShade="80"/>
                <w:sz w:val="20"/>
                <w:szCs w:val="20"/>
              </w:rPr>
              <w:t xml:space="preserve"> for Helping Nature and </w:t>
            </w:r>
            <w:r>
              <w:rPr>
                <w:rFonts w:ascii="Calibri" w:hAnsi="Calibri" w:cs="Calibri"/>
                <w:color w:val="808080" w:themeColor="background1" w:themeShade="80"/>
                <w:sz w:val="20"/>
                <w:szCs w:val="20"/>
              </w:rPr>
              <w:t>three</w:t>
            </w:r>
            <w:r w:rsidRPr="00AF334F">
              <w:rPr>
                <w:rFonts w:ascii="Calibri" w:hAnsi="Calibri" w:cs="Calibri"/>
                <w:color w:val="808080" w:themeColor="background1" w:themeShade="80"/>
                <w:sz w:val="20"/>
                <w:szCs w:val="20"/>
              </w:rPr>
              <w:t xml:space="preserve"> </w:t>
            </w:r>
            <w:r w:rsidR="00AF334F" w:rsidRPr="00AF334F">
              <w:rPr>
                <w:rFonts w:ascii="Calibri" w:hAnsi="Calibri" w:cs="Calibri"/>
                <w:color w:val="808080" w:themeColor="background1" w:themeShade="80"/>
                <w:sz w:val="20"/>
                <w:szCs w:val="20"/>
              </w:rPr>
              <w:t>for Transforming Nature</w:t>
            </w:r>
          </w:p>
        </w:tc>
        <w:tc>
          <w:tcPr>
            <w:tcW w:w="5059" w:type="dxa"/>
            <w:tcBorders>
              <w:top w:val="single" w:sz="4" w:space="0" w:color="548DD4" w:themeColor="text2" w:themeTint="99"/>
              <w:bottom w:val="single" w:sz="4" w:space="0" w:color="548DD4" w:themeColor="text2" w:themeTint="99"/>
            </w:tcBorders>
            <w:vAlign w:val="center"/>
          </w:tcPr>
          <w:p w14:paraId="1B15E848" w14:textId="58809E5B" w:rsidR="004914EA" w:rsidRPr="0014395C" w:rsidRDefault="0017625A" w:rsidP="00AF334F">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B</w:t>
            </w:r>
            <w:r w:rsidR="00AF334F" w:rsidRPr="00AF334F">
              <w:rPr>
                <w:rFonts w:ascii="Calibri" w:hAnsi="Calibri" w:cs="Calibri"/>
                <w:color w:val="808080" w:themeColor="background1" w:themeShade="80"/>
                <w:sz w:val="20"/>
                <w:szCs w:val="20"/>
              </w:rPr>
              <w:t xml:space="preserve">udget for NRF delivery projects is fully committed for </w:t>
            </w:r>
            <w:r>
              <w:rPr>
                <w:rFonts w:ascii="Calibri" w:hAnsi="Calibri" w:cs="Calibri"/>
                <w:color w:val="808080" w:themeColor="background1" w:themeShade="80"/>
                <w:sz w:val="20"/>
                <w:szCs w:val="20"/>
              </w:rPr>
              <w:t>20</w:t>
            </w:r>
            <w:r w:rsidR="00AF334F" w:rsidRPr="00AF334F">
              <w:rPr>
                <w:rFonts w:ascii="Calibri" w:hAnsi="Calibri" w:cs="Calibri"/>
                <w:color w:val="808080" w:themeColor="background1" w:themeShade="80"/>
                <w:sz w:val="20"/>
                <w:szCs w:val="20"/>
              </w:rPr>
              <w:t>24/25 so only award made for Transforming Nature delivery funding to an existing NRF recipient..</w:t>
            </w:r>
          </w:p>
        </w:tc>
      </w:tr>
      <w:tr w:rsidR="004914EA" w:rsidRPr="0014395C" w14:paraId="0B880800" w14:textId="77777777" w:rsidTr="004974E7">
        <w:trPr>
          <w:trHeight w:hRule="exact" w:val="1695"/>
          <w:jc w:val="center"/>
        </w:trPr>
        <w:tc>
          <w:tcPr>
            <w:tcW w:w="2276" w:type="dxa"/>
            <w:tcBorders>
              <w:top w:val="single" w:sz="4" w:space="0" w:color="548DD4" w:themeColor="text2" w:themeTint="99"/>
              <w:bottom w:val="single" w:sz="4" w:space="0" w:color="548DD4" w:themeColor="text2" w:themeTint="99"/>
            </w:tcBorders>
            <w:vAlign w:val="center"/>
          </w:tcPr>
          <w:p w14:paraId="5CC944F2" w14:textId="1C172F68" w:rsidR="004914EA" w:rsidRPr="0014395C" w:rsidRDefault="00000000" w:rsidP="003753A7">
            <w:pPr>
              <w:spacing w:after="0"/>
              <w:jc w:val="center"/>
              <w:rPr>
                <w:rFonts w:ascii="Calibri" w:hAnsi="Calibri" w:cs="Calibri"/>
                <w:b/>
                <w:iCs/>
                <w:color w:val="808080" w:themeColor="background1" w:themeShade="80"/>
                <w:sz w:val="20"/>
                <w:szCs w:val="20"/>
              </w:rPr>
            </w:pPr>
            <w:hyperlink r:id="rId28" w:history="1">
              <w:r w:rsidR="004914EA" w:rsidRPr="0014395C">
                <w:rPr>
                  <w:rStyle w:val="Hyperlink"/>
                  <w:rFonts w:ascii="Calibri" w:hAnsi="Calibri" w:cs="Calibri"/>
                  <w:b/>
                  <w:iCs/>
                  <w:color w:val="808080" w:themeColor="background1" w:themeShade="80"/>
                  <w:sz w:val="20"/>
                  <w:szCs w:val="20"/>
                </w:rPr>
                <w:t>External funds raised by SMEEF and the amount allocated to projects.</w:t>
              </w:r>
            </w:hyperlink>
          </w:p>
        </w:tc>
        <w:tc>
          <w:tcPr>
            <w:tcW w:w="3131" w:type="dxa"/>
            <w:tcBorders>
              <w:top w:val="single" w:sz="4" w:space="0" w:color="548DD4" w:themeColor="text2" w:themeTint="99"/>
              <w:bottom w:val="single" w:sz="4" w:space="0" w:color="548DD4" w:themeColor="text2" w:themeTint="99"/>
            </w:tcBorders>
            <w:vAlign w:val="center"/>
          </w:tcPr>
          <w:p w14:paraId="3066D14E" w14:textId="64684B7D" w:rsidR="004914EA" w:rsidRPr="0014395C" w:rsidRDefault="00D01F8A"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4A201A79" wp14:editId="7D814CB2">
                  <wp:extent cx="1914525" cy="6400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4525" cy="640080"/>
                          </a:xfrm>
                          <a:prstGeom prst="rect">
                            <a:avLst/>
                          </a:prstGeom>
                          <a:noFill/>
                        </pic:spPr>
                      </pic:pic>
                    </a:graphicData>
                  </a:graphic>
                </wp:inline>
              </w:drawing>
            </w:r>
          </w:p>
        </w:tc>
        <w:tc>
          <w:tcPr>
            <w:tcW w:w="995" w:type="dxa"/>
            <w:tcBorders>
              <w:top w:val="single" w:sz="4" w:space="0" w:color="548DD4" w:themeColor="text2" w:themeTint="99"/>
              <w:bottom w:val="single" w:sz="4" w:space="0" w:color="548DD4" w:themeColor="text2" w:themeTint="99"/>
            </w:tcBorders>
            <w:vAlign w:val="center"/>
          </w:tcPr>
          <w:p w14:paraId="73786B8F" w14:textId="75924614" w:rsidR="004914EA" w:rsidRPr="0014395C" w:rsidRDefault="0019053B" w:rsidP="00613357">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w:t>
            </w:r>
            <w:r w:rsidR="00613357">
              <w:rPr>
                <w:rFonts w:ascii="Calibri" w:hAnsi="Calibri" w:cs="Calibri"/>
                <w:color w:val="808080" w:themeColor="background1" w:themeShade="80"/>
                <w:sz w:val="20"/>
                <w:szCs w:val="20"/>
              </w:rPr>
              <w:t>317,510</w:t>
            </w:r>
          </w:p>
        </w:tc>
        <w:tc>
          <w:tcPr>
            <w:tcW w:w="4047" w:type="dxa"/>
            <w:tcBorders>
              <w:top w:val="single" w:sz="4" w:space="0" w:color="548DD4" w:themeColor="text2" w:themeTint="99"/>
              <w:bottom w:val="single" w:sz="4" w:space="0" w:color="548DD4" w:themeColor="text2" w:themeTint="99"/>
            </w:tcBorders>
            <w:vAlign w:val="center"/>
          </w:tcPr>
          <w:p w14:paraId="6DC33F10" w14:textId="01BA4EEB" w:rsidR="004914EA" w:rsidRPr="0014395C" w:rsidRDefault="0019053B" w:rsidP="004F3330">
            <w:pPr>
              <w:spacing w:after="0"/>
              <w:jc w:val="both"/>
              <w:rPr>
                <w:rFonts w:ascii="Calibri" w:hAnsi="Calibri" w:cs="Calibri"/>
                <w:color w:val="808080" w:themeColor="background1" w:themeShade="80"/>
                <w:sz w:val="20"/>
                <w:szCs w:val="20"/>
              </w:rPr>
            </w:pPr>
            <w:r w:rsidRPr="0019053B">
              <w:rPr>
                <w:rFonts w:ascii="Calibri" w:hAnsi="Calibri" w:cs="Calibri"/>
                <w:color w:val="808080" w:themeColor="background1" w:themeShade="80"/>
                <w:sz w:val="20"/>
                <w:szCs w:val="20"/>
              </w:rPr>
              <w:t>Agreements s</w:t>
            </w:r>
            <w:r>
              <w:rPr>
                <w:rFonts w:ascii="Calibri" w:hAnsi="Calibri" w:cs="Calibri"/>
                <w:color w:val="808080" w:themeColor="background1" w:themeShade="80"/>
                <w:sz w:val="20"/>
                <w:szCs w:val="20"/>
              </w:rPr>
              <w:t xml:space="preserve">igned with </w:t>
            </w:r>
            <w:r w:rsidR="004974E7" w:rsidRPr="004974E7">
              <w:rPr>
                <w:rFonts w:ascii="Calibri" w:hAnsi="Calibri" w:cs="Calibri"/>
                <w:color w:val="808080" w:themeColor="background1" w:themeShade="80"/>
                <w:sz w:val="20"/>
                <w:szCs w:val="20"/>
              </w:rPr>
              <w:t>Scottish Hydro Electric Power Distribution</w:t>
            </w:r>
            <w:r w:rsidR="004974E7">
              <w:rPr>
                <w:rFonts w:ascii="Calibri" w:hAnsi="Calibri" w:cs="Calibri"/>
                <w:color w:val="808080" w:themeColor="background1" w:themeShade="80"/>
                <w:sz w:val="20"/>
                <w:szCs w:val="20"/>
              </w:rPr>
              <w:t xml:space="preserve"> (</w:t>
            </w:r>
            <w:r>
              <w:rPr>
                <w:rFonts w:ascii="Calibri" w:hAnsi="Calibri" w:cs="Calibri"/>
                <w:color w:val="808080" w:themeColor="background1" w:themeShade="80"/>
                <w:sz w:val="20"/>
                <w:szCs w:val="20"/>
              </w:rPr>
              <w:t>SHEPD</w:t>
            </w:r>
            <w:r w:rsidR="004974E7">
              <w:rPr>
                <w:rFonts w:ascii="Calibri" w:hAnsi="Calibri" w:cs="Calibri"/>
                <w:color w:val="808080" w:themeColor="background1" w:themeShade="80"/>
                <w:sz w:val="20"/>
                <w:szCs w:val="20"/>
              </w:rPr>
              <w:t>)</w:t>
            </w:r>
            <w:r>
              <w:rPr>
                <w:rFonts w:ascii="Calibri" w:hAnsi="Calibri" w:cs="Calibri"/>
                <w:color w:val="808080" w:themeColor="background1" w:themeShade="80"/>
                <w:sz w:val="20"/>
                <w:szCs w:val="20"/>
              </w:rPr>
              <w:t xml:space="preserve"> - £2.1m will be</w:t>
            </w:r>
            <w:r w:rsidRPr="0019053B">
              <w:rPr>
                <w:rFonts w:ascii="Calibri" w:hAnsi="Calibri" w:cs="Calibri"/>
                <w:color w:val="808080" w:themeColor="background1" w:themeShade="80"/>
                <w:sz w:val="20"/>
                <w:szCs w:val="20"/>
              </w:rPr>
              <w:t xml:space="preserve"> profiled in donations and spending over the next 4 years. Contribution agreement signed with Scottish Power </w:t>
            </w:r>
            <w:r w:rsidR="0017625A">
              <w:rPr>
                <w:rFonts w:ascii="Calibri" w:hAnsi="Calibri" w:cs="Calibri"/>
                <w:color w:val="808080" w:themeColor="background1" w:themeShade="80"/>
                <w:sz w:val="20"/>
                <w:szCs w:val="20"/>
              </w:rPr>
              <w:t>for £</w:t>
            </w:r>
            <w:r w:rsidRPr="0019053B">
              <w:rPr>
                <w:rFonts w:ascii="Calibri" w:hAnsi="Calibri" w:cs="Calibri"/>
                <w:color w:val="808080" w:themeColor="background1" w:themeShade="80"/>
                <w:sz w:val="20"/>
                <w:szCs w:val="20"/>
              </w:rPr>
              <w:t xml:space="preserve">50k. NRF funds of </w:t>
            </w:r>
            <w:r w:rsidR="0017625A">
              <w:rPr>
                <w:rFonts w:ascii="Calibri" w:hAnsi="Calibri" w:cs="Calibri"/>
                <w:color w:val="808080" w:themeColor="background1" w:themeShade="80"/>
                <w:sz w:val="20"/>
                <w:szCs w:val="20"/>
              </w:rPr>
              <w:t>£</w:t>
            </w:r>
            <w:r w:rsidRPr="0019053B">
              <w:rPr>
                <w:rFonts w:ascii="Calibri" w:hAnsi="Calibri" w:cs="Calibri"/>
                <w:color w:val="808080" w:themeColor="background1" w:themeShade="80"/>
                <w:sz w:val="20"/>
                <w:szCs w:val="20"/>
              </w:rPr>
              <w:t>267k agreed and awarded</w:t>
            </w:r>
          </w:p>
        </w:tc>
        <w:tc>
          <w:tcPr>
            <w:tcW w:w="5059" w:type="dxa"/>
            <w:tcBorders>
              <w:top w:val="single" w:sz="4" w:space="0" w:color="548DD4" w:themeColor="text2" w:themeTint="99"/>
              <w:bottom w:val="single" w:sz="4" w:space="0" w:color="548DD4" w:themeColor="text2" w:themeTint="99"/>
            </w:tcBorders>
            <w:vAlign w:val="center"/>
          </w:tcPr>
          <w:p w14:paraId="76573B3A" w14:textId="4E869161" w:rsidR="004914EA" w:rsidRPr="0014395C" w:rsidRDefault="0019053B" w:rsidP="004F3330">
            <w:pPr>
              <w:spacing w:after="0"/>
              <w:jc w:val="both"/>
              <w:rPr>
                <w:rFonts w:ascii="Calibri" w:hAnsi="Calibri" w:cs="Calibri"/>
                <w:color w:val="808080" w:themeColor="background1" w:themeShade="80"/>
                <w:sz w:val="20"/>
                <w:szCs w:val="20"/>
              </w:rPr>
            </w:pPr>
            <w:r w:rsidRPr="0019053B">
              <w:rPr>
                <w:rFonts w:ascii="Calibri" w:hAnsi="Calibri" w:cs="Calibri"/>
                <w:color w:val="808080" w:themeColor="background1" w:themeShade="80"/>
                <w:sz w:val="20"/>
                <w:szCs w:val="20"/>
              </w:rPr>
              <w:t xml:space="preserve">Expecting multiple donations in Q1 </w:t>
            </w:r>
            <w:r w:rsidR="000D5794">
              <w:rPr>
                <w:rFonts w:ascii="Calibri" w:hAnsi="Calibri" w:cs="Calibri"/>
                <w:color w:val="808080" w:themeColor="background1" w:themeShade="80"/>
                <w:sz w:val="20"/>
                <w:szCs w:val="20"/>
              </w:rPr>
              <w:t>(2024</w:t>
            </w:r>
            <w:r w:rsidR="0017625A">
              <w:rPr>
                <w:rFonts w:ascii="Calibri" w:hAnsi="Calibri" w:cs="Calibri"/>
                <w:color w:val="808080" w:themeColor="background1" w:themeShade="80"/>
                <w:sz w:val="20"/>
                <w:szCs w:val="20"/>
              </w:rPr>
              <w:t>/</w:t>
            </w:r>
            <w:r w:rsidR="000D5794">
              <w:rPr>
                <w:rFonts w:ascii="Calibri" w:hAnsi="Calibri" w:cs="Calibri"/>
                <w:color w:val="808080" w:themeColor="background1" w:themeShade="80"/>
                <w:sz w:val="20"/>
                <w:szCs w:val="20"/>
              </w:rPr>
              <w:t xml:space="preserve">25) </w:t>
            </w:r>
            <w:r w:rsidRPr="0019053B">
              <w:rPr>
                <w:rFonts w:ascii="Calibri" w:hAnsi="Calibri" w:cs="Calibri"/>
                <w:color w:val="808080" w:themeColor="background1" w:themeShade="80"/>
                <w:sz w:val="20"/>
                <w:szCs w:val="20"/>
              </w:rPr>
              <w:t xml:space="preserve">from a set of donors - due diligence underway </w:t>
            </w:r>
            <w:r w:rsidR="004974E7" w:rsidRPr="0019053B">
              <w:rPr>
                <w:rFonts w:ascii="Calibri" w:hAnsi="Calibri" w:cs="Calibri"/>
                <w:color w:val="808080" w:themeColor="background1" w:themeShade="80"/>
                <w:sz w:val="20"/>
                <w:szCs w:val="20"/>
              </w:rPr>
              <w:t>now</w:t>
            </w:r>
            <w:r w:rsidRPr="0019053B">
              <w:rPr>
                <w:rFonts w:ascii="Calibri" w:hAnsi="Calibri" w:cs="Calibri"/>
                <w:color w:val="808080" w:themeColor="background1" w:themeShade="80"/>
                <w:sz w:val="20"/>
                <w:szCs w:val="20"/>
              </w:rPr>
              <w:t>.</w:t>
            </w:r>
          </w:p>
        </w:tc>
      </w:tr>
      <w:tr w:rsidR="00B50354" w:rsidRPr="00E85B18" w14:paraId="2F9000F5" w14:textId="77777777" w:rsidTr="00FE2CAF">
        <w:trPr>
          <w:trHeight w:hRule="exact" w:val="1989"/>
          <w:jc w:val="center"/>
        </w:trPr>
        <w:tc>
          <w:tcPr>
            <w:tcW w:w="2276" w:type="dxa"/>
            <w:tcBorders>
              <w:top w:val="single" w:sz="4" w:space="0" w:color="548DD4" w:themeColor="text2" w:themeTint="99"/>
              <w:bottom w:val="single" w:sz="4" w:space="0" w:color="548DD4" w:themeColor="text2" w:themeTint="99"/>
            </w:tcBorders>
            <w:vAlign w:val="center"/>
          </w:tcPr>
          <w:p w14:paraId="44A86D21" w14:textId="57F3C8C2" w:rsidR="004914EA" w:rsidRPr="0014395C" w:rsidRDefault="00000000" w:rsidP="003753A7">
            <w:pPr>
              <w:spacing w:after="0"/>
              <w:jc w:val="center"/>
              <w:rPr>
                <w:rFonts w:ascii="Calibri" w:hAnsi="Calibri" w:cs="Calibri"/>
                <w:b/>
                <w:iCs/>
                <w:color w:val="808080" w:themeColor="background1" w:themeShade="80"/>
                <w:sz w:val="20"/>
                <w:szCs w:val="20"/>
              </w:rPr>
            </w:pPr>
            <w:hyperlink r:id="rId30" w:history="1">
              <w:r w:rsidR="004914EA" w:rsidRPr="0014395C">
                <w:rPr>
                  <w:rStyle w:val="Hyperlink"/>
                  <w:rFonts w:ascii="Calibri" w:hAnsi="Calibri" w:cs="Calibri"/>
                  <w:b/>
                  <w:iCs/>
                  <w:color w:val="808080" w:themeColor="background1" w:themeShade="80"/>
                  <w:sz w:val="20"/>
                  <w:szCs w:val="20"/>
                </w:rPr>
                <w:t>Area (hectares) of peatland put on the road to recovery</w:t>
              </w:r>
            </w:hyperlink>
          </w:p>
        </w:tc>
        <w:tc>
          <w:tcPr>
            <w:tcW w:w="3131" w:type="dxa"/>
            <w:tcBorders>
              <w:top w:val="single" w:sz="4" w:space="0" w:color="548DD4" w:themeColor="text2" w:themeTint="99"/>
              <w:bottom w:val="single" w:sz="4" w:space="0" w:color="548DD4" w:themeColor="text2" w:themeTint="99"/>
            </w:tcBorders>
            <w:vAlign w:val="center"/>
          </w:tcPr>
          <w:p w14:paraId="0C6F7551" w14:textId="676C7BC8" w:rsidR="004914EA" w:rsidRPr="0014395C" w:rsidRDefault="004C0C54" w:rsidP="003753A7">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7BA054EA" wp14:editId="150EC051">
                  <wp:extent cx="1889819" cy="5486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164" cy="554837"/>
                          </a:xfrm>
                          <a:prstGeom prst="rect">
                            <a:avLst/>
                          </a:prstGeom>
                          <a:noFill/>
                        </pic:spPr>
                      </pic:pic>
                    </a:graphicData>
                  </a:graphic>
                </wp:inline>
              </w:drawing>
            </w:r>
          </w:p>
        </w:tc>
        <w:tc>
          <w:tcPr>
            <w:tcW w:w="995" w:type="dxa"/>
            <w:tcBorders>
              <w:top w:val="single" w:sz="4" w:space="0" w:color="548DD4" w:themeColor="text2" w:themeTint="99"/>
              <w:bottom w:val="single" w:sz="4" w:space="0" w:color="548DD4" w:themeColor="text2" w:themeTint="99"/>
            </w:tcBorders>
            <w:vAlign w:val="center"/>
          </w:tcPr>
          <w:p w14:paraId="1B09B173" w14:textId="1A40719B" w:rsidR="0019053B" w:rsidRPr="00FE2CAF" w:rsidRDefault="0019053B" w:rsidP="00FE2CAF">
            <w:pPr>
              <w:spacing w:after="0"/>
              <w:jc w:val="center"/>
              <w:rPr>
                <w:rFonts w:ascii="Calibri" w:hAnsi="Calibri" w:cs="Calibri"/>
                <w:color w:val="808080" w:themeColor="background1" w:themeShade="80"/>
                <w:sz w:val="20"/>
                <w:szCs w:val="20"/>
              </w:rPr>
            </w:pPr>
            <w:r w:rsidRPr="00FE2CAF">
              <w:rPr>
                <w:rFonts w:ascii="Calibri" w:hAnsi="Calibri" w:cs="Calibri"/>
                <w:color w:val="808080" w:themeColor="background1" w:themeShade="80"/>
                <w:sz w:val="20"/>
                <w:szCs w:val="20"/>
              </w:rPr>
              <w:t>4,272</w:t>
            </w:r>
            <w:r w:rsidR="00FE2CAF" w:rsidRPr="00FE2CAF">
              <w:rPr>
                <w:rFonts w:ascii="Calibri" w:hAnsi="Calibri" w:cs="Calibri"/>
                <w:color w:val="808080" w:themeColor="background1" w:themeShade="80"/>
                <w:sz w:val="20"/>
                <w:szCs w:val="20"/>
              </w:rPr>
              <w:t>ha</w:t>
            </w:r>
          </w:p>
          <w:p w14:paraId="2AF44E3D" w14:textId="5C819BC8" w:rsidR="004914EA" w:rsidRPr="0014395C" w:rsidRDefault="004914EA" w:rsidP="003753A7">
            <w:pPr>
              <w:spacing w:after="0"/>
              <w:jc w:val="center"/>
              <w:rPr>
                <w:rFonts w:ascii="Calibri" w:hAnsi="Calibri" w:cs="Calibri"/>
                <w:color w:val="808080" w:themeColor="background1" w:themeShade="80"/>
                <w:sz w:val="20"/>
                <w:szCs w:val="20"/>
              </w:rPr>
            </w:pPr>
          </w:p>
        </w:tc>
        <w:tc>
          <w:tcPr>
            <w:tcW w:w="4047" w:type="dxa"/>
            <w:tcBorders>
              <w:top w:val="single" w:sz="4" w:space="0" w:color="548DD4" w:themeColor="text2" w:themeTint="99"/>
              <w:bottom w:val="single" w:sz="4" w:space="0" w:color="548DD4" w:themeColor="text2" w:themeTint="99"/>
            </w:tcBorders>
            <w:vAlign w:val="center"/>
          </w:tcPr>
          <w:p w14:paraId="356FCACA" w14:textId="02CEE993" w:rsidR="004914EA" w:rsidRPr="0019053B" w:rsidRDefault="00FE2CAF" w:rsidP="00FE2CAF">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w:t>
            </w:r>
            <w:r w:rsidR="0019053B" w:rsidRPr="0019053B">
              <w:rPr>
                <w:rFonts w:ascii="Calibri" w:hAnsi="Calibri" w:cs="Calibri"/>
                <w:color w:val="808080" w:themeColor="background1" w:themeShade="80"/>
                <w:sz w:val="20"/>
                <w:szCs w:val="20"/>
              </w:rPr>
              <w:t xml:space="preserve">he figure of 4,272ha is projects completed to date. We have received 81 project applications </w:t>
            </w:r>
            <w:r w:rsidR="0095308B">
              <w:rPr>
                <w:rFonts w:ascii="Calibri" w:hAnsi="Calibri" w:cs="Calibri"/>
                <w:color w:val="808080" w:themeColor="background1" w:themeShade="80"/>
                <w:sz w:val="20"/>
                <w:szCs w:val="20"/>
              </w:rPr>
              <w:t xml:space="preserve">year </w:t>
            </w:r>
            <w:r w:rsidR="0019053B" w:rsidRPr="0019053B">
              <w:rPr>
                <w:rFonts w:ascii="Calibri" w:hAnsi="Calibri" w:cs="Calibri"/>
                <w:color w:val="808080" w:themeColor="background1" w:themeShade="80"/>
                <w:sz w:val="20"/>
                <w:szCs w:val="20"/>
              </w:rPr>
              <w:t>to date for 9,532 ha.</w:t>
            </w:r>
          </w:p>
        </w:tc>
        <w:tc>
          <w:tcPr>
            <w:tcW w:w="5059" w:type="dxa"/>
            <w:tcBorders>
              <w:top w:val="single" w:sz="4" w:space="0" w:color="548DD4" w:themeColor="text2" w:themeTint="99"/>
              <w:bottom w:val="single" w:sz="4" w:space="0" w:color="548DD4" w:themeColor="text2" w:themeTint="99"/>
            </w:tcBorders>
            <w:vAlign w:val="center"/>
          </w:tcPr>
          <w:p w14:paraId="7B70C059" w14:textId="7382A418" w:rsidR="004914EA" w:rsidRPr="0014395C" w:rsidRDefault="00E85B18" w:rsidP="00FE2CAF">
            <w:pPr>
              <w:jc w:val="both"/>
              <w:rPr>
                <w:rFonts w:ascii="Calibri" w:hAnsi="Calibri" w:cs="Calibri"/>
                <w:color w:val="808080" w:themeColor="background1" w:themeShade="80"/>
                <w:sz w:val="20"/>
                <w:szCs w:val="20"/>
              </w:rPr>
            </w:pPr>
            <w:r w:rsidRPr="00E85B18">
              <w:rPr>
                <w:rFonts w:ascii="Calibri" w:hAnsi="Calibri" w:cs="Calibri"/>
                <w:color w:val="808080" w:themeColor="background1" w:themeShade="80"/>
                <w:sz w:val="20"/>
                <w:szCs w:val="20"/>
              </w:rPr>
              <w:t>The number of applications and area ha forecast for delivery this financial year, after we have applied our confidence ratings, is 58 projects totalling 6,445ha.  This exce</w:t>
            </w:r>
            <w:r>
              <w:rPr>
                <w:rFonts w:ascii="Calibri" w:hAnsi="Calibri" w:cs="Calibri"/>
                <w:color w:val="808080" w:themeColor="background1" w:themeShade="80"/>
                <w:sz w:val="20"/>
                <w:szCs w:val="20"/>
              </w:rPr>
              <w:t>eds our target of 6,100 ha</w:t>
            </w:r>
            <w:r w:rsidR="00FE2CAF">
              <w:rPr>
                <w:rFonts w:ascii="Calibri" w:hAnsi="Calibri" w:cs="Calibri"/>
                <w:color w:val="808080" w:themeColor="background1" w:themeShade="80"/>
                <w:sz w:val="20"/>
                <w:szCs w:val="20"/>
              </w:rPr>
              <w:t>.</w:t>
            </w:r>
            <w:r w:rsidR="00464840">
              <w:rPr>
                <w:rFonts w:ascii="Calibri" w:hAnsi="Calibri" w:cs="Calibri"/>
                <w:color w:val="808080" w:themeColor="background1" w:themeShade="80"/>
                <w:sz w:val="20"/>
                <w:szCs w:val="20"/>
              </w:rPr>
              <w:t xml:space="preserve"> </w:t>
            </w:r>
            <w:r w:rsidRPr="00E85B18">
              <w:rPr>
                <w:rFonts w:ascii="Calibri" w:hAnsi="Calibri" w:cs="Calibri"/>
                <w:color w:val="808080" w:themeColor="background1" w:themeShade="80"/>
                <w:sz w:val="20"/>
                <w:szCs w:val="20"/>
              </w:rPr>
              <w:t xml:space="preserve">We are now, however, at the time of year where slippage in project delivery increases because of poor weather and contractor capacity issues.  </w:t>
            </w:r>
          </w:p>
        </w:tc>
      </w:tr>
    </w:tbl>
    <w:p w14:paraId="1CA393B8" w14:textId="6429B77B" w:rsidR="00EF3E44" w:rsidRDefault="00EF3E44">
      <w:pPr>
        <w:rPr>
          <w:rFonts w:ascii="Calibri" w:eastAsiaTheme="majorEastAsia" w:hAnsi="Calibri" w:cs="Calibri"/>
          <w:b/>
          <w:szCs w:val="26"/>
        </w:rPr>
      </w:pPr>
    </w:p>
    <w:p w14:paraId="42817CC3" w14:textId="6D276D93"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 xml:space="preserve">THE VALUE OF NATURE IS RECOGNISED </w:t>
      </w:r>
    </w:p>
    <w:tbl>
      <w:tblPr>
        <w:tblW w:w="14606" w:type="dxa"/>
        <w:jc w:val="center"/>
        <w:tblLayout w:type="fixed"/>
        <w:tblLook w:val="04A0" w:firstRow="1" w:lastRow="0" w:firstColumn="1" w:lastColumn="0" w:noHBand="0" w:noVBand="1"/>
      </w:tblPr>
      <w:tblGrid>
        <w:gridCol w:w="2268"/>
        <w:gridCol w:w="2977"/>
        <w:gridCol w:w="992"/>
        <w:gridCol w:w="3969"/>
        <w:gridCol w:w="4400"/>
      </w:tblGrid>
      <w:tr w:rsidR="004914EA" w:rsidRPr="0014395C" w14:paraId="407B871A" w14:textId="77777777" w:rsidTr="004914EA">
        <w:trPr>
          <w:tblHeader/>
          <w:jc w:val="center"/>
        </w:trPr>
        <w:tc>
          <w:tcPr>
            <w:tcW w:w="2268" w:type="dxa"/>
            <w:tcBorders>
              <w:bottom w:val="single" w:sz="4" w:space="0" w:color="548DD4" w:themeColor="text2" w:themeTint="99"/>
            </w:tcBorders>
          </w:tcPr>
          <w:p w14:paraId="0CEFE3C6" w14:textId="77777777" w:rsidR="004914EA" w:rsidRPr="0014395C" w:rsidRDefault="004914EA" w:rsidP="004914EA">
            <w:pPr>
              <w:spacing w:after="0"/>
              <w:jc w:val="center"/>
              <w:rPr>
                <w:rFonts w:ascii="Calibri" w:hAnsi="Calibri" w:cs="Calibri"/>
                <w:b/>
              </w:rPr>
            </w:pPr>
            <w:r w:rsidRPr="0014395C">
              <w:rPr>
                <w:rFonts w:ascii="Calibri" w:hAnsi="Calibri" w:cs="Calibri"/>
                <w:b/>
              </w:rPr>
              <w:t>Measure</w:t>
            </w:r>
          </w:p>
        </w:tc>
        <w:tc>
          <w:tcPr>
            <w:tcW w:w="2977" w:type="dxa"/>
            <w:tcBorders>
              <w:bottom w:val="single" w:sz="4" w:space="0" w:color="548DD4" w:themeColor="text2" w:themeTint="99"/>
            </w:tcBorders>
          </w:tcPr>
          <w:p w14:paraId="6A01D98D" w14:textId="77777777" w:rsidR="004914EA" w:rsidRPr="0014395C" w:rsidRDefault="004914EA" w:rsidP="004914EA">
            <w:pPr>
              <w:spacing w:after="0"/>
              <w:jc w:val="center"/>
              <w:rPr>
                <w:rFonts w:ascii="Calibri" w:hAnsi="Calibri" w:cs="Calibri"/>
                <w:b/>
              </w:rPr>
            </w:pPr>
            <w:r w:rsidRPr="0014395C">
              <w:rPr>
                <w:rFonts w:ascii="Calibri" w:hAnsi="Calibri" w:cs="Calibri"/>
                <w:b/>
              </w:rPr>
              <w:t>Performance Overview</w:t>
            </w:r>
          </w:p>
        </w:tc>
        <w:tc>
          <w:tcPr>
            <w:tcW w:w="992" w:type="dxa"/>
            <w:tcBorders>
              <w:bottom w:val="single" w:sz="4" w:space="0" w:color="548DD4" w:themeColor="text2" w:themeTint="99"/>
            </w:tcBorders>
          </w:tcPr>
          <w:p w14:paraId="6403E005" w14:textId="77777777" w:rsidR="004914EA" w:rsidRPr="0014395C" w:rsidRDefault="004914EA" w:rsidP="004914EA">
            <w:pPr>
              <w:spacing w:after="0"/>
              <w:jc w:val="center"/>
              <w:rPr>
                <w:rFonts w:ascii="Calibri" w:hAnsi="Calibri" w:cs="Calibri"/>
                <w:b/>
              </w:rPr>
            </w:pPr>
            <w:r w:rsidRPr="0014395C">
              <w:rPr>
                <w:rFonts w:ascii="Calibri" w:hAnsi="Calibri" w:cs="Calibri"/>
                <w:b/>
              </w:rPr>
              <w:t>Actual</w:t>
            </w:r>
          </w:p>
        </w:tc>
        <w:tc>
          <w:tcPr>
            <w:tcW w:w="3969" w:type="dxa"/>
            <w:tcBorders>
              <w:bottom w:val="single" w:sz="4" w:space="0" w:color="548DD4" w:themeColor="text2" w:themeTint="99"/>
            </w:tcBorders>
          </w:tcPr>
          <w:p w14:paraId="03B60BF1"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4400" w:type="dxa"/>
            <w:tcBorders>
              <w:bottom w:val="single" w:sz="4" w:space="0" w:color="548DD4" w:themeColor="text2" w:themeTint="99"/>
            </w:tcBorders>
          </w:tcPr>
          <w:p w14:paraId="79F4D425"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8B6E5C" w:rsidRPr="0014395C" w14:paraId="164CF011"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79A7DEC2" w14:textId="6466A76A" w:rsidR="004914EA" w:rsidRPr="00315CF4" w:rsidRDefault="00000000" w:rsidP="00E768CD">
            <w:pPr>
              <w:spacing w:after="0"/>
              <w:jc w:val="center"/>
              <w:rPr>
                <w:rFonts w:ascii="Calibri" w:hAnsi="Calibri" w:cs="Calibri"/>
                <w:b/>
                <w:iCs/>
                <w:color w:val="808080" w:themeColor="background1" w:themeShade="80"/>
                <w:sz w:val="20"/>
                <w:szCs w:val="20"/>
                <w:highlight w:val="yellow"/>
              </w:rPr>
            </w:pPr>
            <w:hyperlink r:id="rId32" w:history="1">
              <w:r w:rsidR="003A5820">
                <w:rPr>
                  <w:rStyle w:val="Hyperlink"/>
                  <w:rFonts w:ascii="Calibri" w:hAnsi="Calibri" w:cs="Calibri"/>
                  <w:b/>
                  <w:iCs/>
                  <w:color w:val="808080" w:themeColor="background1" w:themeShade="80"/>
                  <w:sz w:val="20"/>
                  <w:szCs w:val="20"/>
                </w:rPr>
                <w:t>Engagement Rate on Make Space for Nature (MSFN) webpages</w:t>
              </w:r>
            </w:hyperlink>
            <w:r w:rsidR="00E768CD" w:rsidRPr="00E768CD">
              <w:rPr>
                <w:rStyle w:val="Hyperlink"/>
                <w:rFonts w:ascii="Calibri" w:hAnsi="Calibri" w:cs="Calibri"/>
                <w:b/>
                <w:iCs/>
                <w:color w:val="808080" w:themeColor="background1" w:themeShade="80"/>
                <w:sz w:val="20"/>
                <w:szCs w:val="20"/>
              </w:rPr>
              <w:t xml:space="preserve"> </w:t>
            </w:r>
          </w:p>
        </w:tc>
        <w:tc>
          <w:tcPr>
            <w:tcW w:w="2977" w:type="dxa"/>
            <w:tcBorders>
              <w:top w:val="single" w:sz="4" w:space="0" w:color="548DD4" w:themeColor="text2" w:themeTint="99"/>
              <w:bottom w:val="single" w:sz="4" w:space="0" w:color="548DD4" w:themeColor="text2" w:themeTint="99"/>
            </w:tcBorders>
            <w:vAlign w:val="center"/>
          </w:tcPr>
          <w:p w14:paraId="3819A499" w14:textId="241B6799" w:rsidR="004914EA" w:rsidRPr="0014395C" w:rsidRDefault="00464840" w:rsidP="004914EA">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4E0C97ED" wp14:editId="29E55CB4">
                  <wp:extent cx="2086859" cy="676275"/>
                  <wp:effectExtent l="0" t="0" r="0" b="0"/>
                  <wp:docPr id="15077992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88987" cy="676965"/>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4ACC5F9E" w14:textId="6446A9FB" w:rsidR="004914EA" w:rsidRPr="0014395C" w:rsidRDefault="00395A9F" w:rsidP="004914EA">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99%</w:t>
            </w:r>
          </w:p>
        </w:tc>
        <w:tc>
          <w:tcPr>
            <w:tcW w:w="3969" w:type="dxa"/>
            <w:tcBorders>
              <w:top w:val="single" w:sz="4" w:space="0" w:color="548DD4" w:themeColor="text2" w:themeTint="99"/>
              <w:bottom w:val="single" w:sz="4" w:space="0" w:color="548DD4" w:themeColor="text2" w:themeTint="99"/>
            </w:tcBorders>
            <w:vAlign w:val="center"/>
          </w:tcPr>
          <w:p w14:paraId="1D7D08AB" w14:textId="27C4BFAD" w:rsidR="004914EA" w:rsidRPr="0014395C" w:rsidRDefault="0095308B" w:rsidP="004F3330">
            <w:pPr>
              <w:spacing w:after="0"/>
              <w:jc w:val="both"/>
              <w:rPr>
                <w:rFonts w:ascii="Calibri" w:hAnsi="Calibri" w:cs="Calibri"/>
                <w:color w:val="808080" w:themeColor="background1" w:themeShade="80"/>
                <w:sz w:val="20"/>
                <w:szCs w:val="20"/>
              </w:rPr>
            </w:pPr>
            <w:r w:rsidRPr="0095308B">
              <w:rPr>
                <w:rFonts w:ascii="Calibri" w:hAnsi="Calibri" w:cs="Calibri"/>
                <w:color w:val="808080" w:themeColor="background1" w:themeShade="80"/>
                <w:sz w:val="20"/>
                <w:szCs w:val="20"/>
              </w:rPr>
              <w:t xml:space="preserve">For Q4 we worked with social media influencers only and achieved a very high view </w:t>
            </w:r>
            <w:r w:rsidR="0017625A" w:rsidRPr="0095308B">
              <w:rPr>
                <w:rFonts w:ascii="Calibri" w:hAnsi="Calibri" w:cs="Calibri"/>
                <w:color w:val="808080" w:themeColor="background1" w:themeShade="80"/>
                <w:sz w:val="20"/>
                <w:szCs w:val="20"/>
              </w:rPr>
              <w:t>count.</w:t>
            </w:r>
            <w:r w:rsidR="0017625A" w:rsidRPr="00395A9F">
              <w:rPr>
                <w:rFonts w:ascii="Calibri" w:hAnsi="Calibri" w:cs="Calibri"/>
                <w:color w:val="808080" w:themeColor="background1" w:themeShade="80"/>
                <w:sz w:val="20"/>
                <w:szCs w:val="20"/>
              </w:rPr>
              <w:t xml:space="preserve"> -</w:t>
            </w:r>
            <w:r w:rsidR="00395A9F" w:rsidRPr="00395A9F">
              <w:rPr>
                <w:rFonts w:ascii="Calibri" w:hAnsi="Calibri" w:cs="Calibri"/>
                <w:color w:val="808080" w:themeColor="background1" w:themeShade="80"/>
                <w:sz w:val="20"/>
                <w:szCs w:val="20"/>
              </w:rPr>
              <w:t xml:space="preserve"> </w:t>
            </w:r>
            <w:r w:rsidR="0017625A">
              <w:rPr>
                <w:rFonts w:ascii="Calibri" w:hAnsi="Calibri" w:cs="Calibri"/>
                <w:color w:val="808080" w:themeColor="background1" w:themeShade="80"/>
                <w:sz w:val="20"/>
                <w:szCs w:val="20"/>
              </w:rPr>
              <w:t>N</w:t>
            </w:r>
            <w:r w:rsidR="00395A9F" w:rsidRPr="00395A9F">
              <w:rPr>
                <w:rFonts w:ascii="Calibri" w:hAnsi="Calibri" w:cs="Calibri"/>
                <w:color w:val="808080" w:themeColor="background1" w:themeShade="80"/>
                <w:sz w:val="20"/>
                <w:szCs w:val="20"/>
              </w:rPr>
              <w:t>o paid-for media. 484k views of videos.</w:t>
            </w:r>
          </w:p>
        </w:tc>
        <w:tc>
          <w:tcPr>
            <w:tcW w:w="4400" w:type="dxa"/>
            <w:tcBorders>
              <w:top w:val="single" w:sz="4" w:space="0" w:color="548DD4" w:themeColor="text2" w:themeTint="99"/>
              <w:bottom w:val="single" w:sz="4" w:space="0" w:color="548DD4" w:themeColor="text2" w:themeTint="99"/>
            </w:tcBorders>
            <w:vAlign w:val="center"/>
          </w:tcPr>
          <w:p w14:paraId="60C23A8C" w14:textId="41FA23EB" w:rsidR="004914EA" w:rsidRPr="0014395C" w:rsidRDefault="0017625A" w:rsidP="00464840">
            <w:pPr>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w:t>
            </w:r>
            <w:r w:rsidR="00395A9F" w:rsidRPr="00395A9F">
              <w:rPr>
                <w:rFonts w:ascii="Calibri" w:hAnsi="Calibri" w:cs="Calibri"/>
                <w:color w:val="808080" w:themeColor="background1" w:themeShade="80"/>
                <w:sz w:val="20"/>
                <w:szCs w:val="20"/>
              </w:rPr>
              <w:t>he small budget was allocated to working with one social media influencer, with the aim of increasing videos views rather than driving traffic to the website, however av</w:t>
            </w:r>
            <w:r w:rsidR="00464840">
              <w:rPr>
                <w:rFonts w:ascii="Calibri" w:hAnsi="Calibri" w:cs="Calibri"/>
                <w:color w:val="808080" w:themeColor="background1" w:themeShade="80"/>
                <w:sz w:val="20"/>
                <w:szCs w:val="20"/>
              </w:rPr>
              <w:t>era</w:t>
            </w:r>
            <w:r w:rsidR="00395A9F" w:rsidRPr="00395A9F">
              <w:rPr>
                <w:rFonts w:ascii="Calibri" w:hAnsi="Calibri" w:cs="Calibri"/>
                <w:color w:val="808080" w:themeColor="background1" w:themeShade="80"/>
                <w:sz w:val="20"/>
                <w:szCs w:val="20"/>
              </w:rPr>
              <w:t>g</w:t>
            </w:r>
            <w:r w:rsidR="00464840">
              <w:rPr>
                <w:rFonts w:ascii="Calibri" w:hAnsi="Calibri" w:cs="Calibri"/>
                <w:color w:val="808080" w:themeColor="background1" w:themeShade="80"/>
                <w:sz w:val="20"/>
                <w:szCs w:val="20"/>
              </w:rPr>
              <w:t>e</w:t>
            </w:r>
            <w:r w:rsidR="00395A9F" w:rsidRPr="00395A9F">
              <w:rPr>
                <w:rFonts w:ascii="Calibri" w:hAnsi="Calibri" w:cs="Calibri"/>
                <w:color w:val="808080" w:themeColor="background1" w:themeShade="80"/>
                <w:sz w:val="20"/>
                <w:szCs w:val="20"/>
              </w:rPr>
              <w:t xml:space="preserve"> time and engagement rate exceeded KPIs, at 2 min 13 secs and 99%</w:t>
            </w:r>
            <w:r w:rsidR="00464840">
              <w:rPr>
                <w:rFonts w:ascii="Calibri" w:hAnsi="Calibri" w:cs="Calibri"/>
                <w:color w:val="808080" w:themeColor="background1" w:themeShade="80"/>
                <w:sz w:val="20"/>
                <w:szCs w:val="20"/>
              </w:rPr>
              <w:t>.</w:t>
            </w:r>
          </w:p>
        </w:tc>
      </w:tr>
      <w:tr w:rsidR="00051324" w:rsidRPr="0014395C" w14:paraId="149AA65A" w14:textId="77777777" w:rsidTr="00315CF4">
        <w:trPr>
          <w:trHeight w:val="1462"/>
          <w:jc w:val="center"/>
        </w:trPr>
        <w:tc>
          <w:tcPr>
            <w:tcW w:w="2268" w:type="dxa"/>
            <w:tcBorders>
              <w:top w:val="single" w:sz="4" w:space="0" w:color="548DD4" w:themeColor="text2" w:themeTint="99"/>
              <w:bottom w:val="single" w:sz="4" w:space="0" w:color="548DD4" w:themeColor="text2" w:themeTint="99"/>
            </w:tcBorders>
            <w:vAlign w:val="center"/>
          </w:tcPr>
          <w:p w14:paraId="15768AC1" w14:textId="74B76C32" w:rsidR="00051324" w:rsidRPr="009619B1" w:rsidRDefault="00000000" w:rsidP="00051324">
            <w:pPr>
              <w:spacing w:after="0"/>
              <w:jc w:val="center"/>
              <w:rPr>
                <w:rFonts w:ascii="Calibri" w:hAnsi="Calibri" w:cs="Calibri"/>
                <w:b/>
                <w:iCs/>
                <w:color w:val="808080" w:themeColor="background1" w:themeShade="80"/>
                <w:sz w:val="20"/>
                <w:szCs w:val="20"/>
              </w:rPr>
            </w:pPr>
            <w:hyperlink r:id="rId34" w:history="1">
              <w:r w:rsidR="00051324" w:rsidRPr="009619B1">
                <w:rPr>
                  <w:rStyle w:val="Hyperlink"/>
                  <w:rFonts w:ascii="Calibri" w:hAnsi="Calibri" w:cs="Calibri"/>
                  <w:b/>
                  <w:iCs/>
                  <w:color w:val="808080" w:themeColor="background1" w:themeShade="80"/>
                  <w:sz w:val="20"/>
                  <w:szCs w:val="20"/>
                </w:rPr>
                <w:t>No. of Landscape partnerships that NatureScot is involved in that use a natural capital approach</w:t>
              </w:r>
            </w:hyperlink>
          </w:p>
        </w:tc>
        <w:tc>
          <w:tcPr>
            <w:tcW w:w="2977" w:type="dxa"/>
            <w:tcBorders>
              <w:top w:val="single" w:sz="4" w:space="0" w:color="548DD4" w:themeColor="text2" w:themeTint="99"/>
              <w:bottom w:val="single" w:sz="4" w:space="0" w:color="548DD4" w:themeColor="text2" w:themeTint="99"/>
            </w:tcBorders>
            <w:vAlign w:val="center"/>
          </w:tcPr>
          <w:p w14:paraId="7FB5BE70" w14:textId="6F355EB0" w:rsidR="00051324" w:rsidRPr="009619B1" w:rsidRDefault="00395A9F" w:rsidP="00051324">
            <w:pPr>
              <w:spacing w:after="0"/>
              <w:jc w:val="center"/>
              <w:rPr>
                <w:rFonts w:ascii="Calibri" w:hAnsi="Calibri" w:cs="Calibri"/>
                <w:color w:val="808080" w:themeColor="background1" w:themeShade="80"/>
                <w:sz w:val="20"/>
                <w:szCs w:val="20"/>
              </w:rPr>
            </w:pPr>
            <w:r w:rsidRPr="009619B1">
              <w:rPr>
                <w:rFonts w:ascii="Calibri" w:hAnsi="Calibri" w:cs="Calibri"/>
                <w:color w:val="808080" w:themeColor="background1" w:themeShade="80"/>
                <w:sz w:val="20"/>
                <w:szCs w:val="20"/>
              </w:rPr>
              <w:t>Data Not Available</w:t>
            </w:r>
          </w:p>
        </w:tc>
        <w:tc>
          <w:tcPr>
            <w:tcW w:w="992" w:type="dxa"/>
            <w:tcBorders>
              <w:top w:val="single" w:sz="4" w:space="0" w:color="548DD4" w:themeColor="text2" w:themeTint="99"/>
              <w:bottom w:val="single" w:sz="4" w:space="0" w:color="548DD4" w:themeColor="text2" w:themeTint="99"/>
            </w:tcBorders>
            <w:vAlign w:val="center"/>
          </w:tcPr>
          <w:p w14:paraId="7A57D4F5" w14:textId="79F5925F" w:rsidR="00051324" w:rsidRPr="0014395C" w:rsidRDefault="009619B1" w:rsidP="00051324">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3969" w:type="dxa"/>
            <w:tcBorders>
              <w:top w:val="single" w:sz="4" w:space="0" w:color="548DD4" w:themeColor="text2" w:themeTint="99"/>
              <w:bottom w:val="single" w:sz="4" w:space="0" w:color="548DD4" w:themeColor="text2" w:themeTint="99"/>
            </w:tcBorders>
            <w:vAlign w:val="center"/>
          </w:tcPr>
          <w:p w14:paraId="1691A807" w14:textId="3440C092" w:rsidR="00051324" w:rsidRPr="0014395C" w:rsidRDefault="009619B1" w:rsidP="00051324">
            <w:pPr>
              <w:spacing w:after="0"/>
              <w:jc w:val="both"/>
              <w:rPr>
                <w:rFonts w:ascii="Calibri" w:hAnsi="Calibri" w:cs="Calibri"/>
                <w:color w:val="808080" w:themeColor="background1" w:themeShade="80"/>
                <w:sz w:val="20"/>
                <w:szCs w:val="20"/>
              </w:rPr>
            </w:pPr>
            <w:r w:rsidRPr="009619B1">
              <w:rPr>
                <w:rFonts w:ascii="Calibri" w:hAnsi="Calibri" w:cs="Calibri"/>
                <w:color w:val="808080" w:themeColor="background1" w:themeShade="80"/>
                <w:sz w:val="20"/>
                <w:szCs w:val="20"/>
              </w:rPr>
              <w:t xml:space="preserve">There has been a major delay in the establishment of this measure due to internal resourcing constraints with multiple team members leaving, including the unexpected loss of </w:t>
            </w:r>
            <w:r w:rsidR="00B60441">
              <w:rPr>
                <w:rFonts w:ascii="Calibri" w:hAnsi="Calibri" w:cs="Calibri"/>
                <w:color w:val="808080" w:themeColor="background1" w:themeShade="80"/>
                <w:sz w:val="20"/>
                <w:szCs w:val="20"/>
              </w:rPr>
              <w:t>our</w:t>
            </w:r>
            <w:r w:rsidRPr="009619B1">
              <w:rPr>
                <w:rFonts w:ascii="Calibri" w:hAnsi="Calibri" w:cs="Calibri"/>
                <w:color w:val="808080" w:themeColor="background1" w:themeShade="80"/>
                <w:sz w:val="20"/>
                <w:szCs w:val="20"/>
              </w:rPr>
              <w:t xml:space="preserve"> Data Collector, although work is still ongoing.</w:t>
            </w:r>
          </w:p>
        </w:tc>
        <w:tc>
          <w:tcPr>
            <w:tcW w:w="4400" w:type="dxa"/>
            <w:tcBorders>
              <w:top w:val="single" w:sz="4" w:space="0" w:color="548DD4" w:themeColor="text2" w:themeTint="99"/>
              <w:bottom w:val="single" w:sz="4" w:space="0" w:color="548DD4" w:themeColor="text2" w:themeTint="99"/>
            </w:tcBorders>
            <w:vAlign w:val="center"/>
          </w:tcPr>
          <w:p w14:paraId="6CE7D31B" w14:textId="33285E7B" w:rsidR="00051324" w:rsidRPr="0014395C" w:rsidRDefault="009619B1" w:rsidP="00315CF4">
            <w:pPr>
              <w:jc w:val="both"/>
              <w:rPr>
                <w:rFonts w:ascii="Calibri" w:hAnsi="Calibri" w:cs="Calibri"/>
                <w:color w:val="808080" w:themeColor="background1" w:themeShade="80"/>
                <w:sz w:val="20"/>
                <w:szCs w:val="20"/>
              </w:rPr>
            </w:pPr>
            <w:r w:rsidRPr="009619B1">
              <w:rPr>
                <w:rFonts w:ascii="Calibri" w:hAnsi="Calibri" w:cs="Calibri"/>
                <w:color w:val="808080" w:themeColor="background1" w:themeShade="80"/>
                <w:sz w:val="20"/>
                <w:szCs w:val="20"/>
              </w:rPr>
              <w:t>The development of the landscape scale natural capital tool is still proceeding and piloting of a prototype with seven landscape scale partnerships is ongoing, and due to be completed by the end of April. We need to focus on recruitment for the three vacant posts within the team to give the capacity to finish development of the tool and establish this measure as well as backdate our historic data.</w:t>
            </w:r>
          </w:p>
        </w:tc>
      </w:tr>
      <w:tr w:rsidR="00B50354" w:rsidRPr="0014395C" w14:paraId="2D2F2D6C"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0B3B2974" w14:textId="3CD90DCD" w:rsidR="004914EA" w:rsidRPr="00C33B3F" w:rsidRDefault="00000000" w:rsidP="004914EA">
            <w:pPr>
              <w:spacing w:after="0"/>
              <w:jc w:val="center"/>
              <w:rPr>
                <w:rFonts w:ascii="Calibri" w:hAnsi="Calibri" w:cs="Calibri"/>
                <w:b/>
                <w:iCs/>
                <w:color w:val="808080" w:themeColor="background1" w:themeShade="80"/>
                <w:sz w:val="20"/>
                <w:szCs w:val="20"/>
              </w:rPr>
            </w:pPr>
            <w:hyperlink r:id="rId35" w:history="1">
              <w:r w:rsidR="004914EA" w:rsidRPr="00C33B3F">
                <w:rPr>
                  <w:rStyle w:val="Hyperlink"/>
                  <w:rFonts w:ascii="Calibri" w:hAnsi="Calibri" w:cs="Calibri"/>
                  <w:b/>
                  <w:iCs/>
                  <w:color w:val="808080" w:themeColor="background1" w:themeShade="80"/>
                  <w:sz w:val="20"/>
                  <w:szCs w:val="20"/>
                </w:rPr>
                <w:t>Nature-restoration jobs and skill development opportunities created through our activity</w:t>
              </w:r>
            </w:hyperlink>
          </w:p>
        </w:tc>
        <w:tc>
          <w:tcPr>
            <w:tcW w:w="2977" w:type="dxa"/>
            <w:tcBorders>
              <w:top w:val="single" w:sz="4" w:space="0" w:color="548DD4" w:themeColor="text2" w:themeTint="99"/>
              <w:bottom w:val="single" w:sz="4" w:space="0" w:color="548DD4" w:themeColor="text2" w:themeTint="99"/>
            </w:tcBorders>
            <w:vAlign w:val="center"/>
          </w:tcPr>
          <w:p w14:paraId="77B1F42B" w14:textId="12A68F6B" w:rsidR="004914EA" w:rsidRPr="00C33B3F" w:rsidRDefault="0097760D" w:rsidP="004914EA">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68637782" wp14:editId="4EB44088">
                  <wp:extent cx="1759874" cy="636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82156" cy="644159"/>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00F11C32" w14:textId="289B26C9" w:rsidR="004914EA" w:rsidRPr="00C33B3F" w:rsidRDefault="000C5A34" w:rsidP="004914EA">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171</w:t>
            </w:r>
          </w:p>
        </w:tc>
        <w:tc>
          <w:tcPr>
            <w:tcW w:w="3969" w:type="dxa"/>
            <w:tcBorders>
              <w:top w:val="single" w:sz="4" w:space="0" w:color="548DD4" w:themeColor="text2" w:themeTint="99"/>
              <w:bottom w:val="single" w:sz="4" w:space="0" w:color="548DD4" w:themeColor="text2" w:themeTint="99"/>
            </w:tcBorders>
            <w:vAlign w:val="center"/>
          </w:tcPr>
          <w:p w14:paraId="3CD36655" w14:textId="2EBD6C6D" w:rsidR="004914EA" w:rsidRPr="00C33B3F" w:rsidRDefault="00586F3D"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The 171 opportunities in Q4 wer</w:t>
            </w:r>
            <w:r w:rsidR="0053560F">
              <w:rPr>
                <w:rFonts w:ascii="Calibri" w:hAnsi="Calibri" w:cs="Calibri"/>
                <w:color w:val="808080" w:themeColor="background1" w:themeShade="80"/>
                <w:sz w:val="20"/>
                <w:szCs w:val="20"/>
              </w:rPr>
              <w:t>e</w:t>
            </w:r>
            <w:r>
              <w:rPr>
                <w:rFonts w:ascii="Calibri" w:hAnsi="Calibri" w:cs="Calibri"/>
                <w:color w:val="808080" w:themeColor="background1" w:themeShade="80"/>
                <w:sz w:val="20"/>
                <w:szCs w:val="20"/>
              </w:rPr>
              <w:t xml:space="preserve"> for Peatland ACTION, there were</w:t>
            </w:r>
            <w:r w:rsidR="000C5A34" w:rsidRPr="000C5A34">
              <w:rPr>
                <w:rFonts w:ascii="Calibri" w:hAnsi="Calibri" w:cs="Calibri"/>
                <w:color w:val="808080" w:themeColor="background1" w:themeShade="80"/>
                <w:sz w:val="20"/>
                <w:szCs w:val="20"/>
              </w:rPr>
              <w:t xml:space="preserve"> lower numbers due to weather restrictions and lack of response</w:t>
            </w:r>
          </w:p>
        </w:tc>
        <w:tc>
          <w:tcPr>
            <w:tcW w:w="4400" w:type="dxa"/>
            <w:tcBorders>
              <w:top w:val="single" w:sz="4" w:space="0" w:color="548DD4" w:themeColor="text2" w:themeTint="99"/>
              <w:bottom w:val="single" w:sz="4" w:space="0" w:color="548DD4" w:themeColor="text2" w:themeTint="99"/>
            </w:tcBorders>
            <w:vAlign w:val="center"/>
          </w:tcPr>
          <w:p w14:paraId="15099F41" w14:textId="3E0188E2" w:rsidR="004914EA" w:rsidRPr="0014395C" w:rsidRDefault="000C5A34" w:rsidP="004F3330">
            <w:pPr>
              <w:spacing w:after="0"/>
              <w:jc w:val="both"/>
              <w:rPr>
                <w:rFonts w:ascii="Calibri" w:hAnsi="Calibri" w:cs="Calibri"/>
                <w:color w:val="808080" w:themeColor="background1" w:themeShade="80"/>
                <w:sz w:val="20"/>
                <w:szCs w:val="20"/>
              </w:rPr>
            </w:pPr>
            <w:r w:rsidRPr="000C5A34">
              <w:rPr>
                <w:rFonts w:ascii="Calibri" w:hAnsi="Calibri" w:cs="Calibri"/>
                <w:color w:val="808080" w:themeColor="background1" w:themeShade="80"/>
                <w:sz w:val="20"/>
                <w:szCs w:val="20"/>
              </w:rPr>
              <w:t xml:space="preserve">Now planning forward into </w:t>
            </w:r>
            <w:r w:rsidR="00586F3D">
              <w:rPr>
                <w:rFonts w:ascii="Calibri" w:hAnsi="Calibri" w:cs="Calibri"/>
                <w:color w:val="808080" w:themeColor="background1" w:themeShade="80"/>
                <w:sz w:val="20"/>
                <w:szCs w:val="20"/>
              </w:rPr>
              <w:t>20</w:t>
            </w:r>
            <w:r w:rsidRPr="000C5A34">
              <w:rPr>
                <w:rFonts w:ascii="Calibri" w:hAnsi="Calibri" w:cs="Calibri"/>
                <w:color w:val="808080" w:themeColor="background1" w:themeShade="80"/>
                <w:sz w:val="20"/>
                <w:szCs w:val="20"/>
              </w:rPr>
              <w:t>24/25 to offer additional new entrant training.</w:t>
            </w:r>
          </w:p>
        </w:tc>
      </w:tr>
      <w:tr w:rsidR="00AA6419" w:rsidRPr="0014395C" w14:paraId="7C3C7513" w14:textId="77777777" w:rsidTr="004914EA">
        <w:trPr>
          <w:trHeight w:val="850"/>
          <w:jc w:val="center"/>
        </w:trPr>
        <w:tc>
          <w:tcPr>
            <w:tcW w:w="2268" w:type="dxa"/>
            <w:tcBorders>
              <w:top w:val="single" w:sz="4" w:space="0" w:color="548DD4" w:themeColor="text2" w:themeTint="99"/>
              <w:bottom w:val="single" w:sz="4" w:space="0" w:color="548DD4" w:themeColor="text2" w:themeTint="99"/>
            </w:tcBorders>
            <w:vAlign w:val="center"/>
          </w:tcPr>
          <w:p w14:paraId="6AB035D2" w14:textId="0C83267D" w:rsidR="00AA6419" w:rsidRPr="0014395C" w:rsidRDefault="00000000" w:rsidP="00AA6419">
            <w:pPr>
              <w:spacing w:after="0"/>
              <w:jc w:val="center"/>
              <w:rPr>
                <w:rFonts w:ascii="Calibri" w:hAnsi="Calibri" w:cs="Calibri"/>
                <w:b/>
                <w:bCs/>
                <w:color w:val="808080" w:themeColor="background1" w:themeShade="80"/>
                <w:sz w:val="20"/>
                <w:szCs w:val="20"/>
              </w:rPr>
            </w:pPr>
            <w:hyperlink r:id="rId37" w:history="1">
              <w:r w:rsidR="00AA6419" w:rsidRPr="0014395C">
                <w:rPr>
                  <w:rStyle w:val="Hyperlink"/>
                  <w:rFonts w:ascii="Calibri" w:hAnsi="Calibri" w:cs="Calibri"/>
                  <w:b/>
                  <w:bCs/>
                  <w:color w:val="808080" w:themeColor="background1" w:themeShade="80"/>
                  <w:sz w:val="20"/>
                  <w:szCs w:val="20"/>
                </w:rPr>
                <w:t>National Nature Reserve online engagement</w:t>
              </w:r>
            </w:hyperlink>
          </w:p>
        </w:tc>
        <w:tc>
          <w:tcPr>
            <w:tcW w:w="2977" w:type="dxa"/>
            <w:tcBorders>
              <w:top w:val="single" w:sz="4" w:space="0" w:color="548DD4" w:themeColor="text2" w:themeTint="99"/>
              <w:bottom w:val="single" w:sz="4" w:space="0" w:color="548DD4" w:themeColor="text2" w:themeTint="99"/>
            </w:tcBorders>
            <w:vAlign w:val="center"/>
          </w:tcPr>
          <w:p w14:paraId="050DBAD8" w14:textId="04BAE445" w:rsidR="00AA6419" w:rsidRPr="0014395C" w:rsidRDefault="00F0579D" w:rsidP="00AA6419">
            <w:pPr>
              <w:spacing w:after="0"/>
              <w:jc w:val="both"/>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0464AABA" wp14:editId="7F79F50D">
                  <wp:extent cx="1823085"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23085" cy="670560"/>
                          </a:xfrm>
                          <a:prstGeom prst="rect">
                            <a:avLst/>
                          </a:prstGeom>
                          <a:noFill/>
                        </pic:spPr>
                      </pic:pic>
                    </a:graphicData>
                  </a:graphic>
                </wp:inline>
              </w:drawing>
            </w:r>
          </w:p>
        </w:tc>
        <w:tc>
          <w:tcPr>
            <w:tcW w:w="992" w:type="dxa"/>
            <w:tcBorders>
              <w:top w:val="single" w:sz="4" w:space="0" w:color="548DD4" w:themeColor="text2" w:themeTint="99"/>
              <w:bottom w:val="single" w:sz="4" w:space="0" w:color="548DD4" w:themeColor="text2" w:themeTint="99"/>
            </w:tcBorders>
            <w:vAlign w:val="center"/>
          </w:tcPr>
          <w:p w14:paraId="7AC5A61D" w14:textId="5BED0A23" w:rsidR="00AA6419" w:rsidRPr="0014395C" w:rsidRDefault="00F0579D" w:rsidP="00AA6419">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737</w:t>
            </w:r>
            <w:r w:rsidR="00586F3D">
              <w:rPr>
                <w:rFonts w:ascii="Calibri" w:hAnsi="Calibri" w:cs="Calibri"/>
                <w:color w:val="808080" w:themeColor="background1" w:themeShade="80"/>
                <w:sz w:val="20"/>
                <w:szCs w:val="20"/>
              </w:rPr>
              <w:t>,</w:t>
            </w:r>
            <w:r>
              <w:rPr>
                <w:rFonts w:ascii="Calibri" w:hAnsi="Calibri" w:cs="Calibri"/>
                <w:color w:val="808080" w:themeColor="background1" w:themeShade="80"/>
                <w:sz w:val="20"/>
                <w:szCs w:val="20"/>
              </w:rPr>
              <w:t>037</w:t>
            </w:r>
          </w:p>
        </w:tc>
        <w:tc>
          <w:tcPr>
            <w:tcW w:w="3969" w:type="dxa"/>
            <w:tcBorders>
              <w:top w:val="single" w:sz="4" w:space="0" w:color="548DD4" w:themeColor="text2" w:themeTint="99"/>
              <w:bottom w:val="single" w:sz="4" w:space="0" w:color="548DD4" w:themeColor="text2" w:themeTint="99"/>
            </w:tcBorders>
            <w:vAlign w:val="center"/>
          </w:tcPr>
          <w:p w14:paraId="0B82A8D7" w14:textId="2FAAB7DC" w:rsidR="00AA6419" w:rsidRPr="0014395C" w:rsidRDefault="00F0579D" w:rsidP="00F0579D">
            <w:pPr>
              <w:spacing w:after="0"/>
              <w:jc w:val="both"/>
              <w:rPr>
                <w:rFonts w:ascii="Calibri" w:hAnsi="Calibri" w:cs="Calibri"/>
                <w:color w:val="808080" w:themeColor="background1" w:themeShade="80"/>
                <w:sz w:val="20"/>
                <w:szCs w:val="20"/>
              </w:rPr>
            </w:pPr>
            <w:r w:rsidRPr="00F0579D">
              <w:rPr>
                <w:rFonts w:ascii="Calibri" w:hAnsi="Calibri" w:cs="Calibri"/>
                <w:color w:val="808080" w:themeColor="background1" w:themeShade="80"/>
                <w:sz w:val="20"/>
                <w:szCs w:val="20"/>
              </w:rPr>
              <w:t xml:space="preserve">Steady level of engagement consistent with what is expected over winter. Slight drop due to seasonal nature of some sites. </w:t>
            </w:r>
          </w:p>
        </w:tc>
        <w:tc>
          <w:tcPr>
            <w:tcW w:w="4400" w:type="dxa"/>
            <w:tcBorders>
              <w:top w:val="single" w:sz="4" w:space="0" w:color="548DD4" w:themeColor="text2" w:themeTint="99"/>
              <w:bottom w:val="single" w:sz="4" w:space="0" w:color="548DD4" w:themeColor="text2" w:themeTint="99"/>
            </w:tcBorders>
            <w:vAlign w:val="center"/>
          </w:tcPr>
          <w:p w14:paraId="2E93EECA" w14:textId="42A6F84D" w:rsidR="00AA6419" w:rsidRPr="0014395C" w:rsidRDefault="00F0579D" w:rsidP="00F0579D">
            <w:pPr>
              <w:spacing w:after="0"/>
              <w:jc w:val="both"/>
              <w:rPr>
                <w:rFonts w:ascii="Calibri" w:hAnsi="Calibri" w:cs="Calibri"/>
                <w:color w:val="808080" w:themeColor="background1" w:themeShade="80"/>
                <w:sz w:val="20"/>
                <w:szCs w:val="20"/>
              </w:rPr>
            </w:pPr>
            <w:r w:rsidRPr="00F0579D">
              <w:rPr>
                <w:rFonts w:ascii="Calibri" w:hAnsi="Calibri" w:cs="Calibri"/>
                <w:color w:val="808080" w:themeColor="background1" w:themeShade="80"/>
                <w:sz w:val="20"/>
                <w:szCs w:val="20"/>
              </w:rPr>
              <w:t>Meta measures no longer count engagement on shared NNR page as most posts are shares rather than written directly on page so seeing a significant drop in count for this page</w:t>
            </w:r>
            <w:r w:rsidR="00586F3D">
              <w:rPr>
                <w:rFonts w:ascii="Calibri" w:hAnsi="Calibri" w:cs="Calibri"/>
                <w:color w:val="808080" w:themeColor="background1" w:themeShade="80"/>
                <w:sz w:val="20"/>
                <w:szCs w:val="20"/>
              </w:rPr>
              <w:t>.</w:t>
            </w:r>
          </w:p>
        </w:tc>
      </w:tr>
    </w:tbl>
    <w:p w14:paraId="05EE538B" w14:textId="6A118E59" w:rsidR="004914EA" w:rsidRPr="0014395C" w:rsidRDefault="004914EA" w:rsidP="008D20BE">
      <w:pPr>
        <w:spacing w:after="160" w:line="259" w:lineRule="auto"/>
        <w:rPr>
          <w:rFonts w:ascii="Calibri" w:eastAsiaTheme="majorEastAsia" w:hAnsi="Calibri" w:cs="Calibri"/>
          <w:b/>
          <w:sz w:val="20"/>
          <w:szCs w:val="20"/>
        </w:rPr>
      </w:pPr>
    </w:p>
    <w:p w14:paraId="3E8EE2F2" w14:textId="77777777" w:rsidR="004914EA" w:rsidRPr="0014395C" w:rsidRDefault="004914EA">
      <w:pPr>
        <w:rPr>
          <w:rFonts w:ascii="Calibri" w:eastAsiaTheme="majorEastAsia" w:hAnsi="Calibri" w:cs="Calibri"/>
          <w:b/>
          <w:sz w:val="20"/>
          <w:szCs w:val="20"/>
        </w:rPr>
      </w:pPr>
      <w:r w:rsidRPr="0014395C">
        <w:rPr>
          <w:rFonts w:ascii="Calibri" w:eastAsiaTheme="majorEastAsia" w:hAnsi="Calibri" w:cs="Calibri"/>
          <w:b/>
          <w:sz w:val="20"/>
          <w:szCs w:val="20"/>
        </w:rPr>
        <w:br w:type="page"/>
      </w:r>
    </w:p>
    <w:p w14:paraId="6A4836A2" w14:textId="77777777" w:rsidR="008D20BE" w:rsidRPr="0014395C" w:rsidRDefault="008D20BE" w:rsidP="008D20BE">
      <w:pPr>
        <w:pStyle w:val="Heading2"/>
        <w:shd w:val="clear" w:color="auto" w:fill="007DC3"/>
        <w:jc w:val="center"/>
        <w:rPr>
          <w:rFonts w:ascii="Calibri" w:hAnsi="Calibri" w:cs="Calibri"/>
        </w:rPr>
      </w:pPr>
      <w:r w:rsidRPr="0014395C">
        <w:rPr>
          <w:rFonts w:ascii="Calibri" w:hAnsi="Calibri" w:cs="Calibri"/>
        </w:rPr>
        <w:lastRenderedPageBreak/>
        <w:t>WE HAVE TRANSFORMED HOW WE WORK</w:t>
      </w:r>
    </w:p>
    <w:tbl>
      <w:tblPr>
        <w:tblW w:w="15920" w:type="dxa"/>
        <w:jc w:val="center"/>
        <w:tblLayout w:type="fixed"/>
        <w:tblLook w:val="04A0" w:firstRow="1" w:lastRow="0" w:firstColumn="1" w:lastColumn="0" w:noHBand="0" w:noVBand="1"/>
      </w:tblPr>
      <w:tblGrid>
        <w:gridCol w:w="1866"/>
        <w:gridCol w:w="3402"/>
        <w:gridCol w:w="993"/>
        <w:gridCol w:w="4380"/>
        <w:gridCol w:w="5279"/>
      </w:tblGrid>
      <w:tr w:rsidR="009B1972" w:rsidRPr="0014395C" w14:paraId="314B497C" w14:textId="77777777" w:rsidTr="002109CE">
        <w:trPr>
          <w:trHeight w:val="252"/>
          <w:tblHeader/>
          <w:jc w:val="center"/>
        </w:trPr>
        <w:tc>
          <w:tcPr>
            <w:tcW w:w="1866" w:type="dxa"/>
            <w:tcBorders>
              <w:bottom w:val="single" w:sz="4" w:space="0" w:color="548DD4" w:themeColor="text2" w:themeTint="99"/>
            </w:tcBorders>
          </w:tcPr>
          <w:p w14:paraId="0983C07D" w14:textId="77777777" w:rsidR="004914EA" w:rsidRPr="0014395C" w:rsidRDefault="004914EA" w:rsidP="00930721">
            <w:pPr>
              <w:spacing w:after="0"/>
              <w:jc w:val="center"/>
              <w:rPr>
                <w:rFonts w:ascii="Calibri" w:hAnsi="Calibri" w:cs="Calibri"/>
                <w:b/>
              </w:rPr>
            </w:pPr>
            <w:bookmarkStart w:id="2" w:name="_Hlk163809393"/>
            <w:r w:rsidRPr="0014395C">
              <w:rPr>
                <w:rFonts w:ascii="Calibri" w:hAnsi="Calibri" w:cs="Calibri"/>
                <w:b/>
              </w:rPr>
              <w:t>Measure</w:t>
            </w:r>
          </w:p>
        </w:tc>
        <w:tc>
          <w:tcPr>
            <w:tcW w:w="3402" w:type="dxa"/>
            <w:tcBorders>
              <w:bottom w:val="single" w:sz="4" w:space="0" w:color="548DD4" w:themeColor="text2" w:themeTint="99"/>
            </w:tcBorders>
          </w:tcPr>
          <w:p w14:paraId="1E7C4212" w14:textId="77777777" w:rsidR="004914EA" w:rsidRPr="0014395C" w:rsidRDefault="004914EA" w:rsidP="00930721">
            <w:pPr>
              <w:spacing w:after="0"/>
              <w:jc w:val="center"/>
              <w:rPr>
                <w:rFonts w:ascii="Calibri" w:hAnsi="Calibri" w:cs="Calibri"/>
                <w:b/>
              </w:rPr>
            </w:pPr>
            <w:r w:rsidRPr="0014395C">
              <w:rPr>
                <w:rFonts w:ascii="Calibri" w:hAnsi="Calibri" w:cs="Calibri"/>
                <w:b/>
              </w:rPr>
              <w:t>Performance Overview</w:t>
            </w:r>
          </w:p>
        </w:tc>
        <w:tc>
          <w:tcPr>
            <w:tcW w:w="993" w:type="dxa"/>
            <w:tcBorders>
              <w:bottom w:val="single" w:sz="4" w:space="0" w:color="548DD4" w:themeColor="text2" w:themeTint="99"/>
            </w:tcBorders>
          </w:tcPr>
          <w:p w14:paraId="1FFF6B08" w14:textId="77777777" w:rsidR="004914EA" w:rsidRPr="0014395C" w:rsidRDefault="004914EA" w:rsidP="00930721">
            <w:pPr>
              <w:spacing w:after="0"/>
              <w:jc w:val="center"/>
              <w:rPr>
                <w:rFonts w:ascii="Calibri" w:hAnsi="Calibri" w:cs="Calibri"/>
                <w:b/>
              </w:rPr>
            </w:pPr>
            <w:r w:rsidRPr="0014395C">
              <w:rPr>
                <w:rFonts w:ascii="Calibri" w:hAnsi="Calibri" w:cs="Calibri"/>
                <w:b/>
              </w:rPr>
              <w:t>Actual</w:t>
            </w:r>
          </w:p>
        </w:tc>
        <w:tc>
          <w:tcPr>
            <w:tcW w:w="4380" w:type="dxa"/>
            <w:tcBorders>
              <w:bottom w:val="single" w:sz="4" w:space="0" w:color="548DD4" w:themeColor="text2" w:themeTint="99"/>
            </w:tcBorders>
          </w:tcPr>
          <w:p w14:paraId="24B9D81E" w14:textId="77777777" w:rsidR="004914EA" w:rsidRPr="0014395C" w:rsidRDefault="004914EA" w:rsidP="004F3330">
            <w:pPr>
              <w:spacing w:after="0"/>
              <w:jc w:val="center"/>
              <w:rPr>
                <w:rFonts w:ascii="Calibri" w:hAnsi="Calibri" w:cs="Calibri"/>
                <w:b/>
              </w:rPr>
            </w:pPr>
            <w:r w:rsidRPr="0014395C">
              <w:rPr>
                <w:rFonts w:ascii="Calibri" w:hAnsi="Calibri" w:cs="Calibri"/>
                <w:b/>
              </w:rPr>
              <w:t>Cause</w:t>
            </w:r>
          </w:p>
        </w:tc>
        <w:tc>
          <w:tcPr>
            <w:tcW w:w="5279" w:type="dxa"/>
            <w:tcBorders>
              <w:bottom w:val="single" w:sz="4" w:space="0" w:color="548DD4" w:themeColor="text2" w:themeTint="99"/>
            </w:tcBorders>
          </w:tcPr>
          <w:p w14:paraId="08A4B1F2" w14:textId="77777777" w:rsidR="004914EA" w:rsidRPr="0014395C" w:rsidRDefault="004914EA" w:rsidP="004F3330">
            <w:pPr>
              <w:spacing w:after="0"/>
              <w:jc w:val="center"/>
              <w:rPr>
                <w:rFonts w:ascii="Calibri" w:hAnsi="Calibri" w:cs="Calibri"/>
                <w:b/>
              </w:rPr>
            </w:pPr>
            <w:r w:rsidRPr="0014395C">
              <w:rPr>
                <w:rFonts w:ascii="Calibri" w:hAnsi="Calibri" w:cs="Calibri"/>
                <w:b/>
              </w:rPr>
              <w:t>Response</w:t>
            </w:r>
          </w:p>
        </w:tc>
      </w:tr>
      <w:tr w:rsidR="004914EA" w:rsidRPr="0014395C" w14:paraId="45619461" w14:textId="77777777" w:rsidTr="002109CE">
        <w:trPr>
          <w:trHeight w:val="898"/>
          <w:jc w:val="center"/>
        </w:trPr>
        <w:tc>
          <w:tcPr>
            <w:tcW w:w="1866" w:type="dxa"/>
            <w:tcBorders>
              <w:top w:val="single" w:sz="4" w:space="0" w:color="548DD4" w:themeColor="text2" w:themeTint="99"/>
              <w:bottom w:val="single" w:sz="4" w:space="0" w:color="548DD4" w:themeColor="text2" w:themeTint="99"/>
            </w:tcBorders>
            <w:vAlign w:val="center"/>
          </w:tcPr>
          <w:p w14:paraId="60BB33F4" w14:textId="4AE107E7" w:rsidR="004914EA" w:rsidRPr="00387B92" w:rsidRDefault="00000000" w:rsidP="00930721">
            <w:pPr>
              <w:spacing w:after="0"/>
              <w:jc w:val="center"/>
              <w:rPr>
                <w:rFonts w:ascii="Calibri" w:hAnsi="Calibri" w:cs="Calibri"/>
                <w:b/>
                <w:iCs/>
                <w:color w:val="808080" w:themeColor="background1" w:themeShade="80"/>
                <w:sz w:val="20"/>
                <w:szCs w:val="20"/>
                <w:highlight w:val="yellow"/>
              </w:rPr>
            </w:pPr>
            <w:hyperlink r:id="rId39" w:history="1">
              <w:r w:rsidR="004914EA" w:rsidRPr="00540A77">
                <w:rPr>
                  <w:rStyle w:val="Hyperlink"/>
                  <w:rFonts w:ascii="Calibri" w:hAnsi="Calibri" w:cs="Calibri"/>
                  <w:b/>
                  <w:iCs/>
                  <w:color w:val="808080" w:themeColor="background1" w:themeShade="80"/>
                  <w:sz w:val="20"/>
                  <w:szCs w:val="20"/>
                </w:rPr>
                <w:t>Sq meterage of floorspace dedicated to NatureScot</w:t>
              </w:r>
            </w:hyperlink>
          </w:p>
        </w:tc>
        <w:tc>
          <w:tcPr>
            <w:tcW w:w="3402" w:type="dxa"/>
            <w:tcBorders>
              <w:top w:val="single" w:sz="4" w:space="0" w:color="548DD4" w:themeColor="text2" w:themeTint="99"/>
              <w:bottom w:val="single" w:sz="4" w:space="0" w:color="548DD4" w:themeColor="text2" w:themeTint="99"/>
            </w:tcBorders>
            <w:vAlign w:val="center"/>
          </w:tcPr>
          <w:p w14:paraId="08C4FF58" w14:textId="73C14CCF" w:rsidR="004914EA" w:rsidRPr="0014395C" w:rsidRDefault="00795749"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993" w:type="dxa"/>
            <w:tcBorders>
              <w:top w:val="single" w:sz="4" w:space="0" w:color="548DD4" w:themeColor="text2" w:themeTint="99"/>
              <w:bottom w:val="single" w:sz="4" w:space="0" w:color="548DD4" w:themeColor="text2" w:themeTint="99"/>
            </w:tcBorders>
            <w:vAlign w:val="center"/>
          </w:tcPr>
          <w:p w14:paraId="0884956F" w14:textId="4841EB98" w:rsidR="004914EA" w:rsidRPr="0014395C" w:rsidRDefault="00795749"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N/A</w:t>
            </w:r>
          </w:p>
        </w:tc>
        <w:tc>
          <w:tcPr>
            <w:tcW w:w="4380" w:type="dxa"/>
            <w:tcBorders>
              <w:top w:val="single" w:sz="4" w:space="0" w:color="548DD4" w:themeColor="text2" w:themeTint="99"/>
              <w:bottom w:val="single" w:sz="4" w:space="0" w:color="548DD4" w:themeColor="text2" w:themeTint="99"/>
            </w:tcBorders>
            <w:vAlign w:val="center"/>
          </w:tcPr>
          <w:p w14:paraId="61657B38" w14:textId="0B8D89D6" w:rsidR="004914EA" w:rsidRPr="0014395C" w:rsidRDefault="00795749" w:rsidP="00586F3D">
            <w:pPr>
              <w:jc w:val="both"/>
              <w:rPr>
                <w:rFonts w:ascii="Calibri" w:hAnsi="Calibri" w:cs="Calibri"/>
                <w:color w:val="808080" w:themeColor="background1" w:themeShade="80"/>
                <w:sz w:val="20"/>
                <w:szCs w:val="20"/>
              </w:rPr>
            </w:pPr>
            <w:r w:rsidRPr="000D6138">
              <w:rPr>
                <w:rFonts w:ascii="Calibri" w:hAnsi="Calibri" w:cs="Calibri"/>
                <w:color w:val="808080" w:themeColor="background1" w:themeShade="80"/>
                <w:sz w:val="20"/>
                <w:szCs w:val="20"/>
              </w:rPr>
              <w:t>The benchmarking is out of date and there is a lack of resource funding and skills to refresh this information.</w:t>
            </w:r>
          </w:p>
        </w:tc>
        <w:tc>
          <w:tcPr>
            <w:tcW w:w="5279" w:type="dxa"/>
            <w:tcBorders>
              <w:top w:val="single" w:sz="4" w:space="0" w:color="548DD4" w:themeColor="text2" w:themeTint="99"/>
              <w:bottom w:val="single" w:sz="4" w:space="0" w:color="548DD4" w:themeColor="text2" w:themeTint="99"/>
            </w:tcBorders>
            <w:vAlign w:val="center"/>
          </w:tcPr>
          <w:p w14:paraId="0D350085" w14:textId="33F55FF9" w:rsidR="004914EA" w:rsidRPr="0014395C" w:rsidRDefault="00586F3D" w:rsidP="00586F3D">
            <w:pPr>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Statement of Requirements (</w:t>
            </w:r>
            <w:r w:rsidR="00795749" w:rsidRPr="000D6138">
              <w:rPr>
                <w:rFonts w:ascii="Calibri" w:hAnsi="Calibri" w:cs="Calibri"/>
                <w:color w:val="808080" w:themeColor="background1" w:themeShade="80"/>
                <w:sz w:val="20"/>
                <w:szCs w:val="20"/>
              </w:rPr>
              <w:t>SOR</w:t>
            </w:r>
            <w:r>
              <w:rPr>
                <w:rFonts w:ascii="Calibri" w:hAnsi="Calibri" w:cs="Calibri"/>
                <w:color w:val="808080" w:themeColor="background1" w:themeShade="80"/>
                <w:sz w:val="20"/>
                <w:szCs w:val="20"/>
              </w:rPr>
              <w:t>)</w:t>
            </w:r>
            <w:r w:rsidR="00795749" w:rsidRPr="000D6138">
              <w:rPr>
                <w:rFonts w:ascii="Calibri" w:hAnsi="Calibri" w:cs="Calibri"/>
                <w:color w:val="808080" w:themeColor="background1" w:themeShade="80"/>
                <w:sz w:val="20"/>
                <w:szCs w:val="20"/>
              </w:rPr>
              <w:t xml:space="preserve"> has been prepared for NatureScot to appoint a consultant to update all drawing and benchmarking information. This will go out to tender in April with a view to appointing a consultant in </w:t>
            </w:r>
            <w:r>
              <w:rPr>
                <w:rFonts w:ascii="Calibri" w:hAnsi="Calibri" w:cs="Calibri"/>
                <w:color w:val="808080" w:themeColor="background1" w:themeShade="80"/>
                <w:sz w:val="20"/>
                <w:szCs w:val="20"/>
              </w:rPr>
              <w:t>Q1</w:t>
            </w:r>
            <w:r w:rsidR="000D5794">
              <w:rPr>
                <w:rFonts w:ascii="Calibri" w:hAnsi="Calibri" w:cs="Calibri"/>
                <w:color w:val="808080" w:themeColor="background1" w:themeShade="80"/>
                <w:sz w:val="20"/>
                <w:szCs w:val="20"/>
              </w:rPr>
              <w:t xml:space="preserve"> (2024</w:t>
            </w:r>
            <w:r w:rsidR="00B60441">
              <w:rPr>
                <w:rFonts w:ascii="Calibri" w:hAnsi="Calibri" w:cs="Calibri"/>
                <w:color w:val="808080" w:themeColor="background1" w:themeShade="80"/>
                <w:sz w:val="20"/>
                <w:szCs w:val="20"/>
              </w:rPr>
              <w:t>/</w:t>
            </w:r>
            <w:r w:rsidR="000D5794">
              <w:rPr>
                <w:rFonts w:ascii="Calibri" w:hAnsi="Calibri" w:cs="Calibri"/>
                <w:color w:val="808080" w:themeColor="background1" w:themeShade="80"/>
                <w:sz w:val="20"/>
                <w:szCs w:val="20"/>
              </w:rPr>
              <w:t>25)</w:t>
            </w:r>
            <w:r>
              <w:rPr>
                <w:rFonts w:ascii="Calibri" w:hAnsi="Calibri" w:cs="Calibri"/>
                <w:color w:val="808080" w:themeColor="background1" w:themeShade="80"/>
                <w:sz w:val="20"/>
                <w:szCs w:val="20"/>
              </w:rPr>
              <w:t>.</w:t>
            </w:r>
          </w:p>
        </w:tc>
      </w:tr>
      <w:bookmarkEnd w:id="2"/>
      <w:tr w:rsidR="004914EA" w:rsidRPr="0014395C" w14:paraId="1BB67F07" w14:textId="77777777" w:rsidTr="002109CE">
        <w:trPr>
          <w:trHeight w:val="1816"/>
          <w:jc w:val="center"/>
        </w:trPr>
        <w:tc>
          <w:tcPr>
            <w:tcW w:w="1866" w:type="dxa"/>
            <w:tcBorders>
              <w:top w:val="single" w:sz="4" w:space="0" w:color="548DD4" w:themeColor="text2" w:themeTint="99"/>
              <w:bottom w:val="single" w:sz="4" w:space="0" w:color="548DD4" w:themeColor="text2" w:themeTint="99"/>
            </w:tcBorders>
            <w:vAlign w:val="center"/>
          </w:tcPr>
          <w:p w14:paraId="762869D4" w14:textId="212B3888" w:rsidR="004914EA" w:rsidRPr="005E05B0" w:rsidRDefault="00000000" w:rsidP="00930721">
            <w:pPr>
              <w:spacing w:after="0"/>
              <w:jc w:val="center"/>
              <w:rPr>
                <w:rFonts w:ascii="Calibri" w:hAnsi="Calibri" w:cs="Calibri"/>
                <w:b/>
                <w:iCs/>
                <w:color w:val="808080" w:themeColor="background1" w:themeShade="80"/>
                <w:sz w:val="20"/>
                <w:szCs w:val="20"/>
              </w:rPr>
            </w:pPr>
            <w:r>
              <w:fldChar w:fldCharType="begin"/>
            </w:r>
            <w:r>
              <w:instrText>HYPERLINK "https://naturescot.nexus.objective.co.uk/documents/A3736962/details"</w:instrText>
            </w:r>
            <w:r>
              <w:fldChar w:fldCharType="separate"/>
            </w:r>
            <w:r w:rsidR="005E05B0" w:rsidRPr="005E05B0">
              <w:rPr>
                <w:rStyle w:val="Hyperlink"/>
                <w:rFonts w:ascii="Calibri" w:hAnsi="Calibri" w:cs="Calibri"/>
                <w:b/>
                <w:iCs/>
                <w:color w:val="808080" w:themeColor="background1" w:themeShade="80"/>
                <w:sz w:val="20"/>
                <w:szCs w:val="20"/>
              </w:rPr>
              <w:t>Total emission reduction (tCO2)</w:t>
            </w:r>
            <w:r>
              <w:rPr>
                <w:rStyle w:val="Hyperlink"/>
                <w:rFonts w:ascii="Calibri" w:hAnsi="Calibri" w:cs="Calibri"/>
                <w:b/>
                <w:iCs/>
                <w:color w:val="808080" w:themeColor="background1" w:themeShade="80"/>
                <w:sz w:val="20"/>
                <w:szCs w:val="20"/>
              </w:rPr>
              <w:fldChar w:fldCharType="end"/>
            </w:r>
          </w:p>
        </w:tc>
        <w:tc>
          <w:tcPr>
            <w:tcW w:w="3402" w:type="dxa"/>
            <w:tcBorders>
              <w:top w:val="single" w:sz="4" w:space="0" w:color="548DD4" w:themeColor="text2" w:themeTint="99"/>
              <w:bottom w:val="single" w:sz="4" w:space="0" w:color="548DD4" w:themeColor="text2" w:themeTint="99"/>
            </w:tcBorders>
            <w:vAlign w:val="center"/>
          </w:tcPr>
          <w:p w14:paraId="0770E846" w14:textId="2DE6E3BD" w:rsidR="004914EA" w:rsidRPr="005E05B0" w:rsidRDefault="0097760D" w:rsidP="00930721">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2309E824" wp14:editId="6520F1E9">
                  <wp:extent cx="2220595" cy="91563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30605" cy="919764"/>
                          </a:xfrm>
                          <a:prstGeom prst="rect">
                            <a:avLst/>
                          </a:prstGeom>
                          <a:noFill/>
                        </pic:spPr>
                      </pic:pic>
                    </a:graphicData>
                  </a:graphic>
                </wp:inline>
              </w:drawing>
            </w:r>
          </w:p>
        </w:tc>
        <w:tc>
          <w:tcPr>
            <w:tcW w:w="993" w:type="dxa"/>
            <w:tcBorders>
              <w:top w:val="single" w:sz="4" w:space="0" w:color="548DD4" w:themeColor="text2" w:themeTint="99"/>
              <w:bottom w:val="single" w:sz="4" w:space="0" w:color="548DD4" w:themeColor="text2" w:themeTint="99"/>
            </w:tcBorders>
            <w:vAlign w:val="center"/>
          </w:tcPr>
          <w:p w14:paraId="118B7B75" w14:textId="7628DAEE" w:rsidR="004914EA" w:rsidRPr="005E05B0" w:rsidRDefault="000D6138" w:rsidP="00930721">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915 tCO2</w:t>
            </w:r>
          </w:p>
        </w:tc>
        <w:tc>
          <w:tcPr>
            <w:tcW w:w="4380" w:type="dxa"/>
            <w:tcBorders>
              <w:top w:val="single" w:sz="4" w:space="0" w:color="548DD4" w:themeColor="text2" w:themeTint="99"/>
              <w:bottom w:val="single" w:sz="4" w:space="0" w:color="548DD4" w:themeColor="text2" w:themeTint="99"/>
            </w:tcBorders>
            <w:vAlign w:val="center"/>
          </w:tcPr>
          <w:p w14:paraId="2F0BE98F" w14:textId="289BBD73" w:rsidR="004914EA" w:rsidRPr="005E05B0" w:rsidRDefault="000D6138" w:rsidP="00D63C79">
            <w:pPr>
              <w:spacing w:after="0"/>
              <w:jc w:val="both"/>
              <w:rPr>
                <w:rFonts w:ascii="Calibri" w:hAnsi="Calibri" w:cs="Calibri"/>
                <w:color w:val="808080" w:themeColor="background1" w:themeShade="80"/>
                <w:sz w:val="20"/>
                <w:szCs w:val="20"/>
              </w:rPr>
            </w:pPr>
            <w:r w:rsidRPr="00E95950">
              <w:rPr>
                <w:rFonts w:ascii="Calibri" w:hAnsi="Calibri" w:cs="Calibri"/>
                <w:color w:val="808080" w:themeColor="background1" w:themeShade="80"/>
                <w:sz w:val="20"/>
                <w:szCs w:val="20"/>
              </w:rPr>
              <w:t>Total emissions for 20</w:t>
            </w:r>
            <w:r>
              <w:rPr>
                <w:rFonts w:ascii="Calibri" w:hAnsi="Calibri" w:cs="Calibri"/>
                <w:color w:val="808080" w:themeColor="background1" w:themeShade="80"/>
                <w:sz w:val="20"/>
                <w:szCs w:val="20"/>
              </w:rPr>
              <w:t>22/</w:t>
            </w:r>
            <w:r w:rsidRPr="00E95950">
              <w:rPr>
                <w:rFonts w:ascii="Calibri" w:hAnsi="Calibri" w:cs="Calibri"/>
                <w:color w:val="808080" w:themeColor="background1" w:themeShade="80"/>
                <w:sz w:val="20"/>
                <w:szCs w:val="20"/>
              </w:rPr>
              <w:t>23</w:t>
            </w:r>
            <w:r>
              <w:rPr>
                <w:rFonts w:ascii="Calibri" w:hAnsi="Calibri" w:cs="Calibri"/>
                <w:color w:val="808080" w:themeColor="background1" w:themeShade="80"/>
                <w:sz w:val="20"/>
                <w:szCs w:val="20"/>
              </w:rPr>
              <w:t xml:space="preserve"> </w:t>
            </w:r>
            <w:r w:rsidRPr="00E95950">
              <w:rPr>
                <w:rFonts w:ascii="Calibri" w:hAnsi="Calibri" w:cs="Calibri"/>
                <w:color w:val="808080" w:themeColor="background1" w:themeShade="80"/>
                <w:sz w:val="20"/>
                <w:szCs w:val="20"/>
              </w:rPr>
              <w:t>were 915tCO2 – up by 73tCO</w:t>
            </w:r>
            <w:r>
              <w:rPr>
                <w:rFonts w:ascii="Calibri" w:hAnsi="Calibri" w:cs="Calibri"/>
                <w:color w:val="808080" w:themeColor="background1" w:themeShade="80"/>
                <w:sz w:val="20"/>
                <w:szCs w:val="20"/>
              </w:rPr>
              <w:t>2</w:t>
            </w:r>
            <w:r w:rsidRPr="00E95950">
              <w:rPr>
                <w:rFonts w:ascii="Calibri" w:hAnsi="Calibri" w:cs="Calibri"/>
                <w:color w:val="808080" w:themeColor="background1" w:themeShade="80"/>
                <w:sz w:val="20"/>
                <w:szCs w:val="20"/>
              </w:rPr>
              <w:t xml:space="preserve"> on year before.  This is due to changes to reporting guidelines in apportionment</w:t>
            </w:r>
            <w:r w:rsidR="00586F3D">
              <w:rPr>
                <w:rFonts w:ascii="Calibri" w:hAnsi="Calibri" w:cs="Calibri"/>
                <w:color w:val="808080" w:themeColor="background1" w:themeShade="80"/>
                <w:sz w:val="20"/>
                <w:szCs w:val="20"/>
              </w:rPr>
              <w:t xml:space="preserve">, </w:t>
            </w:r>
            <w:r w:rsidRPr="00E95950">
              <w:rPr>
                <w:rFonts w:ascii="Calibri" w:hAnsi="Calibri" w:cs="Calibri"/>
                <w:color w:val="808080" w:themeColor="background1" w:themeShade="80"/>
                <w:sz w:val="20"/>
                <w:szCs w:val="20"/>
              </w:rPr>
              <w:t>the increase of general activity across the organisation in fully opening after Covid, and an increase in staff numbers.  A rise in carbon has</w:t>
            </w:r>
            <w:r>
              <w:rPr>
                <w:rFonts w:ascii="Calibri" w:hAnsi="Calibri" w:cs="Calibri"/>
                <w:color w:val="808080" w:themeColor="background1" w:themeShade="80"/>
                <w:sz w:val="20"/>
                <w:szCs w:val="20"/>
              </w:rPr>
              <w:t xml:space="preserve"> also</w:t>
            </w:r>
            <w:r w:rsidRPr="00E95950">
              <w:rPr>
                <w:rFonts w:ascii="Calibri" w:hAnsi="Calibri" w:cs="Calibri"/>
                <w:color w:val="808080" w:themeColor="background1" w:themeShade="80"/>
                <w:sz w:val="20"/>
                <w:szCs w:val="20"/>
              </w:rPr>
              <w:t xml:space="preserve"> been reported</w:t>
            </w:r>
            <w:r>
              <w:rPr>
                <w:rFonts w:ascii="Calibri" w:hAnsi="Calibri" w:cs="Calibri"/>
                <w:color w:val="808080" w:themeColor="background1" w:themeShade="80"/>
                <w:sz w:val="20"/>
                <w:szCs w:val="20"/>
              </w:rPr>
              <w:t xml:space="preserve"> </w:t>
            </w:r>
            <w:r w:rsidRPr="00E95950">
              <w:rPr>
                <w:rFonts w:ascii="Calibri" w:hAnsi="Calibri" w:cs="Calibri"/>
                <w:color w:val="808080" w:themeColor="background1" w:themeShade="80"/>
                <w:sz w:val="20"/>
                <w:szCs w:val="20"/>
              </w:rPr>
              <w:t>widely through our Collaborators group</w:t>
            </w:r>
            <w:r>
              <w:rPr>
                <w:rFonts w:ascii="Calibri" w:hAnsi="Calibri" w:cs="Calibri"/>
                <w:color w:val="808080" w:themeColor="background1" w:themeShade="80"/>
                <w:sz w:val="20"/>
                <w:szCs w:val="20"/>
              </w:rPr>
              <w:t>.</w:t>
            </w:r>
          </w:p>
        </w:tc>
        <w:tc>
          <w:tcPr>
            <w:tcW w:w="5279" w:type="dxa"/>
            <w:tcBorders>
              <w:top w:val="single" w:sz="4" w:space="0" w:color="548DD4" w:themeColor="text2" w:themeTint="99"/>
              <w:bottom w:val="single" w:sz="4" w:space="0" w:color="548DD4" w:themeColor="text2" w:themeTint="99"/>
            </w:tcBorders>
            <w:vAlign w:val="center"/>
          </w:tcPr>
          <w:p w14:paraId="770BD34F" w14:textId="6FBDA352" w:rsidR="004914EA" w:rsidRPr="005E05B0" w:rsidRDefault="000D6138"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T</w:t>
            </w:r>
            <w:r w:rsidRPr="00E95950">
              <w:rPr>
                <w:rFonts w:ascii="Calibri" w:hAnsi="Calibri" w:cs="Calibri"/>
                <w:color w:val="808080" w:themeColor="background1" w:themeShade="80"/>
                <w:sz w:val="20"/>
                <w:szCs w:val="20"/>
              </w:rPr>
              <w:t xml:space="preserve">he tCO2 per FTE </w:t>
            </w:r>
            <w:r>
              <w:rPr>
                <w:rFonts w:ascii="Calibri" w:hAnsi="Calibri" w:cs="Calibri"/>
                <w:color w:val="808080" w:themeColor="background1" w:themeShade="80"/>
                <w:sz w:val="20"/>
                <w:szCs w:val="20"/>
              </w:rPr>
              <w:t>was 1.28 (</w:t>
            </w:r>
            <w:r w:rsidRPr="00E95950">
              <w:rPr>
                <w:rFonts w:ascii="Calibri" w:hAnsi="Calibri" w:cs="Calibri"/>
                <w:color w:val="808080" w:themeColor="background1" w:themeShade="80"/>
                <w:sz w:val="20"/>
                <w:szCs w:val="20"/>
              </w:rPr>
              <w:t>increased by 0.04tCO2 from last year</w:t>
            </w:r>
            <w:r>
              <w:rPr>
                <w:rFonts w:ascii="Calibri" w:hAnsi="Calibri" w:cs="Calibri"/>
                <w:color w:val="808080" w:themeColor="background1" w:themeShade="80"/>
                <w:sz w:val="20"/>
                <w:szCs w:val="20"/>
              </w:rPr>
              <w:t>),</w:t>
            </w:r>
            <w:r w:rsidRPr="00E95950">
              <w:rPr>
                <w:rFonts w:ascii="Calibri" w:hAnsi="Calibri" w:cs="Calibri"/>
                <w:color w:val="808080" w:themeColor="background1" w:themeShade="80"/>
                <w:sz w:val="20"/>
                <w:szCs w:val="20"/>
              </w:rPr>
              <w:t xml:space="preserve"> there was an increase in the homeworking formula used to calculate this estimated figure</w:t>
            </w:r>
            <w:r>
              <w:rPr>
                <w:rFonts w:ascii="Calibri" w:hAnsi="Calibri" w:cs="Calibri"/>
                <w:color w:val="808080" w:themeColor="background1" w:themeShade="80"/>
                <w:sz w:val="20"/>
                <w:szCs w:val="20"/>
              </w:rPr>
              <w:t xml:space="preserve"> which is</w:t>
            </w:r>
            <w:r w:rsidRPr="00E95950">
              <w:rPr>
                <w:rFonts w:ascii="Calibri" w:hAnsi="Calibri" w:cs="Calibri"/>
                <w:color w:val="808080" w:themeColor="background1" w:themeShade="80"/>
                <w:sz w:val="20"/>
                <w:szCs w:val="20"/>
              </w:rPr>
              <w:t xml:space="preserve"> still lower than pre-covid.</w:t>
            </w:r>
            <w:r>
              <w:rPr>
                <w:rFonts w:ascii="Calibri" w:hAnsi="Calibri" w:cs="Calibri"/>
                <w:color w:val="808080" w:themeColor="background1" w:themeShade="80"/>
                <w:sz w:val="20"/>
                <w:szCs w:val="20"/>
              </w:rPr>
              <w:t xml:space="preserve"> E</w:t>
            </w:r>
            <w:r w:rsidRPr="00E95950">
              <w:rPr>
                <w:rFonts w:ascii="Calibri" w:hAnsi="Calibri" w:cs="Calibri"/>
                <w:color w:val="808080" w:themeColor="background1" w:themeShade="80"/>
                <w:sz w:val="20"/>
                <w:szCs w:val="20"/>
              </w:rPr>
              <w:t xml:space="preserve">ach year the reporting mechanism changes, becomes more accurate, includes elements not previously, so not directly comparable to previous years.  This will increase further over the next </w:t>
            </w:r>
            <w:r w:rsidR="00586F3D">
              <w:rPr>
                <w:rFonts w:ascii="Calibri" w:hAnsi="Calibri" w:cs="Calibri"/>
                <w:color w:val="808080" w:themeColor="background1" w:themeShade="80"/>
                <w:sz w:val="20"/>
                <w:szCs w:val="20"/>
              </w:rPr>
              <w:t>few</w:t>
            </w:r>
            <w:r w:rsidRPr="00E95950">
              <w:rPr>
                <w:rFonts w:ascii="Calibri" w:hAnsi="Calibri" w:cs="Calibri"/>
                <w:color w:val="808080" w:themeColor="background1" w:themeShade="80"/>
                <w:sz w:val="20"/>
                <w:szCs w:val="20"/>
              </w:rPr>
              <w:t xml:space="preserve"> years, when guidance for Scope 3 emissions is issued and we will need to prepare for the calculation of supply chain and capital asset carbon figures</w:t>
            </w:r>
          </w:p>
        </w:tc>
      </w:tr>
      <w:tr w:rsidR="00A15D6F" w:rsidRPr="0014395C" w14:paraId="47915FAF" w14:textId="77777777" w:rsidTr="002109CE">
        <w:trPr>
          <w:trHeight w:val="1816"/>
          <w:jc w:val="center"/>
        </w:trPr>
        <w:tc>
          <w:tcPr>
            <w:tcW w:w="1866" w:type="dxa"/>
            <w:tcBorders>
              <w:top w:val="single" w:sz="4" w:space="0" w:color="548DD4" w:themeColor="text2" w:themeTint="99"/>
              <w:bottom w:val="single" w:sz="4" w:space="0" w:color="548DD4" w:themeColor="text2" w:themeTint="99"/>
            </w:tcBorders>
            <w:vAlign w:val="center"/>
          </w:tcPr>
          <w:p w14:paraId="2414CD24" w14:textId="29DBD9C9" w:rsidR="004914EA" w:rsidRPr="0014395C" w:rsidRDefault="00000000" w:rsidP="00B65223">
            <w:pPr>
              <w:spacing w:after="0"/>
              <w:jc w:val="center"/>
              <w:rPr>
                <w:rFonts w:ascii="Calibri" w:hAnsi="Calibri" w:cs="Calibri"/>
                <w:b/>
                <w:iCs/>
                <w:color w:val="808080" w:themeColor="background1" w:themeShade="80"/>
                <w:sz w:val="20"/>
                <w:szCs w:val="20"/>
                <w:u w:val="single"/>
              </w:rPr>
            </w:pPr>
            <w:hyperlink r:id="rId41" w:history="1">
              <w:r w:rsidR="004914EA" w:rsidRPr="0014395C">
                <w:rPr>
                  <w:rStyle w:val="Hyperlink"/>
                  <w:rFonts w:ascii="Calibri" w:hAnsi="Calibri" w:cs="Calibri"/>
                  <w:b/>
                  <w:iCs/>
                  <w:color w:val="808080" w:themeColor="background1" w:themeShade="80"/>
                  <w:sz w:val="20"/>
                  <w:szCs w:val="20"/>
                </w:rPr>
                <w:t>Workforce Diversity</w:t>
              </w:r>
            </w:hyperlink>
            <w:r w:rsidR="000C0C63" w:rsidRPr="0014395C">
              <w:rPr>
                <w:rStyle w:val="Hyperlink"/>
                <w:rFonts w:ascii="Calibri" w:hAnsi="Calibri" w:cs="Calibri"/>
                <w:b/>
                <w:iCs/>
                <w:color w:val="808080" w:themeColor="background1" w:themeShade="80"/>
                <w:sz w:val="20"/>
                <w:szCs w:val="20"/>
              </w:rPr>
              <w:t xml:space="preserve"> </w:t>
            </w:r>
          </w:p>
        </w:tc>
        <w:tc>
          <w:tcPr>
            <w:tcW w:w="3402" w:type="dxa"/>
            <w:tcBorders>
              <w:top w:val="single" w:sz="4" w:space="0" w:color="548DD4" w:themeColor="text2" w:themeTint="99"/>
              <w:bottom w:val="single" w:sz="4" w:space="0" w:color="548DD4" w:themeColor="text2" w:themeTint="99"/>
            </w:tcBorders>
            <w:vAlign w:val="center"/>
          </w:tcPr>
          <w:p w14:paraId="5B140298" w14:textId="0CA28AD5" w:rsidR="00DE1AD1" w:rsidRDefault="00DE1AD1" w:rsidP="00B65223">
            <w:pPr>
              <w:spacing w:after="0"/>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Age Range</w:t>
            </w:r>
            <w:r w:rsidR="002109CE">
              <w:rPr>
                <w:rFonts w:ascii="Calibri" w:hAnsi="Calibri" w:cs="Calibri"/>
                <w:noProof/>
                <w:color w:val="808080" w:themeColor="background1" w:themeShade="80"/>
                <w:sz w:val="20"/>
                <w:szCs w:val="20"/>
                <w:lang w:eastAsia="en-GB"/>
              </w:rPr>
              <w:drawing>
                <wp:inline distT="0" distB="0" distL="0" distR="0" wp14:anchorId="154D6E35" wp14:editId="05EEF2B6">
                  <wp:extent cx="1669312" cy="483330"/>
                  <wp:effectExtent l="0" t="0" r="0" b="0"/>
                  <wp:docPr id="14520984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698564" cy="491800"/>
                          </a:xfrm>
                          <a:prstGeom prst="rect">
                            <a:avLst/>
                          </a:prstGeom>
                          <a:noFill/>
                        </pic:spPr>
                      </pic:pic>
                    </a:graphicData>
                  </a:graphic>
                </wp:inline>
              </w:drawing>
            </w:r>
          </w:p>
          <w:p w14:paraId="004499FC" w14:textId="7E482562" w:rsidR="00DE1AD1" w:rsidRDefault="00DE1AD1" w:rsidP="00B65223">
            <w:pPr>
              <w:spacing w:after="0"/>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Disability</w:t>
            </w:r>
            <w:r w:rsidR="00586F3D">
              <w:rPr>
                <w:rFonts w:ascii="Calibri" w:hAnsi="Calibri" w:cs="Calibri"/>
                <w:noProof/>
                <w:color w:val="808080" w:themeColor="background1" w:themeShade="80"/>
                <w:sz w:val="20"/>
                <w:szCs w:val="20"/>
                <w:lang w:eastAsia="en-GB"/>
              </w:rPr>
              <w:drawing>
                <wp:inline distT="0" distB="0" distL="0" distR="0" wp14:anchorId="43998465" wp14:editId="3D2418E0">
                  <wp:extent cx="1562986" cy="654764"/>
                  <wp:effectExtent l="0" t="0" r="0" b="0"/>
                  <wp:docPr id="147405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78115" cy="661102"/>
                          </a:xfrm>
                          <a:prstGeom prst="rect">
                            <a:avLst/>
                          </a:prstGeom>
                          <a:noFill/>
                        </pic:spPr>
                      </pic:pic>
                    </a:graphicData>
                  </a:graphic>
                </wp:inline>
              </w:drawing>
            </w:r>
          </w:p>
          <w:p w14:paraId="61E54238" w14:textId="492414CD" w:rsidR="00DE1AD1" w:rsidRDefault="00DE1AD1" w:rsidP="00B65223">
            <w:pPr>
              <w:spacing w:after="0"/>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Ethnicity</w:t>
            </w:r>
          </w:p>
          <w:p w14:paraId="4D0EAEC7" w14:textId="26E6DD1B" w:rsidR="00B65223" w:rsidRPr="0014395C" w:rsidRDefault="002109CE" w:rsidP="00B65223">
            <w:pPr>
              <w:spacing w:after="0"/>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drawing>
                <wp:inline distT="0" distB="0" distL="0" distR="0" wp14:anchorId="435B0F88" wp14:editId="5EB013E4">
                  <wp:extent cx="1971675" cy="657225"/>
                  <wp:effectExtent l="0" t="0" r="0" b="0"/>
                  <wp:docPr id="148311470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1675" cy="657225"/>
                          </a:xfrm>
                          <a:prstGeom prst="rect">
                            <a:avLst/>
                          </a:prstGeom>
                          <a:noFill/>
                        </pic:spPr>
                      </pic:pic>
                    </a:graphicData>
                  </a:graphic>
                </wp:inline>
              </w:drawing>
            </w:r>
          </w:p>
        </w:tc>
        <w:tc>
          <w:tcPr>
            <w:tcW w:w="993" w:type="dxa"/>
            <w:tcBorders>
              <w:top w:val="single" w:sz="4" w:space="0" w:color="548DD4" w:themeColor="text2" w:themeTint="99"/>
              <w:bottom w:val="single" w:sz="4" w:space="0" w:color="548DD4" w:themeColor="text2" w:themeTint="99"/>
            </w:tcBorders>
            <w:vAlign w:val="center"/>
          </w:tcPr>
          <w:p w14:paraId="4753D3D2" w14:textId="7AD2F975" w:rsidR="004914EA" w:rsidRPr="0014395C" w:rsidRDefault="004914EA" w:rsidP="00930721">
            <w:pPr>
              <w:spacing w:after="0"/>
              <w:jc w:val="center"/>
              <w:rPr>
                <w:rFonts w:ascii="Calibri" w:hAnsi="Calibri" w:cs="Calibri"/>
                <w:color w:val="808080" w:themeColor="background1" w:themeShade="80"/>
                <w:sz w:val="20"/>
                <w:szCs w:val="20"/>
              </w:rPr>
            </w:pPr>
          </w:p>
        </w:tc>
        <w:tc>
          <w:tcPr>
            <w:tcW w:w="4380" w:type="dxa"/>
            <w:tcBorders>
              <w:top w:val="single" w:sz="4" w:space="0" w:color="548DD4" w:themeColor="text2" w:themeTint="99"/>
              <w:bottom w:val="single" w:sz="4" w:space="0" w:color="548DD4" w:themeColor="text2" w:themeTint="99"/>
            </w:tcBorders>
            <w:vAlign w:val="center"/>
          </w:tcPr>
          <w:p w14:paraId="75F1FCB9" w14:textId="769E63F5" w:rsidR="004914EA" w:rsidRPr="0014395C" w:rsidRDefault="00AA05B4" w:rsidP="004F3330">
            <w:pPr>
              <w:spacing w:after="0"/>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Workforce diversity is not changing </w:t>
            </w:r>
            <w:r w:rsidR="00040D72">
              <w:rPr>
                <w:rFonts w:ascii="Calibri" w:hAnsi="Calibri" w:cs="Calibri"/>
                <w:color w:val="808080" w:themeColor="background1" w:themeShade="80"/>
                <w:sz w:val="20"/>
                <w:szCs w:val="20"/>
              </w:rPr>
              <w:t>quickly</w:t>
            </w:r>
            <w:r w:rsidR="00F0579D" w:rsidRPr="00F0579D">
              <w:rPr>
                <w:rFonts w:ascii="Calibri" w:hAnsi="Calibri" w:cs="Calibri"/>
                <w:color w:val="808080" w:themeColor="background1" w:themeShade="80"/>
                <w:sz w:val="20"/>
                <w:szCs w:val="20"/>
              </w:rPr>
              <w:t xml:space="preserve">. We continue to work to </w:t>
            </w:r>
            <w:r>
              <w:rPr>
                <w:rFonts w:ascii="Calibri" w:hAnsi="Calibri" w:cs="Calibri"/>
                <w:color w:val="808080" w:themeColor="background1" w:themeShade="80"/>
                <w:sz w:val="20"/>
                <w:szCs w:val="20"/>
              </w:rPr>
              <w:t>understand the root causes of the issue and develop a greater level of diversity in our workforce</w:t>
            </w:r>
          </w:p>
        </w:tc>
        <w:tc>
          <w:tcPr>
            <w:tcW w:w="5279" w:type="dxa"/>
            <w:tcBorders>
              <w:top w:val="single" w:sz="4" w:space="0" w:color="548DD4" w:themeColor="text2" w:themeTint="99"/>
              <w:bottom w:val="single" w:sz="4" w:space="0" w:color="548DD4" w:themeColor="text2" w:themeTint="99"/>
            </w:tcBorders>
            <w:vAlign w:val="center"/>
          </w:tcPr>
          <w:p w14:paraId="5F793273" w14:textId="6E0F7592" w:rsidR="004914EA" w:rsidRPr="00F0579D" w:rsidRDefault="00F0579D" w:rsidP="0070585B">
            <w:pPr>
              <w:spacing w:after="0"/>
              <w:jc w:val="both"/>
              <w:rPr>
                <w:rFonts w:ascii="Calibri" w:hAnsi="Calibri" w:cs="Calibri"/>
                <w:color w:val="808080" w:themeColor="background1" w:themeShade="80"/>
                <w:sz w:val="20"/>
                <w:szCs w:val="20"/>
              </w:rPr>
            </w:pPr>
            <w:r w:rsidRPr="00F0579D">
              <w:rPr>
                <w:rFonts w:ascii="Calibri" w:hAnsi="Calibri" w:cs="Calibri"/>
                <w:color w:val="808080" w:themeColor="background1" w:themeShade="80"/>
                <w:sz w:val="20"/>
                <w:szCs w:val="20"/>
              </w:rPr>
              <w:t xml:space="preserve">We will continue to work on Equality, Diversity and Inclusion (EDI) actions and increase opportunities </w:t>
            </w:r>
            <w:r w:rsidR="00AA05B4">
              <w:rPr>
                <w:rFonts w:ascii="Calibri" w:hAnsi="Calibri" w:cs="Calibri"/>
                <w:color w:val="808080" w:themeColor="background1" w:themeShade="80"/>
                <w:sz w:val="20"/>
                <w:szCs w:val="20"/>
              </w:rPr>
              <w:t>for</w:t>
            </w:r>
            <w:r w:rsidR="00AA05B4" w:rsidRPr="00F0579D">
              <w:rPr>
                <w:rFonts w:ascii="Calibri" w:hAnsi="Calibri" w:cs="Calibri"/>
                <w:color w:val="808080" w:themeColor="background1" w:themeShade="80"/>
                <w:sz w:val="20"/>
                <w:szCs w:val="20"/>
              </w:rPr>
              <w:t xml:space="preserve"> </w:t>
            </w:r>
            <w:r w:rsidRPr="00F0579D">
              <w:rPr>
                <w:rFonts w:ascii="Calibri" w:hAnsi="Calibri" w:cs="Calibri"/>
                <w:color w:val="808080" w:themeColor="background1" w:themeShade="80"/>
                <w:sz w:val="20"/>
                <w:szCs w:val="20"/>
              </w:rPr>
              <w:t xml:space="preserve">diverse communities.  In Q4 the redesigned EDI data questionnaire </w:t>
            </w:r>
            <w:r w:rsidR="00AA05B4">
              <w:rPr>
                <w:rFonts w:ascii="Calibri" w:hAnsi="Calibri" w:cs="Calibri"/>
                <w:color w:val="808080" w:themeColor="background1" w:themeShade="80"/>
                <w:sz w:val="20"/>
                <w:szCs w:val="20"/>
              </w:rPr>
              <w:t xml:space="preserve">for colleagues </w:t>
            </w:r>
            <w:r w:rsidRPr="00F0579D">
              <w:rPr>
                <w:rFonts w:ascii="Calibri" w:hAnsi="Calibri" w:cs="Calibri"/>
                <w:color w:val="808080" w:themeColor="background1" w:themeShade="80"/>
                <w:sz w:val="20"/>
                <w:szCs w:val="20"/>
              </w:rPr>
              <w:t>achieved a 59% return rate</w:t>
            </w:r>
            <w:r w:rsidR="007C25A0">
              <w:rPr>
                <w:rFonts w:ascii="Calibri" w:hAnsi="Calibri" w:cs="Calibri"/>
                <w:color w:val="808080" w:themeColor="background1" w:themeShade="80"/>
                <w:sz w:val="20"/>
                <w:szCs w:val="20"/>
              </w:rPr>
              <w:t>,</w:t>
            </w:r>
            <w:r w:rsidRPr="00F0579D">
              <w:rPr>
                <w:rFonts w:ascii="Calibri" w:hAnsi="Calibri" w:cs="Calibri"/>
                <w:color w:val="808080" w:themeColor="background1" w:themeShade="80"/>
                <w:sz w:val="20"/>
                <w:szCs w:val="20"/>
              </w:rPr>
              <w:t xml:space="preserve"> an increase of 34</w:t>
            </w:r>
            <w:r w:rsidR="00846FF4">
              <w:rPr>
                <w:rFonts w:ascii="Calibri" w:hAnsi="Calibri" w:cs="Calibri"/>
                <w:color w:val="808080" w:themeColor="background1" w:themeShade="80"/>
                <w:sz w:val="20"/>
                <w:szCs w:val="20"/>
              </w:rPr>
              <w:t xml:space="preserve"> percentage points</w:t>
            </w:r>
            <w:r w:rsidR="00846FF4" w:rsidRPr="00F0579D">
              <w:rPr>
                <w:rFonts w:ascii="Calibri" w:hAnsi="Calibri" w:cs="Calibri"/>
                <w:color w:val="808080" w:themeColor="background1" w:themeShade="80"/>
                <w:sz w:val="20"/>
                <w:szCs w:val="20"/>
              </w:rPr>
              <w:t>.</w:t>
            </w:r>
          </w:p>
        </w:tc>
      </w:tr>
      <w:tr w:rsidR="002A3C54" w:rsidRPr="00051324" w14:paraId="310AEF39" w14:textId="77777777" w:rsidTr="002109CE">
        <w:trPr>
          <w:trHeight w:val="1040"/>
          <w:jc w:val="center"/>
        </w:trPr>
        <w:tc>
          <w:tcPr>
            <w:tcW w:w="1866" w:type="dxa"/>
            <w:tcBorders>
              <w:top w:val="single" w:sz="4" w:space="0" w:color="548DD4" w:themeColor="text2" w:themeTint="99"/>
              <w:bottom w:val="single" w:sz="4" w:space="0" w:color="548DD4" w:themeColor="text2" w:themeTint="99"/>
            </w:tcBorders>
            <w:vAlign w:val="center"/>
          </w:tcPr>
          <w:p w14:paraId="3F485A93" w14:textId="1670DA71" w:rsidR="002A3C54" w:rsidRPr="00E55539" w:rsidRDefault="00000000" w:rsidP="00197293">
            <w:pPr>
              <w:spacing w:after="0"/>
              <w:jc w:val="center"/>
              <w:rPr>
                <w:rStyle w:val="Hyperlink"/>
                <w:color w:val="808080" w:themeColor="background1" w:themeShade="80"/>
              </w:rPr>
            </w:pPr>
            <w:hyperlink r:id="rId45" w:history="1">
              <w:r w:rsidR="00197293" w:rsidRPr="00E55539">
                <w:rPr>
                  <w:rStyle w:val="Hyperlink"/>
                  <w:rFonts w:ascii="Calibri" w:hAnsi="Calibri" w:cs="Calibri"/>
                  <w:b/>
                  <w:iCs/>
                  <w:color w:val="808080" w:themeColor="background1" w:themeShade="80"/>
                  <w:sz w:val="20"/>
                  <w:szCs w:val="20"/>
                </w:rPr>
                <w:t>% Of Implemented Audit Recommendations</w:t>
              </w:r>
            </w:hyperlink>
          </w:p>
        </w:tc>
        <w:tc>
          <w:tcPr>
            <w:tcW w:w="3402" w:type="dxa"/>
            <w:tcBorders>
              <w:top w:val="single" w:sz="4" w:space="0" w:color="548DD4" w:themeColor="text2" w:themeTint="99"/>
              <w:bottom w:val="single" w:sz="4" w:space="0" w:color="548DD4" w:themeColor="text2" w:themeTint="99"/>
            </w:tcBorders>
            <w:vAlign w:val="center"/>
          </w:tcPr>
          <w:p w14:paraId="55C78022" w14:textId="1595EAB0" w:rsidR="002A3C54" w:rsidRPr="0014395C" w:rsidRDefault="005A2359" w:rsidP="00092FC8">
            <w:pPr>
              <w:spacing w:after="0"/>
              <w:jc w:val="center"/>
              <w:rPr>
                <w:rFonts w:ascii="Calibri" w:hAnsi="Calibri" w:cs="Calibri"/>
                <w:color w:val="808080" w:themeColor="background1" w:themeShade="80"/>
                <w:sz w:val="20"/>
                <w:szCs w:val="20"/>
              </w:rPr>
            </w:pPr>
            <w:r>
              <w:rPr>
                <w:rFonts w:ascii="Calibri" w:hAnsi="Calibri" w:cs="Calibri"/>
                <w:noProof/>
                <w:color w:val="808080" w:themeColor="background1" w:themeShade="80"/>
                <w:sz w:val="20"/>
                <w:szCs w:val="20"/>
                <w:lang w:eastAsia="en-GB"/>
              </w:rPr>
              <w:t xml:space="preserve"> </w:t>
            </w:r>
            <w:r w:rsidR="007A0E92">
              <w:rPr>
                <w:rFonts w:ascii="Calibri" w:hAnsi="Calibri" w:cs="Calibri"/>
                <w:noProof/>
                <w:color w:val="808080" w:themeColor="background1" w:themeShade="80"/>
                <w:sz w:val="20"/>
                <w:szCs w:val="20"/>
                <w:lang w:eastAsia="en-GB"/>
              </w:rPr>
              <w:drawing>
                <wp:inline distT="0" distB="0" distL="0" distR="0" wp14:anchorId="440C11DD" wp14:editId="1F5184DE">
                  <wp:extent cx="1981200" cy="6317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07164" cy="640006"/>
                          </a:xfrm>
                          <a:prstGeom prst="rect">
                            <a:avLst/>
                          </a:prstGeom>
                          <a:noFill/>
                        </pic:spPr>
                      </pic:pic>
                    </a:graphicData>
                  </a:graphic>
                </wp:inline>
              </w:drawing>
            </w:r>
          </w:p>
        </w:tc>
        <w:tc>
          <w:tcPr>
            <w:tcW w:w="993" w:type="dxa"/>
            <w:tcBorders>
              <w:top w:val="single" w:sz="4" w:space="0" w:color="548DD4" w:themeColor="text2" w:themeTint="99"/>
              <w:bottom w:val="single" w:sz="4" w:space="0" w:color="548DD4" w:themeColor="text2" w:themeTint="99"/>
            </w:tcBorders>
            <w:vAlign w:val="center"/>
          </w:tcPr>
          <w:p w14:paraId="618B842C" w14:textId="7CE28540" w:rsidR="002A3C54" w:rsidRPr="0014395C" w:rsidRDefault="007A0E92" w:rsidP="00092FC8">
            <w:pPr>
              <w:spacing w:after="0"/>
              <w:jc w:val="center"/>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62%</w:t>
            </w:r>
          </w:p>
        </w:tc>
        <w:tc>
          <w:tcPr>
            <w:tcW w:w="4380" w:type="dxa"/>
            <w:tcBorders>
              <w:top w:val="single" w:sz="4" w:space="0" w:color="548DD4" w:themeColor="text2" w:themeTint="99"/>
              <w:bottom w:val="single" w:sz="4" w:space="0" w:color="548DD4" w:themeColor="text2" w:themeTint="99"/>
            </w:tcBorders>
            <w:vAlign w:val="center"/>
          </w:tcPr>
          <w:p w14:paraId="405A746F" w14:textId="42524E8A" w:rsidR="002A3C54" w:rsidRPr="0014395C" w:rsidRDefault="002109CE" w:rsidP="002109CE">
            <w:pPr>
              <w:jc w:val="both"/>
              <w:rPr>
                <w:rFonts w:ascii="Calibri" w:hAnsi="Calibri" w:cs="Calibri"/>
                <w:color w:val="808080" w:themeColor="background1" w:themeShade="80"/>
                <w:sz w:val="20"/>
                <w:szCs w:val="20"/>
              </w:rPr>
            </w:pPr>
            <w:r>
              <w:rPr>
                <w:rFonts w:ascii="Calibri" w:hAnsi="Calibri" w:cs="Calibri"/>
                <w:color w:val="808080" w:themeColor="background1" w:themeShade="80"/>
                <w:sz w:val="20"/>
                <w:szCs w:val="20"/>
              </w:rPr>
              <w:t xml:space="preserve">Implementation rate is 62% and </w:t>
            </w:r>
            <w:r w:rsidR="007A0E92" w:rsidRPr="0071534C">
              <w:rPr>
                <w:rFonts w:ascii="Calibri" w:hAnsi="Calibri" w:cs="Calibri"/>
                <w:color w:val="808080" w:themeColor="background1" w:themeShade="80"/>
                <w:sz w:val="20"/>
                <w:szCs w:val="20"/>
              </w:rPr>
              <w:t xml:space="preserve">Priority 1 implementation rate has decreased to 86% </w:t>
            </w:r>
            <w:r>
              <w:rPr>
                <w:rFonts w:ascii="Calibri" w:hAnsi="Calibri" w:cs="Calibri"/>
                <w:color w:val="808080" w:themeColor="background1" w:themeShade="80"/>
                <w:sz w:val="20"/>
                <w:szCs w:val="20"/>
              </w:rPr>
              <w:t>(from 100% in Q3). T</w:t>
            </w:r>
            <w:r w:rsidR="007A0E92" w:rsidRPr="0071534C">
              <w:rPr>
                <w:rFonts w:ascii="Calibri" w:hAnsi="Calibri" w:cs="Calibri"/>
                <w:color w:val="808080" w:themeColor="background1" w:themeShade="80"/>
                <w:sz w:val="20"/>
                <w:szCs w:val="20"/>
              </w:rPr>
              <w:t xml:space="preserve">here is </w:t>
            </w:r>
            <w:r w:rsidR="00B60441">
              <w:rPr>
                <w:rFonts w:ascii="Calibri" w:hAnsi="Calibri" w:cs="Calibri"/>
                <w:color w:val="808080" w:themeColor="background1" w:themeShade="80"/>
                <w:sz w:val="20"/>
                <w:szCs w:val="20"/>
              </w:rPr>
              <w:t>one</w:t>
            </w:r>
            <w:r w:rsidR="00B60441" w:rsidRPr="0071534C">
              <w:rPr>
                <w:rFonts w:ascii="Calibri" w:hAnsi="Calibri" w:cs="Calibri"/>
                <w:color w:val="808080" w:themeColor="background1" w:themeShade="80"/>
                <w:sz w:val="20"/>
                <w:szCs w:val="20"/>
              </w:rPr>
              <w:t xml:space="preserve"> </w:t>
            </w:r>
            <w:r w:rsidR="007A0E92" w:rsidRPr="0071534C">
              <w:rPr>
                <w:rFonts w:ascii="Calibri" w:hAnsi="Calibri" w:cs="Calibri"/>
                <w:color w:val="808080" w:themeColor="background1" w:themeShade="80"/>
                <w:sz w:val="20"/>
                <w:szCs w:val="20"/>
              </w:rPr>
              <w:t xml:space="preserve">delayed recommendation </w:t>
            </w:r>
            <w:r>
              <w:rPr>
                <w:rFonts w:ascii="Calibri" w:hAnsi="Calibri" w:cs="Calibri"/>
                <w:color w:val="808080" w:themeColor="background1" w:themeShade="80"/>
                <w:sz w:val="20"/>
                <w:szCs w:val="20"/>
              </w:rPr>
              <w:t>which</w:t>
            </w:r>
            <w:r w:rsidR="007A0E92" w:rsidRPr="0071534C">
              <w:rPr>
                <w:rFonts w:ascii="Calibri" w:hAnsi="Calibri" w:cs="Calibri"/>
                <w:color w:val="808080" w:themeColor="background1" w:themeShade="80"/>
                <w:sz w:val="20"/>
                <w:szCs w:val="20"/>
              </w:rPr>
              <w:t xml:space="preserve"> relates to Learning and Development.  </w:t>
            </w:r>
          </w:p>
        </w:tc>
        <w:tc>
          <w:tcPr>
            <w:tcW w:w="5279" w:type="dxa"/>
            <w:tcBorders>
              <w:top w:val="single" w:sz="4" w:space="0" w:color="548DD4" w:themeColor="text2" w:themeTint="99"/>
              <w:bottom w:val="single" w:sz="4" w:space="0" w:color="548DD4" w:themeColor="text2" w:themeTint="99"/>
            </w:tcBorders>
            <w:vAlign w:val="center"/>
          </w:tcPr>
          <w:p w14:paraId="6931A81A" w14:textId="646ED6A9" w:rsidR="002A3C54" w:rsidRPr="00051324" w:rsidRDefault="007A0E92" w:rsidP="00092FC8">
            <w:pPr>
              <w:spacing w:after="0"/>
              <w:jc w:val="both"/>
              <w:rPr>
                <w:rFonts w:ascii="Calibri" w:hAnsi="Calibri" w:cs="Calibri"/>
                <w:color w:val="808080" w:themeColor="background1" w:themeShade="80"/>
                <w:sz w:val="20"/>
                <w:szCs w:val="20"/>
              </w:rPr>
            </w:pPr>
            <w:r w:rsidRPr="0071534C">
              <w:rPr>
                <w:rFonts w:ascii="Calibri" w:hAnsi="Calibri" w:cs="Calibri"/>
                <w:color w:val="808080" w:themeColor="background1" w:themeShade="80"/>
                <w:sz w:val="20"/>
                <w:szCs w:val="20"/>
              </w:rPr>
              <w:t>In relation to other recommendations, 9</w:t>
            </w:r>
            <w:r w:rsidR="002109CE">
              <w:rPr>
                <w:rFonts w:ascii="Calibri" w:hAnsi="Calibri" w:cs="Calibri"/>
                <w:color w:val="808080" w:themeColor="background1" w:themeShade="80"/>
                <w:sz w:val="20"/>
                <w:szCs w:val="20"/>
              </w:rPr>
              <w:t xml:space="preserve"> </w:t>
            </w:r>
            <w:r w:rsidRPr="0071534C">
              <w:rPr>
                <w:rFonts w:ascii="Calibri" w:hAnsi="Calibri" w:cs="Calibri"/>
                <w:color w:val="808080" w:themeColor="background1" w:themeShade="80"/>
                <w:sz w:val="20"/>
                <w:szCs w:val="20"/>
              </w:rPr>
              <w:t>are delayed, and these relate to NatureScot's H</w:t>
            </w:r>
            <w:r w:rsidR="00B60441">
              <w:rPr>
                <w:rFonts w:ascii="Calibri" w:hAnsi="Calibri" w:cs="Calibri"/>
                <w:color w:val="808080" w:themeColor="background1" w:themeShade="80"/>
                <w:sz w:val="20"/>
                <w:szCs w:val="20"/>
              </w:rPr>
              <w:t>ealth</w:t>
            </w:r>
            <w:r w:rsidR="000D5794">
              <w:rPr>
                <w:rFonts w:ascii="Calibri" w:hAnsi="Calibri" w:cs="Calibri"/>
                <w:color w:val="808080" w:themeColor="background1" w:themeShade="80"/>
                <w:sz w:val="20"/>
                <w:szCs w:val="20"/>
              </w:rPr>
              <w:t xml:space="preserve"> </w:t>
            </w:r>
            <w:r w:rsidR="00DD4A1A">
              <w:rPr>
                <w:rFonts w:ascii="Calibri" w:hAnsi="Calibri" w:cs="Calibri"/>
                <w:color w:val="808080" w:themeColor="background1" w:themeShade="80"/>
                <w:sz w:val="20"/>
                <w:szCs w:val="20"/>
              </w:rPr>
              <w:t xml:space="preserve">and </w:t>
            </w:r>
            <w:r w:rsidRPr="0071534C">
              <w:rPr>
                <w:rFonts w:ascii="Calibri" w:hAnsi="Calibri" w:cs="Calibri"/>
                <w:color w:val="808080" w:themeColor="background1" w:themeShade="80"/>
                <w:sz w:val="20"/>
                <w:szCs w:val="20"/>
              </w:rPr>
              <w:t>S</w:t>
            </w:r>
            <w:r w:rsidR="00B60441">
              <w:rPr>
                <w:rFonts w:ascii="Calibri" w:hAnsi="Calibri" w:cs="Calibri"/>
                <w:color w:val="808080" w:themeColor="background1" w:themeShade="80"/>
                <w:sz w:val="20"/>
                <w:szCs w:val="20"/>
              </w:rPr>
              <w:t>afety</w:t>
            </w:r>
            <w:r w:rsidRPr="0071534C">
              <w:rPr>
                <w:rFonts w:ascii="Calibri" w:hAnsi="Calibri" w:cs="Calibri"/>
                <w:color w:val="808080" w:themeColor="background1" w:themeShade="80"/>
                <w:sz w:val="20"/>
                <w:szCs w:val="20"/>
              </w:rPr>
              <w:t xml:space="preserve"> framework, Recruitment Challenges, Learning and Development, the Organisational Response to Pulse Surveys and the Net Zero Plan.</w:t>
            </w:r>
          </w:p>
        </w:tc>
      </w:tr>
    </w:tbl>
    <w:p w14:paraId="23A45377" w14:textId="56B9BB01" w:rsidR="005D7863" w:rsidRPr="00003504" w:rsidRDefault="005D7863" w:rsidP="005D7863">
      <w:pPr>
        <w:rPr>
          <w:rFonts w:ascii="Calibri" w:eastAsia="Calibri" w:hAnsi="Calibri" w:cs="Calibri"/>
          <w:color w:val="000000" w:themeColor="text1"/>
          <w:szCs w:val="24"/>
        </w:rPr>
        <w:sectPr w:rsidR="005D7863" w:rsidRPr="00003504" w:rsidSect="00730B96">
          <w:pgSz w:w="16838" w:h="11906" w:orient="landscape"/>
          <w:pgMar w:top="624" w:right="624" w:bottom="624" w:left="624" w:header="567" w:footer="709" w:gutter="0"/>
          <w:cols w:space="708"/>
          <w:docGrid w:linePitch="360"/>
        </w:sectPr>
      </w:pPr>
    </w:p>
    <w:p w14:paraId="38903ADB" w14:textId="38162CC2" w:rsidR="008D20BE" w:rsidRDefault="008D20BE" w:rsidP="00475D56">
      <w:pPr>
        <w:keepNext/>
        <w:keepLines/>
        <w:spacing w:before="40" w:after="0" w:line="259" w:lineRule="auto"/>
        <w:outlineLvl w:val="1"/>
        <w:rPr>
          <w:rFonts w:ascii="Calibri" w:eastAsiaTheme="majorEastAsia" w:hAnsi="Calibri" w:cs="Calibri"/>
          <w:b/>
          <w:color w:val="007DC3"/>
          <w:sz w:val="28"/>
          <w:szCs w:val="28"/>
        </w:rPr>
      </w:pPr>
      <w:r w:rsidRPr="00475D56">
        <w:rPr>
          <w:rFonts w:ascii="Calibri" w:eastAsiaTheme="majorEastAsia" w:hAnsi="Calibri" w:cs="Calibri"/>
          <w:b/>
          <w:color w:val="007DC3"/>
          <w:sz w:val="28"/>
          <w:szCs w:val="28"/>
        </w:rPr>
        <w:lastRenderedPageBreak/>
        <w:t>FINANCE</w:t>
      </w:r>
      <w:r w:rsidR="00701FAD" w:rsidRPr="00475D56">
        <w:rPr>
          <w:rFonts w:ascii="Calibri" w:eastAsiaTheme="majorEastAsia" w:hAnsi="Calibri" w:cs="Calibri"/>
          <w:b/>
          <w:color w:val="007DC3"/>
          <w:sz w:val="28"/>
          <w:szCs w:val="28"/>
        </w:rPr>
        <w:t xml:space="preserve"> </w:t>
      </w:r>
    </w:p>
    <w:p w14:paraId="334424F5" w14:textId="1A666CA0" w:rsidR="00622B93" w:rsidRDefault="00622B93" w:rsidP="00475D56">
      <w:pPr>
        <w:keepNext/>
        <w:keepLines/>
        <w:spacing w:before="40" w:after="0" w:line="259" w:lineRule="auto"/>
        <w:outlineLvl w:val="1"/>
        <w:rPr>
          <w:rFonts w:ascii="Calibri" w:eastAsiaTheme="majorEastAsia" w:hAnsi="Calibri" w:cs="Calibri"/>
          <w:b/>
          <w:color w:val="007DC3"/>
          <w:sz w:val="28"/>
          <w:szCs w:val="28"/>
        </w:rPr>
      </w:pPr>
      <w:r>
        <w:rPr>
          <w:rFonts w:ascii="Calibri" w:eastAsiaTheme="majorEastAsia" w:hAnsi="Calibri" w:cs="Calibri"/>
          <w:b/>
          <w:color w:val="007DC3"/>
          <w:sz w:val="28"/>
          <w:szCs w:val="28"/>
        </w:rPr>
        <w:t>Introduction</w:t>
      </w:r>
    </w:p>
    <w:p w14:paraId="650C7667" w14:textId="52F183DB" w:rsidR="00622B93" w:rsidRPr="00622B93" w:rsidRDefault="00622B93" w:rsidP="00622B93">
      <w:pPr>
        <w:keepNext/>
        <w:keepLines/>
        <w:spacing w:before="40" w:after="0" w:line="259" w:lineRule="auto"/>
        <w:outlineLvl w:val="1"/>
        <w:rPr>
          <w:rFonts w:ascii="Calibri" w:hAnsi="Calibri" w:cs="Calibri"/>
          <w:szCs w:val="24"/>
        </w:rPr>
      </w:pPr>
      <w:r>
        <w:rPr>
          <w:rFonts w:ascii="Calibri" w:hAnsi="Calibri" w:cs="Calibri"/>
          <w:szCs w:val="24"/>
        </w:rPr>
        <w:t>The position presented in the report</w:t>
      </w:r>
      <w:r w:rsidRPr="00622B93">
        <w:rPr>
          <w:rFonts w:ascii="Calibri" w:hAnsi="Calibri" w:cs="Calibri"/>
          <w:szCs w:val="24"/>
        </w:rPr>
        <w:t xml:space="preserve"> </w:t>
      </w:r>
      <w:r>
        <w:rPr>
          <w:rFonts w:ascii="Calibri" w:hAnsi="Calibri" w:cs="Calibri"/>
          <w:szCs w:val="24"/>
        </w:rPr>
        <w:t xml:space="preserve">is still subject to change </w:t>
      </w:r>
      <w:r w:rsidRPr="00622B93">
        <w:rPr>
          <w:rFonts w:ascii="Calibri" w:hAnsi="Calibri" w:cs="Calibri"/>
          <w:szCs w:val="24"/>
        </w:rPr>
        <w:t>as we work through the annual accounts period. </w:t>
      </w:r>
      <w:r w:rsidR="00C3117B">
        <w:rPr>
          <w:rFonts w:ascii="Calibri" w:hAnsi="Calibri" w:cs="Calibri"/>
          <w:szCs w:val="24"/>
        </w:rPr>
        <w:t>For example, g</w:t>
      </w:r>
      <w:r w:rsidRPr="00622B93">
        <w:rPr>
          <w:rFonts w:ascii="Calibri" w:hAnsi="Calibri" w:cs="Calibri"/>
          <w:szCs w:val="24"/>
        </w:rPr>
        <w:t>rants</w:t>
      </w:r>
      <w:r>
        <w:rPr>
          <w:rFonts w:ascii="Calibri" w:hAnsi="Calibri" w:cs="Calibri"/>
          <w:szCs w:val="24"/>
        </w:rPr>
        <w:t xml:space="preserve"> recipients</w:t>
      </w:r>
      <w:r w:rsidRPr="00622B93">
        <w:rPr>
          <w:rFonts w:ascii="Calibri" w:hAnsi="Calibri" w:cs="Calibri"/>
          <w:szCs w:val="24"/>
        </w:rPr>
        <w:t xml:space="preserve"> have until the end of </w:t>
      </w:r>
      <w:r w:rsidR="00C3117B">
        <w:rPr>
          <w:rFonts w:ascii="Calibri" w:hAnsi="Calibri" w:cs="Calibri"/>
          <w:szCs w:val="24"/>
        </w:rPr>
        <w:t xml:space="preserve">April </w:t>
      </w:r>
      <w:r w:rsidR="00C3117B" w:rsidRPr="00622B93">
        <w:rPr>
          <w:rFonts w:ascii="Calibri" w:hAnsi="Calibri" w:cs="Calibri"/>
          <w:szCs w:val="24"/>
        </w:rPr>
        <w:t>to</w:t>
      </w:r>
      <w:r w:rsidRPr="00622B93">
        <w:rPr>
          <w:rFonts w:ascii="Calibri" w:hAnsi="Calibri" w:cs="Calibri"/>
          <w:szCs w:val="24"/>
        </w:rPr>
        <w:t xml:space="preserve"> </w:t>
      </w:r>
      <w:r w:rsidR="00C3117B">
        <w:rPr>
          <w:rFonts w:ascii="Calibri" w:hAnsi="Calibri" w:cs="Calibri"/>
          <w:szCs w:val="24"/>
        </w:rPr>
        <w:t xml:space="preserve">submit </w:t>
      </w:r>
      <w:r w:rsidRPr="00622B93">
        <w:rPr>
          <w:rFonts w:ascii="Calibri" w:hAnsi="Calibri" w:cs="Calibri"/>
          <w:szCs w:val="24"/>
        </w:rPr>
        <w:t>claims in.</w:t>
      </w:r>
    </w:p>
    <w:p w14:paraId="011EF34B" w14:textId="5615209C" w:rsidR="00622B93" w:rsidRPr="00622B93" w:rsidRDefault="00C3117B" w:rsidP="00622B93">
      <w:pPr>
        <w:keepNext/>
        <w:keepLines/>
        <w:spacing w:before="40" w:after="0" w:line="259" w:lineRule="auto"/>
        <w:outlineLvl w:val="1"/>
        <w:rPr>
          <w:rFonts w:ascii="Calibri" w:hAnsi="Calibri" w:cs="Calibri"/>
          <w:szCs w:val="24"/>
        </w:rPr>
      </w:pPr>
      <w:r>
        <w:rPr>
          <w:rFonts w:ascii="Calibri" w:hAnsi="Calibri" w:cs="Calibri"/>
          <w:szCs w:val="24"/>
        </w:rPr>
        <w:t xml:space="preserve">The tables </w:t>
      </w:r>
      <w:r w:rsidR="00853EA6">
        <w:rPr>
          <w:rFonts w:ascii="Calibri" w:hAnsi="Calibri" w:cs="Calibri"/>
          <w:szCs w:val="24"/>
        </w:rPr>
        <w:t>reflect</w:t>
      </w:r>
      <w:r>
        <w:rPr>
          <w:rFonts w:ascii="Calibri" w:hAnsi="Calibri" w:cs="Calibri"/>
          <w:szCs w:val="24"/>
        </w:rPr>
        <w:t xml:space="preserve"> the challenges in delivering budget spend in indirect capital due to the inherent operational challenges in Peatland Restoration and delivering the Nature Restoration Fund</w:t>
      </w:r>
      <w:r w:rsidR="00853EA6">
        <w:rPr>
          <w:rFonts w:ascii="Calibri" w:hAnsi="Calibri" w:cs="Calibri"/>
          <w:szCs w:val="24"/>
        </w:rPr>
        <w:t>. However, the overall position for NatureScot is that our flexible approach to resourcing will enable an outturn within the budget tolerances.</w:t>
      </w:r>
    </w:p>
    <w:p w14:paraId="7157224D" w14:textId="77777777" w:rsidR="00DE6BD1" w:rsidRPr="00DE6BD1" w:rsidRDefault="006454B5" w:rsidP="00DE6BD1">
      <w:pPr>
        <w:spacing w:after="0" w:line="240" w:lineRule="auto"/>
        <w:textAlignment w:val="baseline"/>
        <w:rPr>
          <w:rFonts w:ascii="Segoe UI" w:eastAsia="Times New Roman" w:hAnsi="Segoe UI" w:cs="Segoe UI"/>
          <w:sz w:val="22"/>
          <w:lang w:eastAsia="en-GB"/>
        </w:rPr>
      </w:pPr>
      <w:r w:rsidRPr="006B15AA">
        <w:rPr>
          <w:rFonts w:ascii="Arial" w:eastAsia="Times New Roman" w:hAnsi="Arial" w:cs="Arial"/>
          <w:sz w:val="22"/>
          <w:lang w:eastAsia="en-GB"/>
        </w:rPr>
        <w:t>  </w:t>
      </w:r>
    </w:p>
    <w:tbl>
      <w:tblPr>
        <w:tblW w:w="9889" w:type="dxa"/>
        <w:tblCellMar>
          <w:left w:w="0" w:type="dxa"/>
          <w:right w:w="0" w:type="dxa"/>
        </w:tblCellMar>
        <w:tblLook w:val="0420" w:firstRow="1" w:lastRow="0" w:firstColumn="0" w:lastColumn="0" w:noHBand="0" w:noVBand="1"/>
      </w:tblPr>
      <w:tblGrid>
        <w:gridCol w:w="2080"/>
        <w:gridCol w:w="2388"/>
        <w:gridCol w:w="1132"/>
        <w:gridCol w:w="1189"/>
        <w:gridCol w:w="1399"/>
        <w:gridCol w:w="1701"/>
      </w:tblGrid>
      <w:tr w:rsidR="00DE6BD1" w:rsidRPr="00560E81" w14:paraId="4A960C12" w14:textId="77777777" w:rsidTr="00D85BEF">
        <w:trPr>
          <w:trHeight w:val="584"/>
        </w:trPr>
        <w:tc>
          <w:tcPr>
            <w:tcW w:w="2080"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36CBD8C9"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Financial Metrics (£m)</w:t>
            </w:r>
          </w:p>
        </w:tc>
        <w:tc>
          <w:tcPr>
            <w:tcW w:w="2388"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454877C1"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Measure</w:t>
            </w:r>
          </w:p>
        </w:tc>
        <w:tc>
          <w:tcPr>
            <w:tcW w:w="1132"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0826EDB3"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Budget</w:t>
            </w:r>
          </w:p>
        </w:tc>
        <w:tc>
          <w:tcPr>
            <w:tcW w:w="118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5879A38C"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Forecast</w:t>
            </w:r>
          </w:p>
        </w:tc>
        <w:tc>
          <w:tcPr>
            <w:tcW w:w="1399"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4D84228D"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Variance</w:t>
            </w:r>
          </w:p>
        </w:tc>
        <w:tc>
          <w:tcPr>
            <w:tcW w:w="1701" w:type="dxa"/>
            <w:tcBorders>
              <w:top w:val="single" w:sz="8" w:space="0" w:color="FFFFFF"/>
              <w:left w:val="single" w:sz="8" w:space="0" w:color="FFFFFF"/>
              <w:bottom w:val="single" w:sz="24" w:space="0" w:color="FFFFFF"/>
              <w:right w:val="single" w:sz="8" w:space="0" w:color="FFFFFF"/>
            </w:tcBorders>
            <w:shd w:val="clear" w:color="auto" w:fill="5E8CC0"/>
            <w:tcMar>
              <w:top w:w="15" w:type="dxa"/>
              <w:left w:w="108" w:type="dxa"/>
              <w:bottom w:w="0" w:type="dxa"/>
              <w:right w:w="108" w:type="dxa"/>
            </w:tcMar>
            <w:vAlign w:val="center"/>
            <w:hideMark/>
          </w:tcPr>
          <w:p w14:paraId="612E5C41"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0000" w:themeColor="text1"/>
                <w:kern w:val="24"/>
                <w:szCs w:val="24"/>
                <w:lang w:eastAsia="en-GB"/>
              </w:rPr>
              <w:t>Rating</w:t>
            </w:r>
          </w:p>
        </w:tc>
      </w:tr>
      <w:tr w:rsidR="00DE6BD1" w:rsidRPr="00560E81" w14:paraId="4959F014" w14:textId="77777777" w:rsidTr="00D85BEF">
        <w:trPr>
          <w:trHeight w:val="584"/>
        </w:trPr>
        <w:tc>
          <w:tcPr>
            <w:tcW w:w="2080"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7959DBF0"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bCs/>
                <w:color w:val="000000" w:themeColor="dark1"/>
                <w:kern w:val="24"/>
                <w:szCs w:val="24"/>
                <w:lang w:eastAsia="en-GB"/>
              </w:rPr>
              <w:t>Resource Budget</w:t>
            </w:r>
          </w:p>
        </w:tc>
        <w:tc>
          <w:tcPr>
            <w:tcW w:w="2388"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07577862"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1B1F42F"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61.5</w:t>
            </w:r>
          </w:p>
        </w:tc>
        <w:tc>
          <w:tcPr>
            <w:tcW w:w="118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2F18BD5"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61.7</w:t>
            </w:r>
          </w:p>
        </w:tc>
        <w:tc>
          <w:tcPr>
            <w:tcW w:w="1399"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678E65A2" w14:textId="77777777" w:rsidR="00DE6BD1" w:rsidRPr="00560E81" w:rsidRDefault="00DE6BD1" w:rsidP="00D86C60">
            <w:pPr>
              <w:spacing w:line="240" w:lineRule="auto"/>
              <w:jc w:val="center"/>
              <w:rPr>
                <w:rFonts w:ascii="Calibri" w:eastAsia="Times New Roman" w:hAnsi="Calibri" w:cs="Calibri"/>
                <w:szCs w:val="24"/>
                <w:lang w:eastAsia="en-GB"/>
              </w:rPr>
            </w:pPr>
            <w:r w:rsidRPr="004D7174">
              <w:rPr>
                <w:rFonts w:ascii="Calibri" w:eastAsia="Times New Roman" w:hAnsi="Calibri" w:cs="Calibri"/>
                <w:color w:val="FF0000"/>
                <w:kern w:val="24"/>
                <w:szCs w:val="24"/>
                <w:lang w:eastAsia="en-GB"/>
              </w:rPr>
              <w:t>(0.2)</w:t>
            </w:r>
          </w:p>
        </w:tc>
        <w:tc>
          <w:tcPr>
            <w:tcW w:w="1701" w:type="dxa"/>
            <w:tcBorders>
              <w:top w:val="single" w:sz="24"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5CDDF056"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B050"/>
                <w:kern w:val="24"/>
                <w:szCs w:val="24"/>
                <w:lang w:eastAsia="en-GB"/>
              </w:rPr>
              <w:t>ON TRACK</w:t>
            </w:r>
          </w:p>
        </w:tc>
      </w:tr>
      <w:tr w:rsidR="00DE6BD1" w:rsidRPr="00560E81" w14:paraId="2EB389F2"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A5C0B21"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heme="minorEastAsia" w:hAnsi="Calibri" w:cs="Calibri"/>
                <w:bCs/>
                <w:color w:val="000000" w:themeColor="dark1"/>
                <w:kern w:val="24"/>
                <w:szCs w:val="24"/>
                <w:lang w:eastAsia="en-GB"/>
              </w:rPr>
              <w:t>Capital</w:t>
            </w:r>
          </w:p>
        </w:tc>
        <w:tc>
          <w:tcPr>
            <w:tcW w:w="238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5823BEFD"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5</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6E62CD1E"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2.2</w:t>
            </w:r>
          </w:p>
        </w:tc>
        <w:tc>
          <w:tcPr>
            <w:tcW w:w="118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5F63F69A"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1.8</w:t>
            </w:r>
          </w:p>
        </w:tc>
        <w:tc>
          <w:tcPr>
            <w:tcW w:w="1399"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18F851C8"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0.4</w:t>
            </w:r>
          </w:p>
        </w:tc>
        <w:tc>
          <w:tcPr>
            <w:tcW w:w="1701"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vAlign w:val="center"/>
            <w:hideMark/>
          </w:tcPr>
          <w:p w14:paraId="09662559" w14:textId="77777777" w:rsidR="00DE6BD1" w:rsidRPr="00560E81" w:rsidRDefault="00DE6BD1" w:rsidP="00D86C60">
            <w:pPr>
              <w:spacing w:line="240" w:lineRule="auto"/>
              <w:jc w:val="center"/>
              <w:rPr>
                <w:rFonts w:ascii="Calibri" w:eastAsia="Times New Roman" w:hAnsi="Calibri" w:cs="Calibri"/>
                <w:szCs w:val="24"/>
                <w:lang w:eastAsia="en-GB"/>
              </w:rPr>
            </w:pPr>
            <w:r w:rsidRPr="002C5F9F">
              <w:rPr>
                <w:rFonts w:ascii="Calibri" w:eastAsia="Times New Roman" w:hAnsi="Calibri" w:cs="Calibri"/>
                <w:b/>
                <w:bCs/>
                <w:color w:val="FF0000"/>
                <w:kern w:val="24"/>
                <w:szCs w:val="24"/>
                <w:lang w:eastAsia="en-GB"/>
              </w:rPr>
              <w:t>MAJOR SLIPPAGE</w:t>
            </w:r>
          </w:p>
        </w:tc>
      </w:tr>
      <w:tr w:rsidR="00DE6BD1" w:rsidRPr="00560E81" w14:paraId="48B3FDBE" w14:textId="77777777" w:rsidTr="00D85BEF">
        <w:trPr>
          <w:trHeight w:val="72"/>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8BFCEBF" w14:textId="77777777" w:rsidR="00DE6BD1" w:rsidRPr="00560E81" w:rsidRDefault="00DE6BD1" w:rsidP="00D86C60">
            <w:pPr>
              <w:spacing w:line="240" w:lineRule="auto"/>
              <w:jc w:val="center"/>
              <w:rPr>
                <w:rFonts w:ascii="Calibri" w:eastAsiaTheme="minorEastAsia" w:hAnsi="Calibri" w:cs="Calibri"/>
                <w:bCs/>
                <w:color w:val="000000" w:themeColor="dark1"/>
                <w:kern w:val="24"/>
                <w:szCs w:val="24"/>
                <w:lang w:eastAsia="en-GB"/>
              </w:rPr>
            </w:pPr>
            <w:r>
              <w:rPr>
                <w:rFonts w:ascii="Calibri" w:eastAsiaTheme="minorEastAsia" w:hAnsi="Calibri" w:cs="Calibri"/>
                <w:bCs/>
                <w:color w:val="000000" w:themeColor="dark1"/>
                <w:kern w:val="24"/>
                <w:szCs w:val="24"/>
                <w:lang w:eastAsia="en-GB"/>
              </w:rPr>
              <w:t>Indirect Capital</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316B5A51"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5</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7E74A299" w14:textId="77777777" w:rsidR="00DE6BD1" w:rsidRPr="00560E8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16.6</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B8ECB3B" w14:textId="77777777" w:rsidR="00DE6BD1" w:rsidRPr="00560E8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14.9</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01775D2" w14:textId="77777777" w:rsidR="00DE6BD1" w:rsidRPr="00560E8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kern w:val="24"/>
                <w:szCs w:val="24"/>
                <w:lang w:eastAsia="en-GB"/>
              </w:rPr>
              <w:t>1.7</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F0FB587" w14:textId="77777777" w:rsidR="00DE6BD1" w:rsidRPr="00560E81" w:rsidRDefault="00DE6BD1" w:rsidP="00D86C60">
            <w:pPr>
              <w:spacing w:line="240" w:lineRule="auto"/>
              <w:jc w:val="center"/>
              <w:rPr>
                <w:rFonts w:ascii="Calibri" w:eastAsia="Times New Roman" w:hAnsi="Calibri" w:cs="Calibri"/>
                <w:b/>
                <w:bCs/>
                <w:color w:val="00B050"/>
                <w:kern w:val="24"/>
                <w:szCs w:val="24"/>
                <w:lang w:eastAsia="en-GB"/>
              </w:rPr>
            </w:pPr>
            <w:r w:rsidRPr="002C5F9F">
              <w:rPr>
                <w:rFonts w:ascii="Calibri" w:eastAsia="Times New Roman" w:hAnsi="Calibri" w:cs="Calibri"/>
                <w:b/>
                <w:bCs/>
                <w:color w:val="FF0000"/>
                <w:kern w:val="24"/>
                <w:szCs w:val="24"/>
                <w:lang w:eastAsia="en-GB"/>
              </w:rPr>
              <w:t>MAJOR SLIPPAGE</w:t>
            </w:r>
          </w:p>
        </w:tc>
      </w:tr>
      <w:tr w:rsidR="00DE6BD1" w:rsidRPr="00560E81" w14:paraId="6A5C7222"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C1A4C0C"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Cs/>
                <w:color w:val="000000" w:themeColor="dark1"/>
                <w:kern w:val="24"/>
                <w:szCs w:val="24"/>
                <w:lang w:eastAsia="en-GB"/>
              </w:rPr>
              <w:t>Paybill</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57E44305"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6AEC0EC6"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39.0</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7CFFBAB6"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39.0</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79AAD0D3"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91A2078" w14:textId="77777777" w:rsidR="00DE6BD1" w:rsidRPr="00CB05F8" w:rsidRDefault="00DE6BD1" w:rsidP="00D86C60">
            <w:pPr>
              <w:spacing w:line="240" w:lineRule="auto"/>
              <w:jc w:val="center"/>
              <w:rPr>
                <w:rFonts w:ascii="Calibri" w:eastAsia="Times New Roman" w:hAnsi="Calibri" w:cs="Calibri"/>
                <w:color w:val="F79646" w:themeColor="accent6"/>
                <w:szCs w:val="24"/>
                <w:lang w:eastAsia="en-GB"/>
              </w:rPr>
            </w:pPr>
            <w:r w:rsidRPr="00560E81">
              <w:rPr>
                <w:rFonts w:ascii="Calibri" w:eastAsia="Times New Roman" w:hAnsi="Calibri" w:cs="Calibri"/>
                <w:b/>
                <w:bCs/>
                <w:color w:val="00B050"/>
                <w:kern w:val="24"/>
                <w:szCs w:val="24"/>
                <w:lang w:eastAsia="en-GB"/>
              </w:rPr>
              <w:t>ON TRACK</w:t>
            </w:r>
          </w:p>
        </w:tc>
      </w:tr>
      <w:tr w:rsidR="00DE6BD1" w:rsidRPr="00560E81" w14:paraId="3D7E7F78"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77937AAF"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heme="minorEastAsia" w:hAnsi="Calibri" w:cs="Calibri"/>
                <w:bCs/>
                <w:color w:val="000000" w:themeColor="dark1"/>
                <w:kern w:val="24"/>
                <w:szCs w:val="24"/>
                <w:lang w:eastAsia="en-GB"/>
              </w:rPr>
              <w:t>Project Allocation</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6FD680D6"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31975ED"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14.0</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2CDB307"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15.3</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859FAA5" w14:textId="77777777" w:rsidR="00DE6BD1" w:rsidRPr="00560E81" w:rsidRDefault="00DE6BD1" w:rsidP="00D86C60">
            <w:pPr>
              <w:spacing w:line="240" w:lineRule="auto"/>
              <w:jc w:val="center"/>
              <w:rPr>
                <w:rFonts w:ascii="Calibri" w:eastAsia="Times New Roman" w:hAnsi="Calibri" w:cs="Calibri"/>
                <w:szCs w:val="24"/>
                <w:lang w:eastAsia="en-GB"/>
              </w:rPr>
            </w:pPr>
            <w:r w:rsidRPr="004D7174">
              <w:rPr>
                <w:rFonts w:ascii="Calibri" w:eastAsia="Times New Roman" w:hAnsi="Calibri" w:cs="Calibri"/>
                <w:color w:val="FF0000"/>
                <w:kern w:val="24"/>
                <w:szCs w:val="24"/>
                <w:lang w:eastAsia="en-GB"/>
              </w:rPr>
              <w:t>(1.3)</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EF16361" w14:textId="77777777" w:rsidR="00DE6BD1" w:rsidRPr="00CB05F8" w:rsidRDefault="00DE6BD1" w:rsidP="00D86C60">
            <w:pPr>
              <w:spacing w:line="240" w:lineRule="auto"/>
              <w:jc w:val="center"/>
              <w:rPr>
                <w:rFonts w:ascii="Calibri" w:eastAsia="Times New Roman" w:hAnsi="Calibri" w:cs="Calibri"/>
                <w:color w:val="F79646" w:themeColor="accent6"/>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DE6BD1" w:rsidRPr="00560E81" w14:paraId="6A1D9E2F" w14:textId="77777777" w:rsidTr="00D86C60">
        <w:trPr>
          <w:trHeight w:val="95"/>
        </w:trPr>
        <w:tc>
          <w:tcPr>
            <w:tcW w:w="2080"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8ECE28E" w14:textId="77777777" w:rsidR="00DE6BD1" w:rsidRPr="00560E81" w:rsidRDefault="00DE6BD1" w:rsidP="00D86C60">
            <w:pPr>
              <w:spacing w:line="240" w:lineRule="auto"/>
              <w:jc w:val="center"/>
              <w:rPr>
                <w:rFonts w:ascii="Calibri" w:eastAsiaTheme="minorEastAsia" w:hAnsi="Calibri" w:cs="Calibri"/>
                <w:bCs/>
                <w:color w:val="000000" w:themeColor="dark1"/>
                <w:kern w:val="24"/>
                <w:szCs w:val="24"/>
                <w:lang w:eastAsia="en-GB"/>
              </w:rPr>
            </w:pPr>
          </w:p>
        </w:tc>
        <w:tc>
          <w:tcPr>
            <w:tcW w:w="2388"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tcPr>
          <w:p w14:paraId="72BC31C2" w14:textId="77777777" w:rsidR="00DE6BD1" w:rsidRPr="00560E81" w:rsidRDefault="00DE6BD1" w:rsidP="00D86C60">
            <w:pPr>
              <w:spacing w:line="240" w:lineRule="auto"/>
              <w:rPr>
                <w:rFonts w:ascii="Calibri" w:eastAsia="Times New Roman" w:hAnsi="Calibri" w:cs="Calibri"/>
                <w:color w:val="000000" w:themeColor="dark1"/>
                <w:kern w:val="24"/>
                <w:szCs w:val="24"/>
                <w:lang w:eastAsia="en-GB"/>
              </w:rPr>
            </w:pPr>
          </w:p>
        </w:tc>
        <w:tc>
          <w:tcPr>
            <w:tcW w:w="1132"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38CDC6F4"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p>
        </w:tc>
        <w:tc>
          <w:tcPr>
            <w:tcW w:w="118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495652A3"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p>
        </w:tc>
        <w:tc>
          <w:tcPr>
            <w:tcW w:w="1399"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0FAD0272"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p>
        </w:tc>
        <w:tc>
          <w:tcPr>
            <w:tcW w:w="1701" w:type="dxa"/>
            <w:tcBorders>
              <w:top w:val="single" w:sz="8" w:space="0" w:color="FFFFFF"/>
              <w:left w:val="single" w:sz="8" w:space="0" w:color="FFFFFF"/>
              <w:bottom w:val="single" w:sz="8" w:space="0" w:color="FFFFFF"/>
              <w:right w:val="single" w:sz="8" w:space="0" w:color="FFFFFF"/>
            </w:tcBorders>
            <w:shd w:val="clear" w:color="auto" w:fill="auto"/>
            <w:tcMar>
              <w:top w:w="15" w:type="dxa"/>
              <w:left w:w="108" w:type="dxa"/>
              <w:bottom w:w="0" w:type="dxa"/>
              <w:right w:w="108" w:type="dxa"/>
            </w:tcMar>
            <w:vAlign w:val="center"/>
          </w:tcPr>
          <w:p w14:paraId="7B4390F9" w14:textId="77777777" w:rsidR="00DE6BD1" w:rsidRDefault="00DE6BD1" w:rsidP="00D86C60">
            <w:pPr>
              <w:spacing w:line="240" w:lineRule="auto"/>
              <w:jc w:val="center"/>
              <w:rPr>
                <w:rFonts w:ascii="Calibri" w:eastAsia="Times New Roman" w:hAnsi="Calibri" w:cs="Calibri"/>
                <w:b/>
                <w:bCs/>
                <w:color w:val="FFC000"/>
                <w:kern w:val="24"/>
                <w:szCs w:val="24"/>
                <w:lang w:eastAsia="en-GB"/>
              </w:rPr>
            </w:pPr>
          </w:p>
        </w:tc>
      </w:tr>
      <w:tr w:rsidR="00DE6BD1" w:rsidRPr="00560E81" w14:paraId="64E30851"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D4A697D"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Arial" w:hAnsi="Calibri" w:cs="Calibri"/>
                <w:bCs/>
                <w:color w:val="000000" w:themeColor="text1"/>
                <w:kern w:val="24"/>
                <w:szCs w:val="24"/>
                <w:lang w:eastAsia="en-GB"/>
              </w:rPr>
              <w:t>Peatlands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7ABD8FE9"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 xml:space="preserve">Outturn within </w:t>
            </w:r>
            <w:r>
              <w:rPr>
                <w:rFonts w:ascii="Calibri" w:eastAsia="Times New Roman" w:hAnsi="Calibri" w:cs="Calibri"/>
                <w:color w:val="000000" w:themeColor="dark1"/>
                <w:kern w:val="24"/>
                <w:szCs w:val="24"/>
                <w:lang w:eastAsia="en-GB"/>
              </w:rPr>
              <w:t>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5546E3FD"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14.2</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1BA554FA" w14:textId="77777777" w:rsidR="00DE6BD1" w:rsidRPr="002C5F9F"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12.7</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30B9BC29"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szCs w:val="24"/>
                <w:lang w:eastAsia="en-GB"/>
              </w:rPr>
              <w:t>1.5</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074335B" w14:textId="77777777" w:rsidR="00DE6BD1" w:rsidRPr="00CB05F8" w:rsidRDefault="00DE6BD1" w:rsidP="00D86C60">
            <w:pPr>
              <w:spacing w:line="240" w:lineRule="auto"/>
              <w:jc w:val="center"/>
              <w:rPr>
                <w:rFonts w:ascii="Calibri" w:eastAsia="Times New Roman" w:hAnsi="Calibri" w:cs="Calibri"/>
                <w:color w:val="F79646" w:themeColor="accent6"/>
                <w:szCs w:val="24"/>
                <w:lang w:eastAsia="en-GB"/>
              </w:rPr>
            </w:pPr>
            <w:r w:rsidRPr="002C5F9F">
              <w:rPr>
                <w:rFonts w:ascii="Calibri" w:eastAsia="Times New Roman" w:hAnsi="Calibri" w:cs="Calibri"/>
                <w:b/>
                <w:bCs/>
                <w:color w:val="FF0000"/>
                <w:kern w:val="24"/>
                <w:szCs w:val="24"/>
                <w:lang w:eastAsia="en-GB"/>
              </w:rPr>
              <w:t>MAJOR SLIPPAGE</w:t>
            </w:r>
          </w:p>
        </w:tc>
      </w:tr>
      <w:tr w:rsidR="00DE6BD1" w:rsidRPr="00560E81" w14:paraId="35F30DD5"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74C2F898" w14:textId="77777777" w:rsidR="00DE6BD1" w:rsidRPr="00560E81" w:rsidRDefault="00DE6BD1" w:rsidP="00D86C60">
            <w:pPr>
              <w:spacing w:line="240" w:lineRule="auto"/>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Farming with Nature</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76C7D202" w14:textId="77777777" w:rsidR="00DE6BD1" w:rsidRPr="00560E81" w:rsidRDefault="00DE6BD1" w:rsidP="00D86C60">
            <w:pPr>
              <w:spacing w:line="240" w:lineRule="auto"/>
              <w:jc w:val="center"/>
              <w:rPr>
                <w:rFonts w:ascii="Calibri" w:eastAsia="Times New Roman" w:hAnsi="Calibri" w:cs="Calibri"/>
                <w:color w:val="000000" w:themeColor="dark1"/>
                <w:kern w:val="24"/>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6AD07B0E" w14:textId="77777777" w:rsidR="00DE6BD1" w:rsidRPr="00560E8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2.1</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5B0DAA51" w14:textId="77777777" w:rsidR="00DE6BD1" w:rsidRPr="00560E8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2.0</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64BC45C" w14:textId="77777777" w:rsidR="00DE6BD1" w:rsidRPr="00560E81" w:rsidRDefault="00DE6BD1" w:rsidP="00D86C60">
            <w:pPr>
              <w:spacing w:line="240" w:lineRule="auto"/>
              <w:jc w:val="center"/>
              <w:rPr>
                <w:rFonts w:ascii="Calibri" w:eastAsia="Times New Roman" w:hAnsi="Calibri" w:cs="Calibri"/>
                <w:color w:val="FF0000"/>
                <w:kern w:val="24"/>
                <w:szCs w:val="24"/>
                <w:lang w:eastAsia="en-GB"/>
              </w:rPr>
            </w:pPr>
            <w:r>
              <w:rPr>
                <w:rFonts w:ascii="Calibri" w:eastAsia="Times New Roman" w:hAnsi="Calibri" w:cs="Calibri"/>
                <w:color w:val="000000" w:themeColor="dark1"/>
                <w:kern w:val="24"/>
                <w:szCs w:val="24"/>
                <w:lang w:eastAsia="en-GB"/>
              </w:rPr>
              <w:t>0.1</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3B8DC95" w14:textId="77777777" w:rsidR="00DE6BD1" w:rsidRPr="00560E81" w:rsidRDefault="00DE6BD1" w:rsidP="00D86C60">
            <w:pPr>
              <w:spacing w:line="240" w:lineRule="auto"/>
              <w:jc w:val="center"/>
              <w:rPr>
                <w:rFonts w:ascii="Calibri" w:eastAsia="Times New Roman" w:hAnsi="Calibri" w:cs="Calibri"/>
                <w:b/>
                <w:bCs/>
                <w:color w:val="FFC000"/>
                <w:kern w:val="24"/>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DE6BD1" w:rsidRPr="00560E81" w14:paraId="7FF96934"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86665B7"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szCs w:val="24"/>
                <w:lang w:eastAsia="en-GB"/>
              </w:rPr>
              <w:t>Better Places Fund</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hideMark/>
          </w:tcPr>
          <w:p w14:paraId="1B59064F"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color w:val="000000" w:themeColor="dark1"/>
                <w:kern w:val="24"/>
                <w:szCs w:val="24"/>
                <w:lang w:eastAsia="en-GB"/>
              </w:rPr>
              <w:t>Outturn within 1%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153BC99"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44770064"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0.9</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2456C8C2"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0.0</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hideMark/>
          </w:tcPr>
          <w:p w14:paraId="30607872" w14:textId="77777777" w:rsidR="00DE6BD1" w:rsidRPr="00560E81" w:rsidRDefault="00DE6BD1" w:rsidP="00D86C60">
            <w:pPr>
              <w:spacing w:line="240" w:lineRule="auto"/>
              <w:jc w:val="center"/>
              <w:rPr>
                <w:rFonts w:ascii="Calibri" w:eastAsia="Times New Roman" w:hAnsi="Calibri" w:cs="Calibri"/>
                <w:szCs w:val="24"/>
                <w:lang w:eastAsia="en-GB"/>
              </w:rPr>
            </w:pPr>
            <w:r w:rsidRPr="00560E81">
              <w:rPr>
                <w:rFonts w:ascii="Calibri" w:eastAsia="Times New Roman" w:hAnsi="Calibri" w:cs="Calibri"/>
                <w:b/>
                <w:bCs/>
                <w:color w:val="00B050"/>
                <w:kern w:val="24"/>
                <w:szCs w:val="24"/>
                <w:lang w:eastAsia="en-GB"/>
              </w:rPr>
              <w:t>ON TRACK</w:t>
            </w:r>
          </w:p>
        </w:tc>
      </w:tr>
      <w:tr w:rsidR="00DE6BD1" w:rsidRPr="00560E81" w14:paraId="187DB97C"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1E45EE26"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Arial" w:hAnsi="Calibri" w:cs="Calibri"/>
                <w:bCs/>
                <w:color w:val="000000" w:themeColor="text1"/>
                <w:kern w:val="24"/>
                <w:szCs w:val="24"/>
                <w:lang w:eastAsia="en-GB"/>
              </w:rPr>
              <w:t xml:space="preserve">Nature Recovery Fund </w:t>
            </w:r>
          </w:p>
        </w:tc>
        <w:tc>
          <w:tcPr>
            <w:tcW w:w="2388"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tcPr>
          <w:p w14:paraId="7BCDDDD3"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Outturn within 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3C3E66F"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8.3</w:t>
            </w:r>
          </w:p>
        </w:tc>
        <w:tc>
          <w:tcPr>
            <w:tcW w:w="118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D6BF0B0"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7.5</w:t>
            </w:r>
          </w:p>
        </w:tc>
        <w:tc>
          <w:tcPr>
            <w:tcW w:w="1399"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20FD6AE7" w14:textId="77777777" w:rsidR="00DE6BD1" w:rsidRPr="00560E81" w:rsidRDefault="00DE6BD1" w:rsidP="00D86C60">
            <w:pPr>
              <w:spacing w:line="240" w:lineRule="auto"/>
              <w:jc w:val="center"/>
              <w:rPr>
                <w:rFonts w:ascii="Calibri" w:eastAsia="Times New Roman" w:hAnsi="Calibri" w:cs="Calibri"/>
                <w:szCs w:val="24"/>
                <w:lang w:eastAsia="en-GB"/>
              </w:rPr>
            </w:pPr>
            <w:r>
              <w:rPr>
                <w:rFonts w:ascii="Calibri" w:eastAsia="Times New Roman" w:hAnsi="Calibri" w:cs="Calibri"/>
                <w:color w:val="000000" w:themeColor="dark1"/>
                <w:kern w:val="24"/>
                <w:szCs w:val="24"/>
                <w:lang w:eastAsia="en-GB"/>
              </w:rPr>
              <w:t>0.8</w:t>
            </w:r>
          </w:p>
        </w:tc>
        <w:tc>
          <w:tcPr>
            <w:tcW w:w="1701"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15" w:type="dxa"/>
              <w:left w:w="108" w:type="dxa"/>
              <w:bottom w:w="0" w:type="dxa"/>
              <w:right w:w="108" w:type="dxa"/>
            </w:tcMar>
            <w:vAlign w:val="center"/>
          </w:tcPr>
          <w:p w14:paraId="34FAE707" w14:textId="77777777" w:rsidR="00DE6BD1" w:rsidRPr="00560E81" w:rsidRDefault="00DE6BD1" w:rsidP="00D86C60">
            <w:pPr>
              <w:spacing w:line="240" w:lineRule="auto"/>
              <w:jc w:val="center"/>
              <w:rPr>
                <w:rFonts w:ascii="Calibri" w:eastAsia="Times New Roman" w:hAnsi="Calibri" w:cs="Calibri"/>
                <w:szCs w:val="24"/>
                <w:lang w:eastAsia="en-GB"/>
              </w:rPr>
            </w:pPr>
            <w:r w:rsidRPr="00CB05F8">
              <w:rPr>
                <w:rFonts w:ascii="Calibri" w:eastAsia="Times New Roman" w:hAnsi="Calibri" w:cs="Calibri"/>
                <w:b/>
                <w:bCs/>
                <w:color w:val="F79646" w:themeColor="accent6"/>
                <w:kern w:val="24"/>
                <w:szCs w:val="24"/>
                <w:lang w:eastAsia="en-GB"/>
              </w:rPr>
              <w:t>MINOR SLIPPAGE</w:t>
            </w:r>
          </w:p>
        </w:tc>
      </w:tr>
      <w:tr w:rsidR="00DE6BD1" w:rsidRPr="00560E81" w14:paraId="0A571E21" w14:textId="77777777" w:rsidTr="00D85BEF">
        <w:trPr>
          <w:trHeight w:val="584"/>
        </w:trPr>
        <w:tc>
          <w:tcPr>
            <w:tcW w:w="2080"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2A417788" w14:textId="77777777" w:rsidR="00DE6BD1" w:rsidRDefault="00DE6BD1" w:rsidP="00D86C60">
            <w:pPr>
              <w:spacing w:line="240" w:lineRule="auto"/>
              <w:jc w:val="center"/>
              <w:rPr>
                <w:rFonts w:ascii="Calibri" w:eastAsia="Arial" w:hAnsi="Calibri" w:cs="Calibri"/>
                <w:bCs/>
                <w:color w:val="000000" w:themeColor="text1"/>
                <w:kern w:val="24"/>
                <w:szCs w:val="24"/>
                <w:lang w:eastAsia="en-GB"/>
              </w:rPr>
            </w:pPr>
            <w:r>
              <w:rPr>
                <w:rFonts w:ascii="Calibri" w:eastAsia="Arial" w:hAnsi="Calibri" w:cs="Calibri"/>
                <w:bCs/>
                <w:color w:val="000000" w:themeColor="text1"/>
                <w:kern w:val="24"/>
                <w:szCs w:val="24"/>
                <w:lang w:eastAsia="en-GB"/>
              </w:rPr>
              <w:t>FIRNS</w:t>
            </w:r>
          </w:p>
        </w:tc>
        <w:tc>
          <w:tcPr>
            <w:tcW w:w="2388"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tcPr>
          <w:p w14:paraId="2C9359B3"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Outturn within 1</w:t>
            </w:r>
            <w:r w:rsidRPr="00560E81">
              <w:rPr>
                <w:rFonts w:ascii="Calibri" w:eastAsia="Times New Roman" w:hAnsi="Calibri" w:cs="Calibri"/>
                <w:color w:val="000000" w:themeColor="dark1"/>
                <w:kern w:val="24"/>
                <w:szCs w:val="24"/>
                <w:lang w:eastAsia="en-GB"/>
              </w:rPr>
              <w:t>% of final budget</w:t>
            </w:r>
          </w:p>
        </w:tc>
        <w:tc>
          <w:tcPr>
            <w:tcW w:w="1132"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2BE4F1D5"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1.8</w:t>
            </w:r>
          </w:p>
        </w:tc>
        <w:tc>
          <w:tcPr>
            <w:tcW w:w="118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091E4F00"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1.5</w:t>
            </w:r>
          </w:p>
        </w:tc>
        <w:tc>
          <w:tcPr>
            <w:tcW w:w="1399"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6AC96593" w14:textId="77777777" w:rsidR="00DE6BD1" w:rsidRDefault="00DE6BD1" w:rsidP="00D86C60">
            <w:pPr>
              <w:spacing w:line="240" w:lineRule="auto"/>
              <w:jc w:val="center"/>
              <w:rPr>
                <w:rFonts w:ascii="Calibri" w:eastAsia="Times New Roman" w:hAnsi="Calibri" w:cs="Calibri"/>
                <w:color w:val="000000" w:themeColor="dark1"/>
                <w:kern w:val="24"/>
                <w:szCs w:val="24"/>
                <w:lang w:eastAsia="en-GB"/>
              </w:rPr>
            </w:pPr>
            <w:r>
              <w:rPr>
                <w:rFonts w:ascii="Calibri" w:eastAsia="Times New Roman" w:hAnsi="Calibri" w:cs="Calibri"/>
                <w:color w:val="000000" w:themeColor="dark1"/>
                <w:kern w:val="24"/>
                <w:szCs w:val="24"/>
                <w:lang w:eastAsia="en-GB"/>
              </w:rPr>
              <w:t>0.3</w:t>
            </w:r>
          </w:p>
        </w:tc>
        <w:tc>
          <w:tcPr>
            <w:tcW w:w="1701" w:type="dxa"/>
            <w:tcBorders>
              <w:top w:val="single" w:sz="8" w:space="0" w:color="FFFFFF"/>
              <w:left w:val="single" w:sz="8" w:space="0" w:color="FFFFFF"/>
              <w:bottom w:val="single" w:sz="8" w:space="0" w:color="FFFFFF"/>
              <w:right w:val="single" w:sz="8" w:space="0" w:color="FFFFFF"/>
            </w:tcBorders>
            <w:shd w:val="clear" w:color="auto" w:fill="B8CCE4" w:themeFill="accent1" w:themeFillTint="66"/>
            <w:tcMar>
              <w:top w:w="15" w:type="dxa"/>
              <w:left w:w="108" w:type="dxa"/>
              <w:bottom w:w="0" w:type="dxa"/>
              <w:right w:w="108" w:type="dxa"/>
            </w:tcMar>
            <w:vAlign w:val="center"/>
          </w:tcPr>
          <w:p w14:paraId="4B4AA98B" w14:textId="77777777" w:rsidR="00DE6BD1" w:rsidRPr="00CB05F8" w:rsidRDefault="00DE6BD1" w:rsidP="00D86C60">
            <w:pPr>
              <w:spacing w:line="240" w:lineRule="auto"/>
              <w:jc w:val="center"/>
              <w:rPr>
                <w:rFonts w:ascii="Calibri" w:eastAsia="Times New Roman" w:hAnsi="Calibri" w:cs="Calibri"/>
                <w:b/>
                <w:bCs/>
                <w:color w:val="F79646" w:themeColor="accent6"/>
                <w:kern w:val="24"/>
                <w:szCs w:val="24"/>
                <w:lang w:eastAsia="en-GB"/>
              </w:rPr>
            </w:pPr>
            <w:r w:rsidRPr="002C5F9F">
              <w:rPr>
                <w:rFonts w:ascii="Calibri" w:eastAsia="Times New Roman" w:hAnsi="Calibri" w:cs="Calibri"/>
                <w:b/>
                <w:bCs/>
                <w:color w:val="FF0000"/>
                <w:kern w:val="24"/>
                <w:szCs w:val="24"/>
                <w:lang w:eastAsia="en-GB"/>
              </w:rPr>
              <w:t>MAJOR SLIPPAGE</w:t>
            </w:r>
          </w:p>
        </w:tc>
      </w:tr>
    </w:tbl>
    <w:p w14:paraId="4B2B894A" w14:textId="77777777" w:rsidR="00DE6BD1" w:rsidRPr="005F425F" w:rsidRDefault="00DE6BD1" w:rsidP="00DE6BD1">
      <w:pPr>
        <w:rPr>
          <w:rFonts w:ascii="Calibri" w:hAnsi="Calibri" w:cs="Calibri"/>
          <w:sz w:val="20"/>
          <w:szCs w:val="20"/>
        </w:rPr>
      </w:pPr>
      <w:r w:rsidRPr="005F425F">
        <w:rPr>
          <w:rFonts w:ascii="Calibri" w:hAnsi="Calibri" w:cs="Calibri"/>
          <w:sz w:val="20"/>
          <w:szCs w:val="20"/>
        </w:rPr>
        <w:t>*Operating under 1% - on track, up to 10% minor slippage, over 10% major slippage</w:t>
      </w:r>
      <w:r>
        <w:rPr>
          <w:rFonts w:ascii="Calibri" w:hAnsi="Calibri" w:cs="Calibri"/>
          <w:sz w:val="20"/>
          <w:szCs w:val="20"/>
        </w:rPr>
        <w:t xml:space="preserve"> (** Capital under 5% / up to 10%)</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1"/>
        <w:gridCol w:w="3422"/>
      </w:tblGrid>
      <w:tr w:rsidR="00DE6BD1" w:rsidRPr="0070007A" w14:paraId="7A6BD70A" w14:textId="77777777" w:rsidTr="00D86C60">
        <w:trPr>
          <w:cantSplit/>
          <w:tblHeader/>
        </w:trPr>
        <w:tc>
          <w:tcPr>
            <w:tcW w:w="6501" w:type="dxa"/>
            <w:shd w:val="clear" w:color="auto" w:fill="auto"/>
            <w:vAlign w:val="center"/>
          </w:tcPr>
          <w:p w14:paraId="603EC9A7" w14:textId="77777777" w:rsidR="00DE6BD1" w:rsidRPr="0070007A" w:rsidRDefault="00DE6BD1" w:rsidP="00D85BEF">
            <w:pPr>
              <w:rPr>
                <w:rFonts w:ascii="Calibri" w:hAnsi="Calibri" w:cs="Calibri"/>
                <w:color w:val="FFFFFF" w:themeColor="background1"/>
                <w:sz w:val="16"/>
                <w:szCs w:val="24"/>
              </w:rPr>
            </w:pPr>
            <w:r w:rsidRPr="0070007A">
              <w:rPr>
                <w:rFonts w:ascii="Calibri" w:hAnsi="Calibri" w:cs="Calibri"/>
                <w:color w:val="FFFFFF" w:themeColor="background1"/>
                <w:sz w:val="16"/>
                <w:szCs w:val="24"/>
              </w:rPr>
              <w:lastRenderedPageBreak/>
              <w:t>Financial graphs</w:t>
            </w:r>
          </w:p>
        </w:tc>
        <w:tc>
          <w:tcPr>
            <w:tcW w:w="3422" w:type="dxa"/>
            <w:shd w:val="clear" w:color="auto" w:fill="auto"/>
            <w:vAlign w:val="center"/>
          </w:tcPr>
          <w:p w14:paraId="63CAE97A" w14:textId="5017F434" w:rsidR="00DE6BD1" w:rsidRPr="0070007A" w:rsidRDefault="00DE6BD1" w:rsidP="00D85BEF">
            <w:pPr>
              <w:rPr>
                <w:rFonts w:ascii="Calibri" w:hAnsi="Calibri" w:cs="Calibri"/>
                <w:color w:val="FFFFFF" w:themeColor="background1"/>
                <w:sz w:val="16"/>
                <w:szCs w:val="24"/>
              </w:rPr>
            </w:pPr>
            <w:r w:rsidRPr="0070007A">
              <w:rPr>
                <w:rFonts w:ascii="Calibri" w:hAnsi="Calibri" w:cs="Calibri"/>
                <w:color w:val="FFFFFF" w:themeColor="background1"/>
                <w:sz w:val="16"/>
                <w:szCs w:val="24"/>
              </w:rPr>
              <w:t>of p</w:t>
            </w:r>
          </w:p>
        </w:tc>
      </w:tr>
      <w:tr w:rsidR="00DE6BD1" w:rsidRPr="00B6615A" w14:paraId="50E89ABB" w14:textId="77777777" w:rsidTr="00D86C60">
        <w:trPr>
          <w:trHeight w:val="283"/>
        </w:trPr>
        <w:tc>
          <w:tcPr>
            <w:tcW w:w="6501" w:type="dxa"/>
          </w:tcPr>
          <w:p w14:paraId="1625A627" w14:textId="77777777" w:rsidR="00DE6BD1" w:rsidRDefault="00DE6BD1" w:rsidP="00D85BEF">
            <w:pPr>
              <w:rPr>
                <w:rFonts w:ascii="Calibri" w:hAnsi="Calibri" w:cs="Calibri"/>
                <w:szCs w:val="24"/>
              </w:rPr>
            </w:pPr>
            <w:r>
              <w:rPr>
                <w:rFonts w:ascii="Calibri" w:hAnsi="Calibri" w:cs="Calibri"/>
                <w:noProof/>
                <w:szCs w:val="24"/>
              </w:rPr>
              <w:drawing>
                <wp:inline distT="0" distB="0" distL="0" distR="0" wp14:anchorId="0684E449" wp14:editId="33366AA9">
                  <wp:extent cx="3980180" cy="1710055"/>
                  <wp:effectExtent l="0" t="0" r="1270" b="4445"/>
                  <wp:docPr id="697560763" name="Picture 1" descr="A graph showing a line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60763" name="Picture 1" descr="A graph showing a line graph&#10;&#10;Description automatically generated with medium confidenc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012265" cy="1723840"/>
                          </a:xfrm>
                          <a:prstGeom prst="rect">
                            <a:avLst/>
                          </a:prstGeom>
                          <a:noFill/>
                        </pic:spPr>
                      </pic:pic>
                    </a:graphicData>
                  </a:graphic>
                </wp:inline>
              </w:drawing>
            </w:r>
          </w:p>
          <w:p w14:paraId="3D63E209" w14:textId="77777777" w:rsidR="00DE6BD1" w:rsidRPr="00B6615A" w:rsidRDefault="00DE6BD1" w:rsidP="00D85BEF">
            <w:pPr>
              <w:rPr>
                <w:rFonts w:ascii="Calibri" w:hAnsi="Calibri" w:cs="Calibri"/>
                <w:szCs w:val="24"/>
              </w:rPr>
            </w:pPr>
            <w:r>
              <w:rPr>
                <w:rFonts w:ascii="Calibri" w:hAnsi="Calibri" w:cs="Calibri"/>
                <w:noProof/>
                <w:szCs w:val="24"/>
              </w:rPr>
              <w:drawing>
                <wp:inline distT="0" distB="0" distL="0" distR="0" wp14:anchorId="49A69A54" wp14:editId="177B668E">
                  <wp:extent cx="3952875" cy="1834622"/>
                  <wp:effectExtent l="0" t="0" r="0" b="0"/>
                  <wp:docPr id="606989533" name="Picture 1" descr="A graph of a graph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89533" name="Picture 1" descr="A graph of a graph with red and blue lines&#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3319" cy="1858034"/>
                          </a:xfrm>
                          <a:prstGeom prst="rect">
                            <a:avLst/>
                          </a:prstGeom>
                          <a:noFill/>
                        </pic:spPr>
                      </pic:pic>
                    </a:graphicData>
                  </a:graphic>
                </wp:inline>
              </w:drawing>
            </w:r>
          </w:p>
        </w:tc>
        <w:tc>
          <w:tcPr>
            <w:tcW w:w="3422" w:type="dxa"/>
            <w:vAlign w:val="center"/>
          </w:tcPr>
          <w:p w14:paraId="3BE35221" w14:textId="70978A14" w:rsidR="00DE6BD1" w:rsidRDefault="00DE6BD1" w:rsidP="00D85BEF">
            <w:pPr>
              <w:rPr>
                <w:rFonts w:ascii="Calibri" w:hAnsi="Calibri" w:cs="Calibri"/>
              </w:rPr>
            </w:pPr>
            <w:r>
              <w:rPr>
                <w:rFonts w:ascii="Calibri" w:hAnsi="Calibri" w:cs="Calibri"/>
              </w:rPr>
              <w:t>The project budget is £14.0m with a final forecast of £15.3m.  This forecast reflects a lower value of surrenders received and a high value of approvals made throughout the year</w:t>
            </w:r>
            <w:r w:rsidR="00BF46B8">
              <w:rPr>
                <w:rFonts w:ascii="Calibri" w:hAnsi="Calibri" w:cs="Calibri"/>
              </w:rPr>
              <w:t xml:space="preserve"> but also reflects our ability to maximise spend from slippage in our programme funds</w:t>
            </w:r>
            <w:r>
              <w:rPr>
                <w:rFonts w:ascii="Calibri" w:hAnsi="Calibri" w:cs="Calibri"/>
              </w:rPr>
              <w:t xml:space="preserve">.  The Project Allocation Forecast Tracker does not include any ring-fenced funds so NRF, BPF, Peatlands, FIRNS and FwN are stripped out.  </w:t>
            </w:r>
          </w:p>
          <w:p w14:paraId="1AD2942E" w14:textId="77777777" w:rsidR="00DE6BD1" w:rsidRDefault="00DE6BD1" w:rsidP="00D85BEF">
            <w:pPr>
              <w:rPr>
                <w:rFonts w:ascii="Calibri" w:hAnsi="Calibri" w:cs="Calibri"/>
              </w:rPr>
            </w:pPr>
          </w:p>
          <w:p w14:paraId="1B8B7A89" w14:textId="7D26E4B8" w:rsidR="00DE6BD1" w:rsidRPr="00343ACD" w:rsidRDefault="00DE6BD1" w:rsidP="00D85BEF">
            <w:pPr>
              <w:rPr>
                <w:rFonts w:ascii="Calibri" w:hAnsi="Calibri" w:cs="Calibri"/>
              </w:rPr>
            </w:pPr>
            <w:r>
              <w:rPr>
                <w:rFonts w:ascii="Calibri" w:hAnsi="Calibri" w:cs="Calibri"/>
              </w:rPr>
              <w:t>The actuals for Paybill are currently £38.812m with the current forecast being £38.985m.  The</w:t>
            </w:r>
            <w:r w:rsidRPr="00D17C60">
              <w:rPr>
                <w:rFonts w:ascii="Calibri" w:hAnsi="Calibri" w:cs="Calibri"/>
              </w:rPr>
              <w:t xml:space="preserve"> flexi and holiday leave accrual is still to </w:t>
            </w:r>
            <w:r w:rsidR="00F02530">
              <w:rPr>
                <w:rFonts w:ascii="Calibri" w:hAnsi="Calibri" w:cs="Calibri"/>
              </w:rPr>
              <w:t xml:space="preserve">be </w:t>
            </w:r>
            <w:r w:rsidRPr="00D17C60">
              <w:rPr>
                <w:rFonts w:ascii="Calibri" w:hAnsi="Calibri" w:cs="Calibri"/>
              </w:rPr>
              <w:t xml:space="preserve">processed and therefore not included in the </w:t>
            </w:r>
            <w:r>
              <w:rPr>
                <w:rFonts w:ascii="Calibri" w:hAnsi="Calibri" w:cs="Calibri"/>
              </w:rPr>
              <w:t>actuals</w:t>
            </w:r>
            <w:r w:rsidRPr="00D17C60">
              <w:rPr>
                <w:rFonts w:ascii="Calibri" w:hAnsi="Calibri" w:cs="Calibri"/>
              </w:rPr>
              <w:t>.</w:t>
            </w:r>
            <w:r>
              <w:rPr>
                <w:rFonts w:ascii="Calibri" w:hAnsi="Calibri" w:cs="Calibri"/>
              </w:rPr>
              <w:t xml:space="preserve">  The costs will increase or decrease once this has been completed and included.</w:t>
            </w:r>
            <w:r>
              <w:rPr>
                <w:rStyle w:val="ui-provider"/>
              </w:rPr>
              <w:t xml:space="preserve">  </w:t>
            </w:r>
            <w:r>
              <w:rPr>
                <w:rFonts w:ascii="Calibri" w:hAnsi="Calibri" w:cs="Calibri"/>
              </w:rPr>
              <w:t xml:space="preserve"> </w:t>
            </w:r>
          </w:p>
        </w:tc>
      </w:tr>
    </w:tbl>
    <w:p w14:paraId="40415DE2" w14:textId="7007ABCF" w:rsidR="00283F5C" w:rsidRPr="00DE6BD1" w:rsidRDefault="00283F5C" w:rsidP="00DE6BD1">
      <w:pPr>
        <w:spacing w:after="0" w:line="240" w:lineRule="auto"/>
        <w:textAlignment w:val="baseline"/>
        <w:rPr>
          <w:rFonts w:ascii="Segoe UI" w:eastAsia="Times New Roman" w:hAnsi="Segoe UI" w:cs="Segoe UI"/>
          <w:sz w:val="22"/>
          <w:lang w:eastAsia="en-GB"/>
        </w:rPr>
      </w:pPr>
    </w:p>
    <w:p w14:paraId="2997D1C4" w14:textId="77777777" w:rsidR="00D86C60" w:rsidRPr="002336D3" w:rsidRDefault="00D86C60" w:rsidP="00D86C60">
      <w:pPr>
        <w:pStyle w:val="ListParagraph"/>
        <w:spacing w:line="240" w:lineRule="auto"/>
        <w:ind w:left="360"/>
        <w:rPr>
          <w:rFonts w:ascii="Calibri" w:hAnsi="Calibri" w:cs="Calibri"/>
          <w:szCs w:val="24"/>
        </w:rPr>
      </w:pPr>
      <w:r>
        <w:rPr>
          <w:rFonts w:ascii="Calibri" w:hAnsi="Calibri" w:cs="Calibri"/>
          <w:b/>
          <w:szCs w:val="24"/>
        </w:rPr>
        <w:t>Resource</w:t>
      </w:r>
      <w:r w:rsidRPr="002336D3">
        <w:rPr>
          <w:rFonts w:ascii="Calibri" w:hAnsi="Calibri" w:cs="Calibri"/>
          <w:b/>
          <w:szCs w:val="24"/>
        </w:rPr>
        <w:t xml:space="preserve"> Budget Performance</w:t>
      </w:r>
    </w:p>
    <w:p w14:paraId="6A63E547" w14:textId="0CB95D14" w:rsidR="00D86C60" w:rsidRDefault="00D86C60" w:rsidP="00D86C60">
      <w:pPr>
        <w:pStyle w:val="ListParagraph"/>
        <w:numPr>
          <w:ilvl w:val="0"/>
          <w:numId w:val="34"/>
        </w:numPr>
        <w:spacing w:line="240" w:lineRule="auto"/>
        <w:jc w:val="both"/>
        <w:rPr>
          <w:rFonts w:ascii="Calibri" w:hAnsi="Calibri" w:cs="Calibri"/>
          <w:szCs w:val="24"/>
        </w:rPr>
      </w:pPr>
      <w:r>
        <w:rPr>
          <w:rFonts w:ascii="Calibri" w:hAnsi="Calibri" w:cs="Calibri"/>
          <w:szCs w:val="24"/>
        </w:rPr>
        <w:t xml:space="preserve">The overspend on Core GIA is </w:t>
      </w:r>
      <w:r w:rsidR="003E74CD">
        <w:rPr>
          <w:rFonts w:ascii="Calibri" w:hAnsi="Calibri" w:cs="Calibri"/>
          <w:szCs w:val="24"/>
        </w:rPr>
        <w:t>balanced off</w:t>
      </w:r>
      <w:r>
        <w:rPr>
          <w:rFonts w:ascii="Calibri" w:hAnsi="Calibri" w:cs="Calibri"/>
          <w:szCs w:val="24"/>
        </w:rPr>
        <w:t xml:space="preserve"> by the underspend on Programme funding and Depreciation (although this is non-cash), resulting in the current positive overspend position. </w:t>
      </w:r>
      <w:r w:rsidR="00F02530">
        <w:rPr>
          <w:rFonts w:ascii="Calibri" w:hAnsi="Calibri" w:cs="Calibri"/>
          <w:szCs w:val="24"/>
        </w:rPr>
        <w:t>This reflects our agreement at the start of the year with Scottish Government to view Core and Programme spend as total available resource.</w:t>
      </w:r>
    </w:p>
    <w:p w14:paraId="155FC82F" w14:textId="77777777" w:rsidR="00D86C60" w:rsidRDefault="00D86C60" w:rsidP="00D86C60">
      <w:pPr>
        <w:pStyle w:val="ListParagraph"/>
        <w:numPr>
          <w:ilvl w:val="0"/>
          <w:numId w:val="34"/>
        </w:numPr>
        <w:spacing w:line="240" w:lineRule="auto"/>
        <w:jc w:val="both"/>
        <w:rPr>
          <w:rFonts w:ascii="Calibri" w:hAnsi="Calibri" w:cs="Calibri"/>
          <w:szCs w:val="24"/>
        </w:rPr>
      </w:pPr>
      <w:r>
        <w:rPr>
          <w:rFonts w:ascii="Calibri" w:hAnsi="Calibri" w:cs="Calibri"/>
          <w:szCs w:val="24"/>
        </w:rPr>
        <w:t xml:space="preserve">Although we are still reporting our position against the latest forecast, the adjusting period is due to complete on 12 April, and we will move to monitoring outturn against budget from 15 April.    </w:t>
      </w:r>
      <w:r w:rsidRPr="009D417E">
        <w:rPr>
          <w:rFonts w:ascii="Calibri" w:hAnsi="Calibri" w:cs="Calibri"/>
          <w:szCs w:val="24"/>
        </w:rPr>
        <w:t xml:space="preserve">  </w:t>
      </w:r>
    </w:p>
    <w:p w14:paraId="168F826D" w14:textId="77777777" w:rsidR="00D86C60" w:rsidRPr="001E2A15" w:rsidRDefault="00D86C60" w:rsidP="00D86C60">
      <w:pPr>
        <w:pStyle w:val="ListParagraph"/>
        <w:numPr>
          <w:ilvl w:val="0"/>
          <w:numId w:val="34"/>
        </w:numPr>
        <w:spacing w:after="120" w:line="240" w:lineRule="auto"/>
        <w:jc w:val="both"/>
        <w:rPr>
          <w:rFonts w:ascii="Calibri" w:hAnsi="Calibri" w:cs="Calibri"/>
          <w:szCs w:val="24"/>
        </w:rPr>
      </w:pPr>
      <w:r w:rsidRPr="001E2A15">
        <w:rPr>
          <w:rFonts w:ascii="Calibri" w:hAnsi="Calibri" w:cs="Calibri"/>
          <w:szCs w:val="24"/>
        </w:rPr>
        <w:t xml:space="preserve">Reflected within the </w:t>
      </w:r>
      <w:r>
        <w:rPr>
          <w:rFonts w:ascii="Calibri" w:hAnsi="Calibri" w:cs="Calibri"/>
          <w:szCs w:val="24"/>
        </w:rPr>
        <w:t xml:space="preserve">forecast </w:t>
      </w:r>
      <w:r w:rsidRPr="001E2A15">
        <w:rPr>
          <w:rFonts w:ascii="Calibri" w:hAnsi="Calibri" w:cs="Calibri"/>
          <w:szCs w:val="24"/>
        </w:rPr>
        <w:t>is an expense of £0.</w:t>
      </w:r>
      <w:r>
        <w:rPr>
          <w:rFonts w:ascii="Calibri" w:hAnsi="Calibri" w:cs="Calibri"/>
          <w:szCs w:val="24"/>
        </w:rPr>
        <w:t>483</w:t>
      </w:r>
      <w:r w:rsidRPr="001E2A15">
        <w:rPr>
          <w:rFonts w:ascii="Calibri" w:hAnsi="Calibri" w:cs="Calibri"/>
          <w:szCs w:val="24"/>
        </w:rPr>
        <w:t xml:space="preserve">m for an abandoned claim value relating to Structural Funds.  </w:t>
      </w:r>
    </w:p>
    <w:p w14:paraId="1A8B50CA" w14:textId="77777777" w:rsidR="00D86C60" w:rsidRPr="00444990" w:rsidRDefault="00D86C60" w:rsidP="00D86C60">
      <w:pPr>
        <w:pStyle w:val="ListParagraph"/>
        <w:numPr>
          <w:ilvl w:val="0"/>
          <w:numId w:val="34"/>
        </w:numPr>
        <w:spacing w:after="0" w:line="240" w:lineRule="auto"/>
        <w:jc w:val="both"/>
        <w:rPr>
          <w:szCs w:val="24"/>
        </w:rPr>
      </w:pPr>
      <w:r>
        <w:rPr>
          <w:rFonts w:ascii="Calibri" w:hAnsi="Calibri" w:cs="Calibri"/>
          <w:szCs w:val="24"/>
        </w:rPr>
        <w:t xml:space="preserve">We moved to using confidence levels against the Corporate Plan Objectives to identify financial risk / surrenders.  The aim was for the Objective Leads to manage and reduce the allocation for their Objective programme in line with budget by year end.  </w:t>
      </w:r>
    </w:p>
    <w:p w14:paraId="6DA709E8" w14:textId="77777777" w:rsidR="00D86C60" w:rsidRPr="001469D0" w:rsidRDefault="00D86C60" w:rsidP="00D86C60">
      <w:pPr>
        <w:pStyle w:val="ListParagraph"/>
        <w:numPr>
          <w:ilvl w:val="0"/>
          <w:numId w:val="34"/>
        </w:numPr>
        <w:spacing w:after="0" w:line="240" w:lineRule="auto"/>
        <w:jc w:val="both"/>
        <w:rPr>
          <w:szCs w:val="24"/>
        </w:rPr>
      </w:pPr>
      <w:r>
        <w:rPr>
          <w:rFonts w:ascii="Calibri" w:hAnsi="Calibri" w:cs="Calibri"/>
          <w:szCs w:val="24"/>
        </w:rPr>
        <w:t xml:space="preserve">Finance </w:t>
      </w:r>
      <w:r w:rsidRPr="00444990">
        <w:rPr>
          <w:rFonts w:ascii="Calibri" w:hAnsi="Calibri" w:cs="Calibri"/>
          <w:szCs w:val="24"/>
        </w:rPr>
        <w:t>team colleagues engage</w:t>
      </w:r>
      <w:r>
        <w:rPr>
          <w:rFonts w:ascii="Calibri" w:hAnsi="Calibri" w:cs="Calibri"/>
          <w:szCs w:val="24"/>
        </w:rPr>
        <w:t>d</w:t>
      </w:r>
      <w:r w:rsidRPr="00444990">
        <w:rPr>
          <w:rFonts w:ascii="Calibri" w:hAnsi="Calibri" w:cs="Calibri"/>
          <w:szCs w:val="24"/>
        </w:rPr>
        <w:t xml:space="preserve"> with Objective Leads</w:t>
      </w:r>
      <w:r>
        <w:rPr>
          <w:rFonts w:ascii="Calibri" w:hAnsi="Calibri" w:cs="Calibri"/>
          <w:szCs w:val="24"/>
        </w:rPr>
        <w:t xml:space="preserve"> monthly</w:t>
      </w:r>
      <w:r w:rsidRPr="00444990">
        <w:rPr>
          <w:rFonts w:ascii="Calibri" w:hAnsi="Calibri" w:cs="Calibri"/>
          <w:szCs w:val="24"/>
        </w:rPr>
        <w:t xml:space="preserve"> to </w:t>
      </w:r>
      <w:r>
        <w:rPr>
          <w:rFonts w:ascii="Calibri" w:hAnsi="Calibri" w:cs="Calibri"/>
          <w:szCs w:val="24"/>
        </w:rPr>
        <w:t>review</w:t>
      </w:r>
      <w:r w:rsidRPr="00444990">
        <w:rPr>
          <w:rFonts w:ascii="Calibri" w:hAnsi="Calibri" w:cs="Calibri"/>
          <w:szCs w:val="24"/>
        </w:rPr>
        <w:t xml:space="preserve"> progress and financial performance for their objectives</w:t>
      </w:r>
      <w:r>
        <w:rPr>
          <w:rFonts w:ascii="Calibri" w:hAnsi="Calibri" w:cs="Calibri"/>
          <w:szCs w:val="24"/>
        </w:rPr>
        <w:t>, advising them to make changes to the confidence level as commitments and spend progressed.</w:t>
      </w:r>
    </w:p>
    <w:p w14:paraId="2F82B814" w14:textId="77777777" w:rsidR="00D86C60" w:rsidRDefault="00D86C60" w:rsidP="00D86C60">
      <w:pPr>
        <w:pStyle w:val="ListParagraph"/>
        <w:numPr>
          <w:ilvl w:val="0"/>
          <w:numId w:val="34"/>
        </w:numPr>
        <w:spacing w:line="240" w:lineRule="auto"/>
        <w:jc w:val="both"/>
        <w:rPr>
          <w:rFonts w:ascii="Calibri" w:hAnsi="Calibri" w:cs="Calibri"/>
          <w:szCs w:val="24"/>
        </w:rPr>
      </w:pPr>
      <w:r>
        <w:rPr>
          <w:rFonts w:ascii="Calibri" w:hAnsi="Calibri" w:cs="Calibri"/>
          <w:szCs w:val="24"/>
        </w:rPr>
        <w:t xml:space="preserve">The current forecast for Paybill is £38.985m and the budget is £38.983m.  The </w:t>
      </w:r>
      <w:r w:rsidRPr="00060C0F">
        <w:rPr>
          <w:rFonts w:ascii="Calibri" w:hAnsi="Calibri" w:cs="Calibri"/>
          <w:szCs w:val="24"/>
        </w:rPr>
        <w:t xml:space="preserve">savings </w:t>
      </w:r>
      <w:r>
        <w:rPr>
          <w:rFonts w:ascii="Calibri" w:hAnsi="Calibri" w:cs="Calibri"/>
          <w:szCs w:val="24"/>
        </w:rPr>
        <w:t>made</w:t>
      </w:r>
      <w:r w:rsidRPr="00060C0F">
        <w:rPr>
          <w:rFonts w:ascii="Calibri" w:hAnsi="Calibri" w:cs="Calibri"/>
          <w:szCs w:val="24"/>
        </w:rPr>
        <w:t xml:space="preserve"> </w:t>
      </w:r>
      <w:r>
        <w:rPr>
          <w:rFonts w:ascii="Calibri" w:hAnsi="Calibri" w:cs="Calibri"/>
          <w:szCs w:val="24"/>
        </w:rPr>
        <w:t xml:space="preserve">over </w:t>
      </w:r>
      <w:r w:rsidRPr="00060C0F">
        <w:rPr>
          <w:rFonts w:ascii="Calibri" w:hAnsi="Calibri" w:cs="Calibri"/>
          <w:szCs w:val="24"/>
        </w:rPr>
        <w:t>the year</w:t>
      </w:r>
      <w:r>
        <w:rPr>
          <w:rFonts w:ascii="Calibri" w:hAnsi="Calibri" w:cs="Calibri"/>
          <w:szCs w:val="24"/>
        </w:rPr>
        <w:t xml:space="preserve"> helped achieve the current forecast position which matches the Paybill budget</w:t>
      </w:r>
      <w:r w:rsidRPr="00060C0F">
        <w:rPr>
          <w:rFonts w:ascii="Calibri" w:hAnsi="Calibri" w:cs="Calibri"/>
          <w:szCs w:val="24"/>
        </w:rPr>
        <w:t>.</w:t>
      </w:r>
    </w:p>
    <w:p w14:paraId="44DCAABC" w14:textId="77777777" w:rsidR="00D86C60" w:rsidRDefault="00D86C60" w:rsidP="00D86C60">
      <w:pPr>
        <w:pStyle w:val="ListParagraph"/>
        <w:numPr>
          <w:ilvl w:val="0"/>
          <w:numId w:val="34"/>
        </w:numPr>
        <w:spacing w:line="240" w:lineRule="auto"/>
        <w:jc w:val="both"/>
        <w:rPr>
          <w:rFonts w:ascii="Calibri" w:hAnsi="Calibri" w:cs="Calibri"/>
          <w:szCs w:val="24"/>
        </w:rPr>
      </w:pPr>
      <w:r w:rsidRPr="00060C0F">
        <w:rPr>
          <w:rFonts w:ascii="Calibri" w:hAnsi="Calibri" w:cs="Calibri"/>
          <w:szCs w:val="24"/>
        </w:rPr>
        <w:t xml:space="preserve">The Paybill outturn is currently </w:t>
      </w:r>
      <w:r>
        <w:rPr>
          <w:rFonts w:ascii="Calibri" w:hAnsi="Calibri" w:cs="Calibri"/>
          <w:szCs w:val="24"/>
        </w:rPr>
        <w:t xml:space="preserve">£38.812m but we are still working through the flexi and holiday leave accrual which will increase or decrease the overall Paybill cost.  </w:t>
      </w:r>
    </w:p>
    <w:p w14:paraId="608ED579" w14:textId="77777777" w:rsidR="00D86C60" w:rsidRPr="002336D3" w:rsidRDefault="00D86C60" w:rsidP="00D86C60">
      <w:pPr>
        <w:pStyle w:val="ListParagraph"/>
        <w:numPr>
          <w:ilvl w:val="0"/>
          <w:numId w:val="34"/>
        </w:numPr>
        <w:spacing w:line="240" w:lineRule="auto"/>
        <w:jc w:val="both"/>
        <w:rPr>
          <w:rFonts w:ascii="Calibri" w:hAnsi="Calibri" w:cs="Calibri"/>
          <w:szCs w:val="24"/>
        </w:rPr>
      </w:pPr>
      <w:r w:rsidRPr="002336D3">
        <w:rPr>
          <w:rFonts w:ascii="Calibri" w:hAnsi="Calibri" w:cs="Calibri"/>
          <w:szCs w:val="24"/>
        </w:rPr>
        <w:lastRenderedPageBreak/>
        <w:t>The budget</w:t>
      </w:r>
      <w:r>
        <w:rPr>
          <w:rFonts w:ascii="Calibri" w:hAnsi="Calibri" w:cs="Calibri"/>
          <w:szCs w:val="24"/>
        </w:rPr>
        <w:t xml:space="preserve"> management</w:t>
      </w:r>
      <w:r w:rsidRPr="002336D3">
        <w:rPr>
          <w:rFonts w:ascii="Calibri" w:hAnsi="Calibri" w:cs="Calibri"/>
          <w:szCs w:val="24"/>
        </w:rPr>
        <w:t xml:space="preserve"> exercise </w:t>
      </w:r>
      <w:r>
        <w:rPr>
          <w:rFonts w:ascii="Calibri" w:hAnsi="Calibri" w:cs="Calibri"/>
          <w:szCs w:val="24"/>
        </w:rPr>
        <w:t>began</w:t>
      </w:r>
      <w:r w:rsidRPr="002336D3">
        <w:rPr>
          <w:rFonts w:ascii="Calibri" w:hAnsi="Calibri" w:cs="Calibri"/>
          <w:szCs w:val="24"/>
        </w:rPr>
        <w:t xml:space="preserve"> in early Q2, challenging uncommitted budgets and ensuring that allocations are optimised with respect to high priority work consider</w:t>
      </w:r>
      <w:r>
        <w:rPr>
          <w:rFonts w:ascii="Calibri" w:hAnsi="Calibri" w:cs="Calibri"/>
          <w:szCs w:val="24"/>
        </w:rPr>
        <w:t>ed achievable during the remainder of the year</w:t>
      </w:r>
      <w:r w:rsidRPr="002336D3">
        <w:rPr>
          <w:rFonts w:ascii="Calibri" w:hAnsi="Calibri" w:cs="Calibri"/>
          <w:szCs w:val="24"/>
        </w:rPr>
        <w:t>.</w:t>
      </w:r>
    </w:p>
    <w:p w14:paraId="62A0615D" w14:textId="77777777" w:rsidR="00D86C60" w:rsidRPr="002336D3" w:rsidRDefault="00D86C60" w:rsidP="00D86C60">
      <w:pPr>
        <w:pStyle w:val="ListParagraph"/>
        <w:numPr>
          <w:ilvl w:val="0"/>
          <w:numId w:val="34"/>
        </w:numPr>
        <w:spacing w:line="240" w:lineRule="auto"/>
        <w:jc w:val="both"/>
        <w:rPr>
          <w:rFonts w:ascii="Calibri" w:hAnsi="Calibri" w:cs="Calibri"/>
          <w:szCs w:val="24"/>
        </w:rPr>
      </w:pPr>
      <w:r w:rsidRPr="002336D3">
        <w:rPr>
          <w:rFonts w:ascii="Calibri" w:hAnsi="Calibri" w:cs="Calibri"/>
          <w:szCs w:val="24"/>
        </w:rPr>
        <w:t>We continue</w:t>
      </w:r>
      <w:r>
        <w:rPr>
          <w:rFonts w:ascii="Calibri" w:hAnsi="Calibri" w:cs="Calibri"/>
          <w:szCs w:val="24"/>
        </w:rPr>
        <w:t>d</w:t>
      </w:r>
      <w:r w:rsidRPr="002336D3">
        <w:rPr>
          <w:rFonts w:ascii="Calibri" w:hAnsi="Calibri" w:cs="Calibri"/>
          <w:szCs w:val="24"/>
        </w:rPr>
        <w:t xml:space="preserve"> to monitor project surrenders</w:t>
      </w:r>
      <w:r>
        <w:rPr>
          <w:rFonts w:ascii="Calibri" w:hAnsi="Calibri" w:cs="Calibri"/>
          <w:szCs w:val="24"/>
        </w:rPr>
        <w:t xml:space="preserve"> throughout the year, using </w:t>
      </w:r>
      <w:r w:rsidRPr="002336D3">
        <w:rPr>
          <w:rFonts w:ascii="Calibri" w:hAnsi="Calibri" w:cs="Calibri"/>
          <w:szCs w:val="24"/>
        </w:rPr>
        <w:t xml:space="preserve">our knowledge and experience of previous slippage patterns to ensure </w:t>
      </w:r>
      <w:r>
        <w:rPr>
          <w:rFonts w:ascii="Calibri" w:hAnsi="Calibri" w:cs="Calibri"/>
          <w:szCs w:val="24"/>
        </w:rPr>
        <w:t xml:space="preserve">that appropriate </w:t>
      </w:r>
      <w:r w:rsidRPr="002336D3">
        <w:rPr>
          <w:rFonts w:ascii="Calibri" w:hAnsi="Calibri" w:cs="Calibri"/>
          <w:szCs w:val="24"/>
        </w:rPr>
        <w:t xml:space="preserve">demand </w:t>
      </w:r>
      <w:r>
        <w:rPr>
          <w:rFonts w:ascii="Calibri" w:hAnsi="Calibri" w:cs="Calibri"/>
          <w:szCs w:val="24"/>
        </w:rPr>
        <w:t>wa</w:t>
      </w:r>
      <w:r w:rsidRPr="002336D3">
        <w:rPr>
          <w:rFonts w:ascii="Calibri" w:hAnsi="Calibri" w:cs="Calibri"/>
          <w:szCs w:val="24"/>
        </w:rPr>
        <w:t xml:space="preserve">s ready to allocate when funds become available.  </w:t>
      </w:r>
    </w:p>
    <w:p w14:paraId="3DC427E5" w14:textId="77777777" w:rsidR="00D86C60" w:rsidRDefault="00D86C60" w:rsidP="00D86C60">
      <w:pPr>
        <w:pStyle w:val="ListParagraph"/>
        <w:spacing w:line="240" w:lineRule="auto"/>
        <w:jc w:val="both"/>
        <w:rPr>
          <w:rFonts w:ascii="Calibri" w:hAnsi="Calibri" w:cs="Calibri"/>
          <w:szCs w:val="24"/>
        </w:rPr>
      </w:pPr>
    </w:p>
    <w:p w14:paraId="0EFD9F29" w14:textId="77777777" w:rsidR="00D86C60" w:rsidRDefault="00D86C60" w:rsidP="00D86C60">
      <w:pPr>
        <w:keepNext/>
        <w:keepLines/>
        <w:spacing w:line="240" w:lineRule="auto"/>
        <w:ind w:left="360"/>
        <w:contextualSpacing/>
        <w:outlineLvl w:val="1"/>
        <w:rPr>
          <w:rFonts w:ascii="Calibri" w:eastAsia="Times New Roman" w:hAnsi="Calibri" w:cs="Calibri"/>
          <w:b/>
          <w:szCs w:val="24"/>
        </w:rPr>
      </w:pPr>
      <w:r>
        <w:rPr>
          <w:rFonts w:ascii="Calibri" w:eastAsia="Times New Roman" w:hAnsi="Calibri" w:cs="Calibri"/>
          <w:b/>
          <w:szCs w:val="24"/>
        </w:rPr>
        <w:t>Programme funding including Indirect Capital</w:t>
      </w:r>
    </w:p>
    <w:p w14:paraId="32CFA197" w14:textId="3E759285" w:rsidR="00D86C60" w:rsidRDefault="00D86C60" w:rsidP="00D86C60">
      <w:pPr>
        <w:pStyle w:val="ListParagraph"/>
        <w:numPr>
          <w:ilvl w:val="0"/>
          <w:numId w:val="35"/>
        </w:numPr>
        <w:spacing w:line="240" w:lineRule="auto"/>
        <w:ind w:left="714" w:hanging="357"/>
        <w:jc w:val="both"/>
        <w:rPr>
          <w:rFonts w:ascii="Calibri" w:hAnsi="Calibri" w:cs="Calibri"/>
          <w:szCs w:val="24"/>
        </w:rPr>
      </w:pPr>
      <w:r>
        <w:rPr>
          <w:rFonts w:ascii="Calibri" w:hAnsi="Calibri" w:cs="Calibri"/>
          <w:szCs w:val="24"/>
        </w:rPr>
        <w:t>An overall underspend on Indirect Capital of £1.</w:t>
      </w:r>
      <w:r w:rsidR="00C3117B">
        <w:rPr>
          <w:rFonts w:ascii="Calibri" w:hAnsi="Calibri" w:cs="Calibri"/>
          <w:szCs w:val="24"/>
        </w:rPr>
        <w:t>691</w:t>
      </w:r>
      <w:r>
        <w:rPr>
          <w:rFonts w:ascii="Calibri" w:hAnsi="Calibri" w:cs="Calibri"/>
          <w:szCs w:val="24"/>
        </w:rPr>
        <w:t>m is forecast.</w:t>
      </w:r>
    </w:p>
    <w:p w14:paraId="6276F273" w14:textId="77777777" w:rsidR="00D86C60" w:rsidRPr="008F472C" w:rsidRDefault="00D86C60" w:rsidP="00D86C60">
      <w:pPr>
        <w:pStyle w:val="ListParagraph"/>
        <w:numPr>
          <w:ilvl w:val="0"/>
          <w:numId w:val="35"/>
        </w:numPr>
        <w:spacing w:after="0" w:line="240" w:lineRule="auto"/>
        <w:jc w:val="both"/>
        <w:rPr>
          <w:rFonts w:ascii="Calibri" w:hAnsi="Calibri" w:cs="Calibri"/>
          <w:szCs w:val="24"/>
        </w:rPr>
      </w:pPr>
      <w:r w:rsidRPr="008F472C">
        <w:rPr>
          <w:rFonts w:ascii="Calibri" w:hAnsi="Calibri" w:cs="Calibri"/>
          <w:szCs w:val="24"/>
        </w:rPr>
        <w:t xml:space="preserve">Peatlands </w:t>
      </w:r>
      <w:r>
        <w:rPr>
          <w:rFonts w:ascii="Calibri" w:hAnsi="Calibri" w:cs="Calibri"/>
          <w:szCs w:val="24"/>
        </w:rPr>
        <w:t xml:space="preserve">total </w:t>
      </w:r>
      <w:r w:rsidRPr="008F472C">
        <w:rPr>
          <w:rFonts w:ascii="Calibri" w:hAnsi="Calibri" w:cs="Calibri"/>
          <w:szCs w:val="24"/>
        </w:rPr>
        <w:t>expected outturn (</w:t>
      </w:r>
      <w:r>
        <w:rPr>
          <w:rFonts w:ascii="Calibri" w:hAnsi="Calibri" w:cs="Calibri"/>
          <w:szCs w:val="24"/>
        </w:rPr>
        <w:t>R</w:t>
      </w:r>
      <w:r w:rsidRPr="008F472C">
        <w:rPr>
          <w:rFonts w:ascii="Calibri" w:hAnsi="Calibri" w:cs="Calibri"/>
          <w:szCs w:val="24"/>
        </w:rPr>
        <w:t xml:space="preserve">esource and </w:t>
      </w:r>
      <w:r>
        <w:rPr>
          <w:rFonts w:ascii="Calibri" w:hAnsi="Calibri" w:cs="Calibri"/>
          <w:szCs w:val="24"/>
        </w:rPr>
        <w:t>I</w:t>
      </w:r>
      <w:r w:rsidRPr="008F472C">
        <w:rPr>
          <w:rFonts w:ascii="Calibri" w:hAnsi="Calibri" w:cs="Calibri"/>
          <w:szCs w:val="24"/>
        </w:rPr>
        <w:t xml:space="preserve">ndirect </w:t>
      </w:r>
      <w:r>
        <w:rPr>
          <w:rFonts w:ascii="Calibri" w:hAnsi="Calibri" w:cs="Calibri"/>
          <w:szCs w:val="24"/>
        </w:rPr>
        <w:t>C</w:t>
      </w:r>
      <w:r w:rsidRPr="008F472C">
        <w:rPr>
          <w:rFonts w:ascii="Calibri" w:hAnsi="Calibri" w:cs="Calibri"/>
          <w:szCs w:val="24"/>
        </w:rPr>
        <w:t xml:space="preserve">apital) </w:t>
      </w:r>
      <w:r>
        <w:rPr>
          <w:rFonts w:ascii="Calibri" w:hAnsi="Calibri" w:cs="Calibri"/>
          <w:szCs w:val="24"/>
        </w:rPr>
        <w:t>is</w:t>
      </w:r>
      <w:r w:rsidRPr="008F472C">
        <w:rPr>
          <w:rFonts w:ascii="Calibri" w:hAnsi="Calibri" w:cs="Calibri"/>
          <w:szCs w:val="24"/>
        </w:rPr>
        <w:t xml:space="preserve"> £1</w:t>
      </w:r>
      <w:r>
        <w:rPr>
          <w:rFonts w:ascii="Calibri" w:hAnsi="Calibri" w:cs="Calibri"/>
          <w:szCs w:val="24"/>
        </w:rPr>
        <w:t>2</w:t>
      </w:r>
      <w:r w:rsidRPr="008F472C">
        <w:rPr>
          <w:rFonts w:ascii="Calibri" w:hAnsi="Calibri" w:cs="Calibri"/>
          <w:szCs w:val="24"/>
        </w:rPr>
        <w:t>.</w:t>
      </w:r>
      <w:r>
        <w:rPr>
          <w:rFonts w:ascii="Calibri" w:hAnsi="Calibri" w:cs="Calibri"/>
          <w:szCs w:val="24"/>
        </w:rPr>
        <w:t>711</w:t>
      </w:r>
      <w:r w:rsidRPr="008F472C">
        <w:rPr>
          <w:rFonts w:ascii="Calibri" w:hAnsi="Calibri" w:cs="Calibri"/>
          <w:szCs w:val="24"/>
        </w:rPr>
        <w:t>m, an underspend of £1.</w:t>
      </w:r>
      <w:r>
        <w:rPr>
          <w:rFonts w:ascii="Calibri" w:hAnsi="Calibri" w:cs="Calibri"/>
          <w:szCs w:val="24"/>
        </w:rPr>
        <w:t>539</w:t>
      </w:r>
      <w:r w:rsidRPr="008F472C">
        <w:rPr>
          <w:rFonts w:ascii="Calibri" w:hAnsi="Calibri" w:cs="Calibri"/>
          <w:szCs w:val="24"/>
        </w:rPr>
        <w:t xml:space="preserve">m </w:t>
      </w:r>
      <w:r>
        <w:rPr>
          <w:rFonts w:ascii="Calibri" w:hAnsi="Calibri" w:cs="Calibri"/>
          <w:szCs w:val="24"/>
        </w:rPr>
        <w:t xml:space="preserve">(£0.556m on Resource and £0.983m on Indirect Capital) </w:t>
      </w:r>
      <w:r w:rsidRPr="008F472C">
        <w:rPr>
          <w:rFonts w:ascii="Calibri" w:hAnsi="Calibri" w:cs="Calibri"/>
          <w:szCs w:val="24"/>
        </w:rPr>
        <w:t>against the budget of £14.250m</w:t>
      </w:r>
      <w:r>
        <w:rPr>
          <w:rFonts w:ascii="Calibri" w:hAnsi="Calibri" w:cs="Calibri"/>
          <w:szCs w:val="24"/>
        </w:rPr>
        <w:t xml:space="preserve">.  </w:t>
      </w:r>
    </w:p>
    <w:p w14:paraId="08400264" w14:textId="77777777" w:rsidR="00D86C60" w:rsidRPr="008F472C" w:rsidRDefault="00D86C60" w:rsidP="00D86C60">
      <w:pPr>
        <w:pStyle w:val="ListParagraph"/>
        <w:numPr>
          <w:ilvl w:val="0"/>
          <w:numId w:val="35"/>
        </w:numPr>
        <w:spacing w:after="0" w:line="240" w:lineRule="auto"/>
        <w:jc w:val="both"/>
        <w:rPr>
          <w:rFonts w:ascii="Calibri" w:hAnsi="Calibri" w:cs="Calibri"/>
          <w:szCs w:val="24"/>
        </w:rPr>
      </w:pPr>
      <w:r w:rsidRPr="008F472C">
        <w:rPr>
          <w:rFonts w:ascii="Calibri" w:hAnsi="Calibri" w:cs="Calibri"/>
          <w:szCs w:val="24"/>
        </w:rPr>
        <w:t>Nature Restoration Fund expected outturn is £7.</w:t>
      </w:r>
      <w:r>
        <w:rPr>
          <w:rFonts w:ascii="Calibri" w:hAnsi="Calibri" w:cs="Calibri"/>
          <w:szCs w:val="24"/>
        </w:rPr>
        <w:t>526</w:t>
      </w:r>
      <w:r w:rsidRPr="008F472C">
        <w:rPr>
          <w:rFonts w:ascii="Calibri" w:hAnsi="Calibri" w:cs="Calibri"/>
          <w:szCs w:val="24"/>
        </w:rPr>
        <w:t>m, an underspend of £0.</w:t>
      </w:r>
      <w:r>
        <w:rPr>
          <w:rFonts w:ascii="Calibri" w:hAnsi="Calibri" w:cs="Calibri"/>
          <w:szCs w:val="24"/>
        </w:rPr>
        <w:t>824</w:t>
      </w:r>
      <w:r w:rsidRPr="008F472C">
        <w:rPr>
          <w:rFonts w:ascii="Calibri" w:hAnsi="Calibri" w:cs="Calibri"/>
          <w:szCs w:val="24"/>
        </w:rPr>
        <w:t>m</w:t>
      </w:r>
      <w:r>
        <w:rPr>
          <w:rFonts w:ascii="Calibri" w:hAnsi="Calibri" w:cs="Calibri"/>
          <w:szCs w:val="24"/>
        </w:rPr>
        <w:t xml:space="preserve"> (£0.062m on Resource and £0.762m on Indirect Capital) </w:t>
      </w:r>
      <w:r w:rsidRPr="008F472C">
        <w:rPr>
          <w:rFonts w:ascii="Calibri" w:hAnsi="Calibri" w:cs="Calibri"/>
          <w:szCs w:val="24"/>
        </w:rPr>
        <w:t>against the budget of £8.350m.</w:t>
      </w:r>
    </w:p>
    <w:p w14:paraId="1AA87D4A" w14:textId="77777777" w:rsidR="00D86C60" w:rsidRPr="008F472C" w:rsidRDefault="00D86C60" w:rsidP="00D86C60">
      <w:pPr>
        <w:pStyle w:val="ListParagraph"/>
        <w:numPr>
          <w:ilvl w:val="0"/>
          <w:numId w:val="35"/>
        </w:numPr>
        <w:spacing w:after="0" w:line="240" w:lineRule="auto"/>
        <w:jc w:val="both"/>
        <w:rPr>
          <w:rFonts w:ascii="Calibri" w:hAnsi="Calibri" w:cs="Calibri"/>
          <w:szCs w:val="24"/>
        </w:rPr>
      </w:pPr>
      <w:r w:rsidRPr="008F472C">
        <w:rPr>
          <w:rFonts w:ascii="Calibri" w:hAnsi="Calibri" w:cs="Calibri"/>
          <w:szCs w:val="24"/>
        </w:rPr>
        <w:t>Better Places Fund outturn is £0.866m, an underspend of £0.034m against the budget of £0.900m.</w:t>
      </w:r>
    </w:p>
    <w:p w14:paraId="4CDB33E2" w14:textId="77777777" w:rsidR="00D86C60" w:rsidRPr="008F472C" w:rsidRDefault="00D86C60" w:rsidP="00D86C60">
      <w:pPr>
        <w:pStyle w:val="ListParagraph"/>
        <w:numPr>
          <w:ilvl w:val="0"/>
          <w:numId w:val="35"/>
        </w:numPr>
        <w:spacing w:after="0" w:line="240" w:lineRule="auto"/>
        <w:jc w:val="both"/>
        <w:rPr>
          <w:rFonts w:ascii="Calibri" w:hAnsi="Calibri" w:cs="Calibri"/>
          <w:szCs w:val="24"/>
        </w:rPr>
      </w:pPr>
      <w:r w:rsidRPr="008F472C">
        <w:rPr>
          <w:rFonts w:ascii="Calibri" w:hAnsi="Calibri" w:cs="Calibri"/>
          <w:szCs w:val="24"/>
        </w:rPr>
        <w:t>Farming with Nature expected outturn is £1.9</w:t>
      </w:r>
      <w:r>
        <w:rPr>
          <w:rFonts w:ascii="Calibri" w:hAnsi="Calibri" w:cs="Calibri"/>
          <w:szCs w:val="24"/>
        </w:rPr>
        <w:t>51</w:t>
      </w:r>
      <w:r w:rsidRPr="008F472C">
        <w:rPr>
          <w:rFonts w:ascii="Calibri" w:hAnsi="Calibri" w:cs="Calibri"/>
          <w:szCs w:val="24"/>
        </w:rPr>
        <w:t>m, an underspend of £0.</w:t>
      </w:r>
      <w:r>
        <w:rPr>
          <w:rFonts w:ascii="Calibri" w:hAnsi="Calibri" w:cs="Calibri"/>
          <w:szCs w:val="24"/>
        </w:rPr>
        <w:t>119</w:t>
      </w:r>
      <w:r w:rsidRPr="008F472C">
        <w:rPr>
          <w:rFonts w:ascii="Calibri" w:hAnsi="Calibri" w:cs="Calibri"/>
          <w:szCs w:val="24"/>
        </w:rPr>
        <w:t>m against a budget of £2.070m.</w:t>
      </w:r>
    </w:p>
    <w:p w14:paraId="10624131" w14:textId="77777777" w:rsidR="00D86C60" w:rsidRPr="008F472C" w:rsidRDefault="00D86C60" w:rsidP="00D86C60">
      <w:pPr>
        <w:pStyle w:val="ListParagraph"/>
        <w:numPr>
          <w:ilvl w:val="0"/>
          <w:numId w:val="35"/>
        </w:numPr>
        <w:spacing w:after="0" w:line="240" w:lineRule="auto"/>
        <w:jc w:val="both"/>
        <w:rPr>
          <w:rFonts w:ascii="Calibri" w:hAnsi="Calibri" w:cs="Calibri"/>
          <w:szCs w:val="24"/>
        </w:rPr>
      </w:pPr>
      <w:r w:rsidRPr="008F472C">
        <w:rPr>
          <w:rFonts w:ascii="Calibri" w:hAnsi="Calibri" w:cs="Calibri"/>
          <w:szCs w:val="24"/>
        </w:rPr>
        <w:t>The Facility for Investment Ready Nature in Scotland (FIRNS) expected outturn is £1.</w:t>
      </w:r>
      <w:r>
        <w:rPr>
          <w:rFonts w:ascii="Calibri" w:hAnsi="Calibri" w:cs="Calibri"/>
          <w:szCs w:val="24"/>
        </w:rPr>
        <w:t>532</w:t>
      </w:r>
      <w:r w:rsidRPr="008F472C">
        <w:rPr>
          <w:rFonts w:ascii="Calibri" w:hAnsi="Calibri" w:cs="Calibri"/>
          <w:szCs w:val="24"/>
        </w:rPr>
        <w:t>m, an underspend of £0.2</w:t>
      </w:r>
      <w:r>
        <w:rPr>
          <w:rFonts w:ascii="Calibri" w:hAnsi="Calibri" w:cs="Calibri"/>
          <w:szCs w:val="24"/>
        </w:rPr>
        <w:t>68</w:t>
      </w:r>
      <w:r w:rsidRPr="008F472C">
        <w:rPr>
          <w:rFonts w:ascii="Calibri" w:hAnsi="Calibri" w:cs="Calibri"/>
          <w:szCs w:val="24"/>
        </w:rPr>
        <w:t>m against a budget of £1.8m.</w:t>
      </w:r>
    </w:p>
    <w:p w14:paraId="246BB158" w14:textId="77777777" w:rsidR="00D86C60" w:rsidRDefault="00D86C60" w:rsidP="00D86C60">
      <w:pPr>
        <w:pStyle w:val="ListParagraph"/>
        <w:spacing w:line="240" w:lineRule="auto"/>
        <w:jc w:val="both"/>
        <w:rPr>
          <w:rFonts w:ascii="Calibri" w:hAnsi="Calibri" w:cs="Calibri"/>
          <w:szCs w:val="24"/>
        </w:rPr>
      </w:pPr>
    </w:p>
    <w:p w14:paraId="527F4DD1" w14:textId="77777777" w:rsidR="00D86C60" w:rsidRPr="001E2A15" w:rsidRDefault="00D86C60" w:rsidP="00D86C60">
      <w:pPr>
        <w:keepNext/>
        <w:keepLines/>
        <w:spacing w:line="240" w:lineRule="auto"/>
        <w:ind w:left="360"/>
        <w:contextualSpacing/>
        <w:outlineLvl w:val="1"/>
        <w:rPr>
          <w:rFonts w:ascii="Calibri" w:eastAsia="Times New Roman" w:hAnsi="Calibri" w:cs="Calibri"/>
          <w:szCs w:val="24"/>
        </w:rPr>
      </w:pPr>
      <w:r w:rsidRPr="001E2A15">
        <w:rPr>
          <w:rFonts w:ascii="Calibri" w:eastAsia="Times New Roman" w:hAnsi="Calibri" w:cs="Calibri"/>
          <w:b/>
          <w:szCs w:val="24"/>
        </w:rPr>
        <w:t>Structural Funds Programmes</w:t>
      </w:r>
    </w:p>
    <w:p w14:paraId="78D92463" w14:textId="77777777" w:rsidR="00D86C60" w:rsidRPr="00A428A7" w:rsidRDefault="00D86C60" w:rsidP="00D86C60">
      <w:pPr>
        <w:pStyle w:val="ListParagraph"/>
        <w:numPr>
          <w:ilvl w:val="0"/>
          <w:numId w:val="36"/>
        </w:numPr>
        <w:spacing w:after="120" w:line="240" w:lineRule="auto"/>
        <w:jc w:val="both"/>
      </w:pPr>
      <w:r w:rsidRPr="00A428A7">
        <w:rPr>
          <w:rFonts w:ascii="Calibri" w:hAnsi="Calibri" w:cs="Calibri"/>
          <w:szCs w:val="24"/>
        </w:rPr>
        <w:t>Final payments to grantees were made before the deadline of 31 December 2023.  NatureScot has met further deadlines of 31 January to submit the final claims and 31 March for all claim evidence to be submitted the Managing Authority.</w:t>
      </w:r>
      <w:r>
        <w:rPr>
          <w:rFonts w:ascii="Calibri" w:hAnsi="Calibri" w:cs="Calibri"/>
          <w:szCs w:val="24"/>
        </w:rPr>
        <w:t xml:space="preserve"> </w:t>
      </w:r>
      <w:r w:rsidRPr="00A428A7">
        <w:rPr>
          <w:rFonts w:ascii="Calibri" w:hAnsi="Calibri" w:cs="Calibri"/>
          <w:szCs w:val="24"/>
        </w:rPr>
        <w:t> The S</w:t>
      </w:r>
      <w:r>
        <w:rPr>
          <w:rFonts w:ascii="Calibri" w:hAnsi="Calibri" w:cs="Calibri"/>
          <w:szCs w:val="24"/>
        </w:rPr>
        <w:t xml:space="preserve">tructural </w:t>
      </w:r>
      <w:r w:rsidRPr="00A428A7">
        <w:rPr>
          <w:rFonts w:ascii="Calibri" w:hAnsi="Calibri" w:cs="Calibri"/>
          <w:szCs w:val="24"/>
        </w:rPr>
        <w:t>F</w:t>
      </w:r>
      <w:r>
        <w:rPr>
          <w:rFonts w:ascii="Calibri" w:hAnsi="Calibri" w:cs="Calibri"/>
          <w:szCs w:val="24"/>
        </w:rPr>
        <w:t>unds</w:t>
      </w:r>
      <w:r w:rsidRPr="00A428A7">
        <w:rPr>
          <w:rFonts w:ascii="Calibri" w:hAnsi="Calibri" w:cs="Calibri"/>
          <w:szCs w:val="24"/>
        </w:rPr>
        <w:t xml:space="preserve"> claim value being £22,192,640 subject to verification checks, with reimbursement to be made by 30 June 2024. </w:t>
      </w:r>
    </w:p>
    <w:p w14:paraId="3D55E586" w14:textId="77777777" w:rsidR="00D86C60" w:rsidRPr="001E2A15" w:rsidRDefault="00D86C60" w:rsidP="00D86C60">
      <w:pPr>
        <w:pStyle w:val="ListParagraph"/>
        <w:numPr>
          <w:ilvl w:val="0"/>
          <w:numId w:val="36"/>
        </w:numPr>
        <w:spacing w:after="120" w:line="240" w:lineRule="auto"/>
        <w:jc w:val="both"/>
        <w:rPr>
          <w:rFonts w:ascii="Calibri" w:hAnsi="Calibri" w:cs="Calibri"/>
          <w:szCs w:val="24"/>
        </w:rPr>
      </w:pPr>
      <w:r w:rsidRPr="001E2A15">
        <w:rPr>
          <w:rFonts w:ascii="Calibri" w:hAnsi="Calibri" w:cs="Calibri"/>
          <w:szCs w:val="24"/>
        </w:rPr>
        <w:t xml:space="preserve">Reflected within the </w:t>
      </w:r>
      <w:r>
        <w:rPr>
          <w:rFonts w:ascii="Calibri" w:hAnsi="Calibri" w:cs="Calibri"/>
          <w:szCs w:val="24"/>
        </w:rPr>
        <w:t xml:space="preserve">forecast for the resource budget </w:t>
      </w:r>
      <w:r w:rsidRPr="001E2A15">
        <w:rPr>
          <w:rFonts w:ascii="Calibri" w:hAnsi="Calibri" w:cs="Calibri"/>
          <w:szCs w:val="24"/>
        </w:rPr>
        <w:t>is an expense of £0.</w:t>
      </w:r>
      <w:r>
        <w:rPr>
          <w:rFonts w:ascii="Calibri" w:hAnsi="Calibri" w:cs="Calibri"/>
          <w:szCs w:val="24"/>
        </w:rPr>
        <w:t>483</w:t>
      </w:r>
      <w:r w:rsidRPr="001E2A15">
        <w:rPr>
          <w:rFonts w:ascii="Calibri" w:hAnsi="Calibri" w:cs="Calibri"/>
          <w:szCs w:val="24"/>
        </w:rPr>
        <w:t xml:space="preserve">m for an abandoned claim value relating to Structural Funds.  The Managing Authority changed the advice provided for apportionment after we had agreed contracts with our grantees.  This leaves us unable to recover this sum from ERDF or from the recipients.  </w:t>
      </w:r>
    </w:p>
    <w:p w14:paraId="23530D63" w14:textId="77777777" w:rsidR="00D86C60" w:rsidRDefault="00D86C60" w:rsidP="00D86C60">
      <w:pPr>
        <w:pStyle w:val="ListParagraph"/>
        <w:spacing w:after="120" w:line="240" w:lineRule="auto"/>
        <w:ind w:left="714"/>
        <w:jc w:val="both"/>
        <w:rPr>
          <w:rFonts w:ascii="Calibri" w:hAnsi="Calibri" w:cs="Calibri"/>
          <w:szCs w:val="24"/>
          <w:highlight w:val="yellow"/>
        </w:rPr>
      </w:pPr>
    </w:p>
    <w:p w14:paraId="44356249" w14:textId="77777777" w:rsidR="00D86C60" w:rsidRPr="002336D3" w:rsidRDefault="00D86C60" w:rsidP="00D86C60">
      <w:pPr>
        <w:keepNext/>
        <w:keepLines/>
        <w:spacing w:line="240" w:lineRule="auto"/>
        <w:ind w:left="360"/>
        <w:contextualSpacing/>
        <w:outlineLvl w:val="1"/>
        <w:rPr>
          <w:rFonts w:ascii="Calibri" w:eastAsia="Times New Roman" w:hAnsi="Calibri" w:cs="Calibri"/>
          <w:szCs w:val="24"/>
        </w:rPr>
      </w:pPr>
      <w:r w:rsidRPr="002336D3">
        <w:rPr>
          <w:rFonts w:ascii="Calibri" w:eastAsia="Times New Roman" w:hAnsi="Calibri" w:cs="Calibri"/>
          <w:b/>
          <w:szCs w:val="24"/>
        </w:rPr>
        <w:t>Capital Budget Performance</w:t>
      </w:r>
    </w:p>
    <w:p w14:paraId="4F0863C2" w14:textId="10380A51" w:rsidR="00D86C60" w:rsidRPr="00483631" w:rsidRDefault="00D86C60" w:rsidP="00D86C60">
      <w:pPr>
        <w:pStyle w:val="ListParagraph"/>
        <w:numPr>
          <w:ilvl w:val="0"/>
          <w:numId w:val="36"/>
        </w:numPr>
        <w:spacing w:after="120" w:line="240" w:lineRule="auto"/>
        <w:ind w:left="714" w:hanging="357"/>
        <w:jc w:val="both"/>
        <w:rPr>
          <w:rFonts w:ascii="Calibri" w:hAnsi="Calibri" w:cs="Calibri"/>
          <w:szCs w:val="24"/>
        </w:rPr>
      </w:pPr>
      <w:r w:rsidRPr="00483631">
        <w:rPr>
          <w:rFonts w:ascii="Calibri" w:hAnsi="Calibri" w:cs="Calibri"/>
          <w:szCs w:val="24"/>
        </w:rPr>
        <w:t>Our forecast on Capital is an underspend of £0.36</w:t>
      </w:r>
      <w:r w:rsidR="00C3117B">
        <w:rPr>
          <w:rFonts w:ascii="Calibri" w:hAnsi="Calibri" w:cs="Calibri"/>
          <w:szCs w:val="24"/>
        </w:rPr>
        <w:t>7</w:t>
      </w:r>
      <w:r w:rsidRPr="00483631">
        <w:rPr>
          <w:rFonts w:ascii="Calibri" w:hAnsi="Calibri" w:cs="Calibri"/>
          <w:szCs w:val="24"/>
        </w:rPr>
        <w:t xml:space="preserve">m.  </w:t>
      </w:r>
    </w:p>
    <w:p w14:paraId="0FE7F022" w14:textId="332A554D" w:rsidR="00D86C60" w:rsidRPr="00483631" w:rsidRDefault="00D86C60" w:rsidP="00D86C60">
      <w:pPr>
        <w:pStyle w:val="ListParagraph"/>
        <w:numPr>
          <w:ilvl w:val="0"/>
          <w:numId w:val="36"/>
        </w:numPr>
        <w:spacing w:after="120" w:line="240" w:lineRule="auto"/>
        <w:ind w:left="714" w:hanging="357"/>
        <w:jc w:val="both"/>
        <w:rPr>
          <w:rFonts w:ascii="Calibri" w:hAnsi="Calibri" w:cs="Calibri"/>
          <w:szCs w:val="24"/>
        </w:rPr>
      </w:pPr>
      <w:r w:rsidRPr="00483631">
        <w:rPr>
          <w:rFonts w:ascii="Calibri" w:hAnsi="Calibri" w:cs="Calibri"/>
          <w:szCs w:val="24"/>
        </w:rPr>
        <w:t xml:space="preserve">We have reported an underspend to SG in </w:t>
      </w:r>
      <w:r>
        <w:rPr>
          <w:rFonts w:ascii="Calibri" w:hAnsi="Calibri" w:cs="Calibri"/>
          <w:szCs w:val="24"/>
        </w:rPr>
        <w:t xml:space="preserve">the </w:t>
      </w:r>
      <w:r w:rsidRPr="00483631">
        <w:rPr>
          <w:rFonts w:ascii="Calibri" w:hAnsi="Calibri" w:cs="Calibri"/>
          <w:szCs w:val="24"/>
        </w:rPr>
        <w:t>Feb</w:t>
      </w:r>
      <w:r>
        <w:rPr>
          <w:rFonts w:ascii="Calibri" w:hAnsi="Calibri" w:cs="Calibri"/>
          <w:szCs w:val="24"/>
        </w:rPr>
        <w:t xml:space="preserve">ruary </w:t>
      </w:r>
      <w:r w:rsidRPr="00483631">
        <w:rPr>
          <w:rFonts w:ascii="Calibri" w:hAnsi="Calibri" w:cs="Calibri"/>
          <w:szCs w:val="24"/>
        </w:rPr>
        <w:t>B</w:t>
      </w:r>
      <w:r>
        <w:rPr>
          <w:rFonts w:ascii="Calibri" w:hAnsi="Calibri" w:cs="Calibri"/>
          <w:szCs w:val="24"/>
        </w:rPr>
        <w:t xml:space="preserve">udget </w:t>
      </w:r>
      <w:r w:rsidRPr="00483631">
        <w:rPr>
          <w:rFonts w:ascii="Calibri" w:hAnsi="Calibri" w:cs="Calibri"/>
          <w:szCs w:val="24"/>
        </w:rPr>
        <w:t>M</w:t>
      </w:r>
      <w:r>
        <w:rPr>
          <w:rFonts w:ascii="Calibri" w:hAnsi="Calibri" w:cs="Calibri"/>
          <w:szCs w:val="24"/>
        </w:rPr>
        <w:t xml:space="preserve">onitoring </w:t>
      </w:r>
      <w:r w:rsidRPr="00483631">
        <w:rPr>
          <w:rFonts w:ascii="Calibri" w:hAnsi="Calibri" w:cs="Calibri"/>
          <w:szCs w:val="24"/>
        </w:rPr>
        <w:t>R</w:t>
      </w:r>
      <w:r>
        <w:rPr>
          <w:rFonts w:ascii="Calibri" w:hAnsi="Calibri" w:cs="Calibri"/>
          <w:szCs w:val="24"/>
        </w:rPr>
        <w:t>eturn (BMR)</w:t>
      </w:r>
      <w:r w:rsidRPr="00483631">
        <w:rPr>
          <w:rFonts w:ascii="Calibri" w:hAnsi="Calibri" w:cs="Calibri"/>
          <w:szCs w:val="24"/>
        </w:rPr>
        <w:t xml:space="preserve"> of £0.320m for IFRS16, taking this into account, our expected outturn is an underspend of £0.04</w:t>
      </w:r>
      <w:r w:rsidR="00C3117B">
        <w:rPr>
          <w:rFonts w:ascii="Calibri" w:hAnsi="Calibri" w:cs="Calibri"/>
          <w:szCs w:val="24"/>
        </w:rPr>
        <w:t>7</w:t>
      </w:r>
      <w:r w:rsidRPr="00483631">
        <w:rPr>
          <w:rFonts w:ascii="Calibri" w:hAnsi="Calibri" w:cs="Calibri"/>
          <w:szCs w:val="24"/>
        </w:rPr>
        <w:t xml:space="preserve">m. </w:t>
      </w:r>
    </w:p>
    <w:p w14:paraId="415A5E39" w14:textId="77777777" w:rsidR="00582D93" w:rsidRDefault="00582D93">
      <w:pPr>
        <w:rPr>
          <w:rFonts w:ascii="Calibri" w:eastAsiaTheme="majorEastAsia" w:hAnsi="Calibri" w:cs="Calibri"/>
          <w:b/>
          <w:color w:val="007DC3"/>
          <w:sz w:val="28"/>
          <w:szCs w:val="28"/>
        </w:rPr>
      </w:pPr>
      <w:r>
        <w:rPr>
          <w:rFonts w:ascii="Calibri" w:eastAsiaTheme="majorEastAsia" w:hAnsi="Calibri" w:cs="Calibri"/>
          <w:b/>
          <w:color w:val="007DC3"/>
          <w:sz w:val="28"/>
          <w:szCs w:val="28"/>
        </w:rPr>
        <w:br w:type="page"/>
      </w:r>
    </w:p>
    <w:p w14:paraId="55C4FC37" w14:textId="50F6636F" w:rsidR="008D20BE" w:rsidRDefault="008D20BE" w:rsidP="004F3330">
      <w:pPr>
        <w:keepNext/>
        <w:keepLines/>
        <w:spacing w:before="40" w:after="0" w:line="259" w:lineRule="auto"/>
        <w:outlineLvl w:val="1"/>
        <w:rPr>
          <w:rFonts w:ascii="Calibri" w:eastAsiaTheme="majorEastAsia" w:hAnsi="Calibri" w:cs="Calibri"/>
          <w:b/>
          <w:color w:val="007DC3"/>
          <w:sz w:val="28"/>
          <w:szCs w:val="28"/>
        </w:rPr>
      </w:pPr>
      <w:r w:rsidRPr="004F3330">
        <w:rPr>
          <w:rFonts w:ascii="Calibri" w:eastAsiaTheme="majorEastAsia" w:hAnsi="Calibri" w:cs="Calibri"/>
          <w:b/>
          <w:color w:val="007DC3"/>
          <w:sz w:val="28"/>
          <w:szCs w:val="28"/>
        </w:rPr>
        <w:lastRenderedPageBreak/>
        <w:t xml:space="preserve">RISK </w:t>
      </w:r>
      <w:r w:rsidR="00B60441">
        <w:rPr>
          <w:rFonts w:ascii="Calibri" w:eastAsiaTheme="majorEastAsia" w:hAnsi="Calibri" w:cs="Calibri"/>
          <w:b/>
          <w:color w:val="007DC3"/>
          <w:sz w:val="28"/>
          <w:szCs w:val="28"/>
        </w:rPr>
        <w:t xml:space="preserve">AND </w:t>
      </w:r>
      <w:r w:rsidR="00C83C5D">
        <w:rPr>
          <w:rFonts w:ascii="Calibri" w:eastAsiaTheme="majorEastAsia" w:hAnsi="Calibri" w:cs="Calibri"/>
          <w:b/>
          <w:color w:val="007DC3"/>
          <w:sz w:val="28"/>
          <w:szCs w:val="28"/>
        </w:rPr>
        <w:t>AUDIT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5376"/>
        <w:gridCol w:w="3199"/>
      </w:tblGrid>
      <w:tr w:rsidR="00B7627D" w:rsidRPr="00CA47FF" w14:paraId="00072827" w14:textId="77777777" w:rsidTr="005E5068">
        <w:trPr>
          <w:cantSplit/>
          <w:trHeight w:val="284"/>
          <w:tblHeader/>
        </w:trPr>
        <w:tc>
          <w:tcPr>
            <w:tcW w:w="5376" w:type="dxa"/>
            <w:tcBorders>
              <w:top w:val="single" w:sz="12" w:space="0" w:color="auto"/>
              <w:left w:val="single" w:sz="12" w:space="0" w:color="auto"/>
              <w:bottom w:val="single" w:sz="12" w:space="0" w:color="auto"/>
              <w:right w:val="single" w:sz="12" w:space="0" w:color="auto"/>
            </w:tcBorders>
            <w:shd w:val="clear" w:color="auto" w:fill="5E8CC0"/>
            <w:vAlign w:val="bottom"/>
          </w:tcPr>
          <w:p w14:paraId="3DE41865" w14:textId="77777777" w:rsidR="00B7627D" w:rsidRPr="00CA47FF" w:rsidRDefault="00B7627D" w:rsidP="005E5068">
            <w:pPr>
              <w:rPr>
                <w:rFonts w:ascii="Calibri" w:hAnsi="Calibri" w:cs="Calibri"/>
                <w:b/>
                <w:bCs/>
                <w:color w:val="1F497D" w:themeColor="text2"/>
                <w:szCs w:val="24"/>
                <w:highlight w:val="yellow"/>
              </w:rPr>
            </w:pPr>
            <w:r w:rsidRPr="00CA47FF">
              <w:rPr>
                <w:rFonts w:ascii="Calibri" w:hAnsi="Calibri" w:cs="Calibri"/>
                <w:b/>
                <w:bCs/>
                <w:szCs w:val="24"/>
              </w:rPr>
              <w:t>Corporate Risks</w:t>
            </w:r>
          </w:p>
        </w:tc>
        <w:tc>
          <w:tcPr>
            <w:tcW w:w="3199" w:type="dxa"/>
            <w:tcBorders>
              <w:top w:val="single" w:sz="12" w:space="0" w:color="auto"/>
              <w:left w:val="single" w:sz="12" w:space="0" w:color="auto"/>
              <w:bottom w:val="single" w:sz="12" w:space="0" w:color="auto"/>
              <w:right w:val="single" w:sz="12" w:space="0" w:color="auto"/>
            </w:tcBorders>
            <w:shd w:val="clear" w:color="auto" w:fill="5E8CC0"/>
          </w:tcPr>
          <w:p w14:paraId="7288AAA3" w14:textId="77777777" w:rsidR="00B7627D" w:rsidRPr="00CA47FF" w:rsidRDefault="00B7627D" w:rsidP="005E5068">
            <w:pPr>
              <w:rPr>
                <w:rFonts w:ascii="Calibri" w:hAnsi="Calibri" w:cs="Calibri"/>
                <w:b/>
                <w:bCs/>
                <w:color w:val="1F497D" w:themeColor="text2"/>
                <w:szCs w:val="24"/>
                <w:highlight w:val="yellow"/>
              </w:rPr>
            </w:pPr>
            <w:r w:rsidRPr="00CA47FF">
              <w:rPr>
                <w:rFonts w:ascii="Calibri" w:hAnsi="Calibri" w:cs="Calibri"/>
                <w:b/>
                <w:bCs/>
                <w:szCs w:val="24"/>
              </w:rPr>
              <w:t>Risk Changes</w:t>
            </w:r>
          </w:p>
        </w:tc>
      </w:tr>
      <w:tr w:rsidR="00B7627D" w:rsidRPr="004D18D9" w14:paraId="20881E16" w14:textId="77777777" w:rsidTr="005E5068">
        <w:trPr>
          <w:trHeight w:val="3745"/>
        </w:trPr>
        <w:tc>
          <w:tcPr>
            <w:tcW w:w="5376" w:type="dxa"/>
            <w:tcBorders>
              <w:top w:val="single" w:sz="12" w:space="0" w:color="auto"/>
              <w:left w:val="single" w:sz="12" w:space="0" w:color="auto"/>
              <w:bottom w:val="single" w:sz="12" w:space="0" w:color="auto"/>
              <w:right w:val="single" w:sz="12" w:space="0" w:color="auto"/>
            </w:tcBorders>
            <w:shd w:val="clear" w:color="auto" w:fill="auto"/>
          </w:tcPr>
          <w:tbl>
            <w:tblPr>
              <w:tblW w:w="5412" w:type="dxa"/>
              <w:jc w:val="center"/>
              <w:tblLayout w:type="fixed"/>
              <w:tblLook w:val="04A0" w:firstRow="1" w:lastRow="0" w:firstColumn="1" w:lastColumn="0" w:noHBand="0" w:noVBand="1"/>
            </w:tblPr>
            <w:tblGrid>
              <w:gridCol w:w="5412"/>
            </w:tblGrid>
            <w:tr w:rsidR="00B7627D" w:rsidRPr="00FE4730" w14:paraId="58A7673C" w14:textId="77777777" w:rsidTr="005E5068">
              <w:trPr>
                <w:trHeight w:val="99"/>
                <w:jc w:val="center"/>
              </w:trPr>
              <w:tc>
                <w:tcPr>
                  <w:tcW w:w="5412" w:type="dxa"/>
                  <w:tcBorders>
                    <w:top w:val="nil"/>
                    <w:left w:val="nil"/>
                    <w:bottom w:val="nil"/>
                    <w:right w:val="nil"/>
                  </w:tcBorders>
                  <w:shd w:val="clear" w:color="auto" w:fill="auto"/>
                  <w:noWrap/>
                  <w:vAlign w:val="center"/>
                  <w:hideMark/>
                </w:tcPr>
                <w:p w14:paraId="2D9C1A3D" w14:textId="77777777" w:rsidR="00B7627D" w:rsidRPr="00FE4730" w:rsidRDefault="00B7627D" w:rsidP="005E5068">
                  <w:pPr>
                    <w:jc w:val="center"/>
                    <w:rPr>
                      <w:rFonts w:ascii="Calibri" w:eastAsia="Times New Roman" w:hAnsi="Calibri" w:cs="Calibri"/>
                      <w:color w:val="000000"/>
                      <w:lang w:eastAsia="en-GB"/>
                    </w:rPr>
                  </w:pPr>
                </w:p>
              </w:tc>
            </w:tr>
          </w:tbl>
          <w:p w14:paraId="29303E71" w14:textId="664AF209" w:rsidR="00B7627D" w:rsidRPr="00030D53" w:rsidRDefault="002D1A4F" w:rsidP="005E5068">
            <w:pPr>
              <w:jc w:val="center"/>
              <w:rPr>
                <w:rFonts w:ascii="Calibri" w:hAnsi="Calibri" w:cs="Calibri"/>
                <w:szCs w:val="24"/>
              </w:rPr>
            </w:pPr>
            <w:r>
              <w:rPr>
                <w:rFonts w:ascii="Calibri" w:hAnsi="Calibri" w:cs="Calibri"/>
                <w:noProof/>
                <w:szCs w:val="24"/>
              </w:rPr>
              <w:drawing>
                <wp:inline distT="0" distB="0" distL="0" distR="0" wp14:anchorId="6877C78B" wp14:editId="6A49A57A">
                  <wp:extent cx="3321117" cy="2232837"/>
                  <wp:effectExtent l="0" t="0" r="0" b="0"/>
                  <wp:docPr id="563338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337566" cy="2243896"/>
                          </a:xfrm>
                          <a:prstGeom prst="rect">
                            <a:avLst/>
                          </a:prstGeom>
                          <a:noFill/>
                        </pic:spPr>
                      </pic:pic>
                    </a:graphicData>
                  </a:graphic>
                </wp:inline>
              </w:drawing>
            </w:r>
          </w:p>
        </w:tc>
        <w:tc>
          <w:tcPr>
            <w:tcW w:w="3199" w:type="dxa"/>
            <w:tcBorders>
              <w:top w:val="single" w:sz="12" w:space="0" w:color="auto"/>
              <w:left w:val="single" w:sz="12" w:space="0" w:color="auto"/>
              <w:bottom w:val="single" w:sz="12" w:space="0" w:color="auto"/>
              <w:right w:val="single" w:sz="12" w:space="0" w:color="auto"/>
            </w:tcBorders>
            <w:shd w:val="clear" w:color="auto" w:fill="auto"/>
          </w:tcPr>
          <w:p w14:paraId="3AD84021" w14:textId="77777777" w:rsidR="00B7627D" w:rsidRPr="00152549" w:rsidRDefault="00B7627D" w:rsidP="005E5068">
            <w:pPr>
              <w:rPr>
                <w:rFonts w:ascii="Calibri" w:hAnsi="Calibri" w:cs="Calibri"/>
                <w:szCs w:val="24"/>
              </w:rPr>
            </w:pPr>
            <w:r w:rsidRPr="00152549">
              <w:rPr>
                <w:rFonts w:ascii="Calibri" w:hAnsi="Calibri" w:cs="Calibri"/>
                <w:szCs w:val="24"/>
                <w:u w:val="single"/>
              </w:rPr>
              <w:t>Changes to Corporate Risk Scores</w:t>
            </w:r>
          </w:p>
          <w:p w14:paraId="15210BFB" w14:textId="6BF33162" w:rsidR="00B7627D" w:rsidRPr="00152549" w:rsidRDefault="00B7627D" w:rsidP="005E5068">
            <w:pPr>
              <w:rPr>
                <w:rFonts w:ascii="Calibri" w:hAnsi="Calibri" w:cs="Calibri"/>
                <w:szCs w:val="24"/>
              </w:rPr>
            </w:pPr>
            <w:r w:rsidRPr="00152549">
              <w:rPr>
                <w:rFonts w:ascii="Calibri" w:hAnsi="Calibri" w:cs="Calibri"/>
                <w:szCs w:val="24"/>
              </w:rPr>
              <w:t xml:space="preserve">↑ </w:t>
            </w:r>
            <w:r w:rsidR="00152549" w:rsidRPr="00152549">
              <w:rPr>
                <w:rFonts w:ascii="Calibri" w:hAnsi="Calibri" w:cs="Calibri"/>
                <w:b/>
                <w:bCs/>
                <w:szCs w:val="24"/>
              </w:rPr>
              <w:t>0</w:t>
            </w:r>
            <w:r w:rsidRPr="00152549">
              <w:rPr>
                <w:rFonts w:ascii="Calibri" w:hAnsi="Calibri" w:cs="Calibri"/>
                <w:szCs w:val="24"/>
              </w:rPr>
              <w:t xml:space="preserve"> Gone Up </w:t>
            </w:r>
          </w:p>
          <w:p w14:paraId="2FD5556E" w14:textId="77777777" w:rsidR="00B7627D" w:rsidRPr="00152549" w:rsidRDefault="00B7627D" w:rsidP="005E5068">
            <w:pPr>
              <w:rPr>
                <w:rFonts w:ascii="Calibri" w:hAnsi="Calibri" w:cs="Calibri"/>
                <w:szCs w:val="24"/>
              </w:rPr>
            </w:pPr>
            <w:r w:rsidRPr="00152549">
              <w:rPr>
                <w:rFonts w:ascii="Calibri" w:hAnsi="Calibri" w:cs="Calibri"/>
                <w:szCs w:val="24"/>
              </w:rPr>
              <w:t xml:space="preserve">↓ </w:t>
            </w:r>
            <w:r w:rsidRPr="00152549">
              <w:rPr>
                <w:rFonts w:ascii="Calibri" w:hAnsi="Calibri" w:cs="Calibri"/>
                <w:b/>
                <w:szCs w:val="24"/>
              </w:rPr>
              <w:t xml:space="preserve">0 </w:t>
            </w:r>
            <w:r w:rsidRPr="00152549">
              <w:rPr>
                <w:rFonts w:ascii="Calibri" w:hAnsi="Calibri" w:cs="Calibri"/>
                <w:szCs w:val="24"/>
              </w:rPr>
              <w:t xml:space="preserve">Gone Down </w:t>
            </w:r>
          </w:p>
          <w:p w14:paraId="263B2E1C" w14:textId="77777777" w:rsidR="00B7627D" w:rsidRPr="00152549" w:rsidRDefault="00B7627D" w:rsidP="005E5068">
            <w:pPr>
              <w:rPr>
                <w:rFonts w:ascii="Calibri" w:hAnsi="Calibri" w:cs="Calibri"/>
                <w:szCs w:val="24"/>
              </w:rPr>
            </w:pPr>
            <w:r w:rsidRPr="00152549">
              <w:rPr>
                <w:rFonts w:ascii="Calibri" w:hAnsi="Calibri" w:cs="Calibri"/>
                <w:szCs w:val="24"/>
                <w:u w:val="single"/>
              </w:rPr>
              <w:t>Change to Corporate Risk Register - proposed</w:t>
            </w:r>
          </w:p>
          <w:p w14:paraId="4764B725" w14:textId="6C94D9AE" w:rsidR="00B7627D" w:rsidRPr="00152549" w:rsidRDefault="00B7627D" w:rsidP="005E5068">
            <w:pPr>
              <w:rPr>
                <w:rFonts w:ascii="Calibri" w:hAnsi="Calibri" w:cs="Calibri"/>
                <w:szCs w:val="24"/>
              </w:rPr>
            </w:pPr>
            <w:r w:rsidRPr="00152549">
              <w:rPr>
                <w:rFonts w:ascii="Calibri" w:hAnsi="Calibri" w:cs="Calibri"/>
                <w:szCs w:val="24"/>
              </w:rPr>
              <w:t>↗</w:t>
            </w:r>
            <w:r w:rsidRPr="00152549">
              <w:rPr>
                <w:rFonts w:ascii="Calibri" w:hAnsi="Calibri" w:cs="Calibri"/>
                <w:b/>
                <w:szCs w:val="24"/>
              </w:rPr>
              <w:t xml:space="preserve"> </w:t>
            </w:r>
            <w:r w:rsidR="00152549" w:rsidRPr="00152549">
              <w:rPr>
                <w:rFonts w:ascii="Calibri" w:hAnsi="Calibri" w:cs="Calibri"/>
                <w:b/>
                <w:szCs w:val="24"/>
              </w:rPr>
              <w:t>1</w:t>
            </w:r>
            <w:r w:rsidRPr="00152549">
              <w:rPr>
                <w:rFonts w:ascii="Calibri" w:hAnsi="Calibri" w:cs="Calibri"/>
                <w:b/>
                <w:szCs w:val="24"/>
              </w:rPr>
              <w:t xml:space="preserve"> </w:t>
            </w:r>
            <w:r w:rsidRPr="00152549">
              <w:rPr>
                <w:rFonts w:ascii="Calibri" w:hAnsi="Calibri" w:cs="Calibri"/>
                <w:szCs w:val="24"/>
              </w:rPr>
              <w:t xml:space="preserve">New Corporate Risks </w:t>
            </w:r>
          </w:p>
          <w:p w14:paraId="7DD2F183" w14:textId="77777777" w:rsidR="00B7627D" w:rsidRPr="00582D93" w:rsidRDefault="00B7627D" w:rsidP="005E5068">
            <w:pPr>
              <w:rPr>
                <w:rFonts w:ascii="Calibri" w:hAnsi="Calibri" w:cs="Calibri"/>
                <w:noProof/>
                <w:szCs w:val="24"/>
                <w:highlight w:val="yellow"/>
                <w:lang w:eastAsia="en-GB"/>
              </w:rPr>
            </w:pPr>
            <w:r w:rsidRPr="00152549">
              <w:rPr>
                <w:rFonts w:ascii="Calibri" w:hAnsi="Calibri" w:cs="Calibri"/>
                <w:szCs w:val="24"/>
              </w:rPr>
              <w:t xml:space="preserve">↘ </w:t>
            </w:r>
            <w:r w:rsidRPr="00152549">
              <w:rPr>
                <w:rFonts w:ascii="Calibri" w:hAnsi="Calibri" w:cs="Calibri"/>
                <w:b/>
                <w:bCs/>
                <w:szCs w:val="24"/>
              </w:rPr>
              <w:t>0</w:t>
            </w:r>
            <w:r w:rsidRPr="00152549">
              <w:rPr>
                <w:rFonts w:ascii="Calibri" w:hAnsi="Calibri" w:cs="Calibri"/>
                <w:b/>
                <w:szCs w:val="24"/>
              </w:rPr>
              <w:t xml:space="preserve"> </w:t>
            </w:r>
            <w:r w:rsidRPr="00152549">
              <w:rPr>
                <w:rFonts w:ascii="Calibri" w:hAnsi="Calibri" w:cs="Calibri"/>
                <w:szCs w:val="24"/>
              </w:rPr>
              <w:t xml:space="preserve">Risk De-Escalated </w:t>
            </w:r>
          </w:p>
        </w:tc>
      </w:tr>
    </w:tbl>
    <w:p w14:paraId="401DCFA1" w14:textId="5F3A3A07" w:rsidR="00CA47FF" w:rsidRPr="004F3330" w:rsidRDefault="00CA47FF" w:rsidP="00B7627D">
      <w:pPr>
        <w:keepNext/>
        <w:keepLines/>
        <w:spacing w:before="40" w:after="0" w:line="259" w:lineRule="auto"/>
        <w:jc w:val="center"/>
        <w:outlineLvl w:val="1"/>
        <w:rPr>
          <w:rFonts w:ascii="Calibri" w:eastAsiaTheme="majorEastAsia" w:hAnsi="Calibri" w:cs="Calibri"/>
          <w:b/>
          <w:color w:val="007DC3"/>
          <w:sz w:val="28"/>
          <w:szCs w:val="28"/>
        </w:rPr>
      </w:pPr>
    </w:p>
    <w:p w14:paraId="6F27AD07" w14:textId="77777777" w:rsidR="008D20BE" w:rsidRPr="00B7164A" w:rsidRDefault="008D20BE" w:rsidP="008D20BE">
      <w:pPr>
        <w:pStyle w:val="Heading2"/>
        <w:spacing w:before="0" w:after="120" w:line="240" w:lineRule="auto"/>
        <w:rPr>
          <w:rFonts w:ascii="Calibri" w:hAnsi="Calibri" w:cs="Calibri"/>
          <w:sz w:val="28"/>
          <w:szCs w:val="28"/>
          <w:u w:val="single"/>
        </w:rPr>
      </w:pPr>
      <w:r w:rsidRPr="00B7164A">
        <w:rPr>
          <w:rFonts w:ascii="Calibri" w:hAnsi="Calibri" w:cs="Calibri"/>
          <w:sz w:val="28"/>
          <w:szCs w:val="28"/>
          <w:u w:val="single"/>
        </w:rPr>
        <w:t>Risk</w:t>
      </w:r>
    </w:p>
    <w:p w14:paraId="1F0169F9" w14:textId="5D66AE2E" w:rsidR="002D1A4F" w:rsidRPr="00853EA6" w:rsidRDefault="002D1A4F" w:rsidP="00853EA6">
      <w:pPr>
        <w:rPr>
          <w:rFonts w:ascii="Calibri" w:eastAsia="Times New Roman" w:hAnsi="Calibri" w:cs="Calibri"/>
          <w:color w:val="FF0000"/>
          <w:szCs w:val="24"/>
        </w:rPr>
      </w:pPr>
      <w:r w:rsidRPr="00853EA6">
        <w:rPr>
          <w:rFonts w:ascii="Calibri" w:hAnsi="Calibri" w:cs="Calibri"/>
          <w:szCs w:val="24"/>
        </w:rPr>
        <w:t>The Corporate Risk Register holds the current corporate risks for NatureScot. The position</w:t>
      </w:r>
      <w:r w:rsidR="0020017B">
        <w:rPr>
          <w:rFonts w:ascii="Calibri" w:hAnsi="Calibri" w:cs="Calibri"/>
          <w:szCs w:val="24"/>
        </w:rPr>
        <w:t>s</w:t>
      </w:r>
      <w:r w:rsidRPr="00853EA6">
        <w:rPr>
          <w:rFonts w:ascii="Calibri" w:hAnsi="Calibri" w:cs="Calibri"/>
          <w:szCs w:val="24"/>
        </w:rPr>
        <w:t xml:space="preserve"> of the high and very high rated Corporate Risks are detailed in the </w:t>
      </w:r>
      <w:hyperlink w:anchor="AnnexA" w:history="1">
        <w:r w:rsidRPr="00853EA6">
          <w:rPr>
            <w:rStyle w:val="Hyperlink"/>
            <w:rFonts w:ascii="Calibri" w:hAnsi="Calibri" w:cs="Calibri"/>
            <w:szCs w:val="24"/>
          </w:rPr>
          <w:t>Corporate Risk Register in Annex A</w:t>
        </w:r>
      </w:hyperlink>
      <w:r w:rsidRPr="00853EA6">
        <w:rPr>
          <w:rStyle w:val="Hyperlink"/>
          <w:rFonts w:ascii="Calibri" w:hAnsi="Calibri" w:cs="Calibri"/>
          <w:szCs w:val="24"/>
        </w:rPr>
        <w:t>.</w:t>
      </w:r>
      <w:r w:rsidRPr="00853EA6">
        <w:rPr>
          <w:rFonts w:ascii="Calibri" w:hAnsi="Calibri" w:cs="Calibri"/>
          <w:color w:val="FF0000"/>
          <w:szCs w:val="24"/>
        </w:rPr>
        <w:t xml:space="preserve"> </w:t>
      </w:r>
      <w:r w:rsidRPr="00853EA6">
        <w:rPr>
          <w:rFonts w:ascii="Calibri" w:hAnsi="Calibri" w:cs="Calibri"/>
          <w:szCs w:val="24"/>
        </w:rPr>
        <w:t xml:space="preserve">And a further </w:t>
      </w:r>
      <w:r w:rsidRPr="00C760AA">
        <w:rPr>
          <w:rFonts w:ascii="Calibri" w:hAnsi="Calibri" w:cs="Calibri"/>
          <w:szCs w:val="24"/>
        </w:rPr>
        <w:t xml:space="preserve">Corporate Risk (on Structural Funds) </w:t>
      </w:r>
      <w:r w:rsidRPr="00853EA6">
        <w:rPr>
          <w:rFonts w:ascii="Calibri" w:hAnsi="Calibri" w:cs="Calibri"/>
          <w:szCs w:val="24"/>
        </w:rPr>
        <w:t xml:space="preserve">is to be discussed as part of the closed session. Activity and project risks are managed within the risk management system, which underpins the corporate risk register.  All risks are managed in line with the Risk Management Policy and monitored regularly for compliance and visibility of impact. </w:t>
      </w:r>
      <w:r w:rsidR="003E74CD" w:rsidRPr="00853EA6">
        <w:rPr>
          <w:rFonts w:ascii="Calibri" w:hAnsi="Calibri" w:cs="Calibri"/>
          <w:szCs w:val="24"/>
        </w:rPr>
        <w:t xml:space="preserve"> </w:t>
      </w:r>
    </w:p>
    <w:p w14:paraId="3E273C02" w14:textId="16D744BF" w:rsidR="00BC105A" w:rsidRDefault="008D20BE" w:rsidP="00853EA6">
      <w:pPr>
        <w:rPr>
          <w:rFonts w:ascii="Calibri" w:eastAsia="Times New Roman" w:hAnsi="Calibri" w:cs="Calibri"/>
          <w:szCs w:val="24"/>
        </w:rPr>
      </w:pPr>
      <w:r w:rsidRPr="00853EA6">
        <w:rPr>
          <w:rFonts w:ascii="Calibri" w:eastAsia="Times New Roman" w:hAnsi="Calibri" w:cs="Calibri"/>
          <w:szCs w:val="24"/>
        </w:rPr>
        <w:t>There are currently 1</w:t>
      </w:r>
      <w:r w:rsidR="00BC105A">
        <w:rPr>
          <w:rFonts w:ascii="Calibri" w:eastAsia="Times New Roman" w:hAnsi="Calibri" w:cs="Calibri"/>
          <w:szCs w:val="24"/>
        </w:rPr>
        <w:t>0</w:t>
      </w:r>
      <w:r w:rsidRPr="00853EA6">
        <w:rPr>
          <w:rFonts w:ascii="Calibri" w:eastAsia="Times New Roman" w:hAnsi="Calibri" w:cs="Calibri"/>
          <w:szCs w:val="24"/>
        </w:rPr>
        <w:t xml:space="preserve"> approved Corporate Risks</w:t>
      </w:r>
      <w:r w:rsidR="00EB6E7C">
        <w:rPr>
          <w:rFonts w:ascii="Calibri" w:eastAsia="Times New Roman" w:hAnsi="Calibri" w:cs="Calibri"/>
          <w:szCs w:val="24"/>
        </w:rPr>
        <w:t xml:space="preserve"> noted below</w:t>
      </w:r>
      <w:r w:rsidRPr="00853EA6">
        <w:rPr>
          <w:rFonts w:ascii="Calibri" w:eastAsia="Times New Roman" w:hAnsi="Calibri" w:cs="Calibri"/>
          <w:szCs w:val="24"/>
        </w:rPr>
        <w:t>, 6 medium</w:t>
      </w:r>
      <w:r w:rsidR="00030D53" w:rsidRPr="00853EA6">
        <w:rPr>
          <w:rFonts w:ascii="Calibri" w:eastAsia="Times New Roman" w:hAnsi="Calibri" w:cs="Calibri"/>
          <w:szCs w:val="24"/>
        </w:rPr>
        <w:t xml:space="preserve">, </w:t>
      </w:r>
      <w:r w:rsidR="00BC105A">
        <w:rPr>
          <w:rFonts w:ascii="Calibri" w:eastAsia="Times New Roman" w:hAnsi="Calibri" w:cs="Calibri"/>
          <w:szCs w:val="24"/>
        </w:rPr>
        <w:t>3</w:t>
      </w:r>
      <w:r w:rsidRPr="00853EA6">
        <w:rPr>
          <w:rFonts w:ascii="Calibri" w:eastAsia="Times New Roman" w:hAnsi="Calibri" w:cs="Calibri"/>
          <w:szCs w:val="24"/>
        </w:rPr>
        <w:t xml:space="preserve"> high</w:t>
      </w:r>
      <w:r w:rsidR="00030D53" w:rsidRPr="00853EA6">
        <w:rPr>
          <w:rFonts w:ascii="Calibri" w:eastAsia="Times New Roman" w:hAnsi="Calibri" w:cs="Calibri"/>
          <w:szCs w:val="24"/>
        </w:rPr>
        <w:t xml:space="preserve"> and </w:t>
      </w:r>
      <w:r w:rsidR="00152549" w:rsidRPr="00853EA6">
        <w:rPr>
          <w:rFonts w:ascii="Calibri" w:eastAsia="Times New Roman" w:hAnsi="Calibri" w:cs="Calibri"/>
          <w:szCs w:val="24"/>
        </w:rPr>
        <w:t>1</w:t>
      </w:r>
      <w:r w:rsidR="00030D53" w:rsidRPr="00853EA6">
        <w:rPr>
          <w:rFonts w:ascii="Calibri" w:eastAsia="Times New Roman" w:hAnsi="Calibri" w:cs="Calibri"/>
          <w:szCs w:val="24"/>
        </w:rPr>
        <w:t xml:space="preserve"> very high</w:t>
      </w:r>
      <w:r w:rsidRPr="00853EA6">
        <w:rPr>
          <w:rFonts w:ascii="Calibri" w:eastAsia="Times New Roman" w:hAnsi="Calibri" w:cs="Calibri"/>
          <w:szCs w:val="24"/>
        </w:rPr>
        <w:t>.  During Q</w:t>
      </w:r>
      <w:r w:rsidR="00152549" w:rsidRPr="00853EA6">
        <w:rPr>
          <w:rFonts w:ascii="Calibri" w:eastAsia="Times New Roman" w:hAnsi="Calibri" w:cs="Calibri"/>
          <w:szCs w:val="24"/>
        </w:rPr>
        <w:t>4</w:t>
      </w:r>
      <w:r w:rsidRPr="00853EA6">
        <w:rPr>
          <w:rFonts w:ascii="Calibri" w:eastAsia="Times New Roman" w:hAnsi="Calibri" w:cs="Calibri"/>
          <w:szCs w:val="24"/>
        </w:rPr>
        <w:t xml:space="preserve"> the</w:t>
      </w:r>
      <w:r w:rsidR="00152549" w:rsidRPr="00853EA6">
        <w:rPr>
          <w:rFonts w:ascii="Calibri" w:eastAsia="Times New Roman" w:hAnsi="Calibri" w:cs="Calibri"/>
          <w:szCs w:val="24"/>
        </w:rPr>
        <w:t xml:space="preserve"> likelihood score changed within two risks: 21 – Budget management (increased) and 393 – Future Funding of NatureScot (increased), but this hasn’t impacted the overall risk ratings.</w:t>
      </w:r>
      <w:r w:rsidR="00EB6E7C">
        <w:rPr>
          <w:rFonts w:ascii="Calibri" w:eastAsia="Times New Roman" w:hAnsi="Calibri" w:cs="Calibri"/>
          <w:szCs w:val="24"/>
        </w:rPr>
        <w:t xml:space="preserve"> A further corporate risk on Nature Finance will be included after this meeting as noted below.</w:t>
      </w:r>
    </w:p>
    <w:p w14:paraId="0837EC14"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21 – Budget Management</w:t>
      </w:r>
    </w:p>
    <w:p w14:paraId="646869B8"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47 – Computer Virus/Malware</w:t>
      </w:r>
    </w:p>
    <w:p w14:paraId="14ACA95D"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71 – SRDP: NatureScot’s Delivery Partner Responsibilities</w:t>
      </w:r>
    </w:p>
    <w:p w14:paraId="3EEA0F61"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85 – Adapting to Strategic Change</w:t>
      </w:r>
    </w:p>
    <w:p w14:paraId="345CD7BA"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137 – Staff Resource Management</w:t>
      </w:r>
    </w:p>
    <w:p w14:paraId="68CCCC17"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253 – Peatland Action: Annual Funding Cycle</w:t>
      </w:r>
    </w:p>
    <w:p w14:paraId="13BE802D"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393 – Future Funding of NatureScot</w:t>
      </w:r>
    </w:p>
    <w:p w14:paraId="0E47EE74"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586 – Structural Funds – Failure of Programme Delivery</w:t>
      </w:r>
    </w:p>
    <w:p w14:paraId="7893A324"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645 – Biodiversity Loss</w:t>
      </w:r>
    </w:p>
    <w:p w14:paraId="52E69576" w14:textId="77777777" w:rsidR="00BC105A" w:rsidRPr="00BC105A" w:rsidRDefault="00BC105A" w:rsidP="00BC105A">
      <w:pPr>
        <w:pStyle w:val="ListParagraph"/>
        <w:numPr>
          <w:ilvl w:val="0"/>
          <w:numId w:val="42"/>
        </w:numPr>
        <w:spacing w:after="0" w:line="240" w:lineRule="auto"/>
        <w:rPr>
          <w:rFonts w:ascii="Calibri" w:hAnsi="Calibri" w:cs="Calibri"/>
          <w:szCs w:val="24"/>
        </w:rPr>
      </w:pPr>
      <w:r w:rsidRPr="00BC105A">
        <w:rPr>
          <w:rFonts w:ascii="Calibri" w:hAnsi="Calibri" w:cs="Calibri"/>
          <w:szCs w:val="24"/>
        </w:rPr>
        <w:t>No 646 – Weakened Reputation</w:t>
      </w:r>
    </w:p>
    <w:p w14:paraId="665C2ACB" w14:textId="63E75EA8" w:rsidR="00152549" w:rsidRPr="00853EA6" w:rsidRDefault="00152549" w:rsidP="00853EA6">
      <w:pPr>
        <w:rPr>
          <w:rFonts w:ascii="Calibri" w:eastAsia="Times New Roman" w:hAnsi="Calibri" w:cs="Calibri"/>
          <w:color w:val="FF0000"/>
          <w:szCs w:val="24"/>
        </w:rPr>
      </w:pPr>
      <w:r w:rsidRPr="00853EA6">
        <w:rPr>
          <w:rFonts w:ascii="Calibri" w:eastAsia="Times New Roman" w:hAnsi="Calibri" w:cs="Calibri"/>
          <w:szCs w:val="24"/>
        </w:rPr>
        <w:t xml:space="preserve">  </w:t>
      </w:r>
    </w:p>
    <w:p w14:paraId="2C7914A1" w14:textId="77777777" w:rsidR="00853EA6" w:rsidRPr="00853EA6" w:rsidRDefault="005F67B3" w:rsidP="00853EA6">
      <w:pPr>
        <w:spacing w:after="0"/>
        <w:rPr>
          <w:rFonts w:ascii="Calibri" w:hAnsi="Calibri" w:cs="Calibri"/>
          <w:szCs w:val="24"/>
        </w:rPr>
      </w:pPr>
      <w:r w:rsidRPr="00853EA6">
        <w:rPr>
          <w:rFonts w:ascii="Calibri" w:eastAsia="Times New Roman" w:hAnsi="Calibri" w:cs="Calibri"/>
          <w:szCs w:val="24"/>
        </w:rPr>
        <w:lastRenderedPageBreak/>
        <w:t>T</w:t>
      </w:r>
      <w:r w:rsidR="008D20BE" w:rsidRPr="00853EA6">
        <w:rPr>
          <w:rFonts w:ascii="Calibri" w:eastAsia="Times New Roman" w:hAnsi="Calibri" w:cs="Calibri"/>
          <w:szCs w:val="24"/>
        </w:rPr>
        <w:t xml:space="preserve">he Corporate Risks have been reviewed to ensure that they still require to be managed at the corporate level. </w:t>
      </w:r>
      <w:r w:rsidR="00D771D0" w:rsidRPr="00853EA6">
        <w:rPr>
          <w:rFonts w:ascii="Calibri" w:eastAsia="Times New Roman" w:hAnsi="Calibri" w:cs="Calibri"/>
          <w:szCs w:val="24"/>
        </w:rPr>
        <w:t>None of the current corporate risks have been required to be archived or de-escalated this quarter.</w:t>
      </w:r>
    </w:p>
    <w:p w14:paraId="2DB5A27E" w14:textId="77777777" w:rsidR="00853EA6" w:rsidRPr="00853EA6" w:rsidRDefault="00853EA6" w:rsidP="00853EA6">
      <w:pPr>
        <w:spacing w:after="0"/>
        <w:rPr>
          <w:rFonts w:ascii="Calibri" w:hAnsi="Calibri" w:cs="Calibri"/>
          <w:szCs w:val="24"/>
        </w:rPr>
      </w:pPr>
    </w:p>
    <w:p w14:paraId="108E0F8C" w14:textId="2639069C" w:rsidR="002D1A4F" w:rsidRDefault="002D1A4F" w:rsidP="00853EA6">
      <w:pPr>
        <w:spacing w:after="0"/>
        <w:rPr>
          <w:rFonts w:ascii="Calibri" w:eastAsia="Times New Roman" w:hAnsi="Calibri" w:cs="Calibri"/>
          <w:szCs w:val="24"/>
        </w:rPr>
      </w:pPr>
      <w:r w:rsidRPr="00853EA6">
        <w:rPr>
          <w:rFonts w:ascii="Calibri" w:eastAsia="Times New Roman" w:hAnsi="Calibri" w:cs="Calibri"/>
          <w:szCs w:val="24"/>
        </w:rPr>
        <w:t xml:space="preserve">One </w:t>
      </w:r>
      <w:r w:rsidR="00EB6E7C">
        <w:rPr>
          <w:rFonts w:ascii="Calibri" w:eastAsia="Times New Roman" w:hAnsi="Calibri" w:cs="Calibri"/>
          <w:szCs w:val="24"/>
        </w:rPr>
        <w:t xml:space="preserve">further </w:t>
      </w:r>
      <w:r w:rsidRPr="00853EA6">
        <w:rPr>
          <w:rFonts w:ascii="Calibri" w:eastAsia="Times New Roman" w:hAnsi="Calibri" w:cs="Calibri"/>
          <w:szCs w:val="24"/>
        </w:rPr>
        <w:t xml:space="preserve">risk has been agreed by SLT to be escalated to the corporate risk register.  The risk </w:t>
      </w:r>
      <w:r w:rsidR="00853EA6" w:rsidRPr="00853EA6">
        <w:rPr>
          <w:rFonts w:ascii="Calibri" w:eastAsia="Times New Roman" w:hAnsi="Calibri" w:cs="Calibri"/>
          <w:szCs w:val="24"/>
        </w:rPr>
        <w:t>will</w:t>
      </w:r>
      <w:r w:rsidRPr="00853EA6">
        <w:rPr>
          <w:rFonts w:ascii="Calibri" w:eastAsia="Times New Roman" w:hAnsi="Calibri" w:cs="Calibri"/>
          <w:szCs w:val="24"/>
        </w:rPr>
        <w:t xml:space="preserve"> </w:t>
      </w:r>
      <w:r w:rsidR="00853EA6" w:rsidRPr="00853EA6">
        <w:rPr>
          <w:rFonts w:ascii="Calibri" w:eastAsia="Times New Roman" w:hAnsi="Calibri" w:cs="Calibri"/>
          <w:szCs w:val="24"/>
        </w:rPr>
        <w:t>be included</w:t>
      </w:r>
      <w:r w:rsidRPr="00853EA6">
        <w:rPr>
          <w:rFonts w:ascii="Calibri" w:eastAsia="Times New Roman" w:hAnsi="Calibri" w:cs="Calibri"/>
          <w:szCs w:val="24"/>
        </w:rPr>
        <w:t xml:space="preserve"> in the register </w:t>
      </w:r>
      <w:r w:rsidR="00853EA6" w:rsidRPr="00853EA6">
        <w:rPr>
          <w:rFonts w:ascii="Calibri" w:eastAsia="Times New Roman" w:hAnsi="Calibri" w:cs="Calibri"/>
          <w:szCs w:val="24"/>
        </w:rPr>
        <w:t xml:space="preserve">as follows below. Work is ongoing to refine the controls and mitigation </w:t>
      </w:r>
      <w:r w:rsidR="00CE19EA" w:rsidRPr="00853EA6">
        <w:rPr>
          <w:rFonts w:ascii="Calibri" w:eastAsia="Times New Roman" w:hAnsi="Calibri" w:cs="Calibri"/>
          <w:szCs w:val="24"/>
        </w:rPr>
        <w:t>measures,</w:t>
      </w:r>
      <w:r w:rsidR="00EB6E7C">
        <w:rPr>
          <w:rFonts w:ascii="Calibri" w:eastAsia="Times New Roman" w:hAnsi="Calibri" w:cs="Calibri"/>
          <w:szCs w:val="24"/>
        </w:rPr>
        <w:t xml:space="preserve"> but it is currently rated as “high”</w:t>
      </w:r>
      <w:r w:rsidR="00853EA6" w:rsidRPr="00853EA6">
        <w:rPr>
          <w:rFonts w:ascii="Calibri" w:eastAsia="Times New Roman" w:hAnsi="Calibri" w:cs="Calibri"/>
          <w:szCs w:val="24"/>
        </w:rPr>
        <w:t>.</w:t>
      </w:r>
    </w:p>
    <w:p w14:paraId="59686DEB" w14:textId="77777777" w:rsidR="00853EA6" w:rsidRPr="00853EA6" w:rsidRDefault="00853EA6" w:rsidP="00853EA6">
      <w:pPr>
        <w:spacing w:after="0"/>
        <w:rPr>
          <w:rFonts w:ascii="Calibri" w:hAnsi="Calibri" w:cs="Calibri"/>
          <w:szCs w:val="24"/>
        </w:rPr>
      </w:pPr>
    </w:p>
    <w:p w14:paraId="09DE6149" w14:textId="23862C7E" w:rsidR="006E319D" w:rsidRPr="00853EA6" w:rsidRDefault="006E319D" w:rsidP="00853EA6">
      <w:pPr>
        <w:ind w:left="720"/>
        <w:rPr>
          <w:rFonts w:ascii="Calibri" w:hAnsi="Calibri" w:cs="Calibri"/>
          <w:b/>
          <w:bCs/>
          <w:szCs w:val="24"/>
        </w:rPr>
      </w:pPr>
      <w:r w:rsidRPr="00853EA6">
        <w:rPr>
          <w:rFonts w:ascii="Calibri" w:hAnsi="Calibri" w:cs="Calibri"/>
          <w:b/>
          <w:bCs/>
          <w:szCs w:val="24"/>
        </w:rPr>
        <w:t xml:space="preserve">740 – Nature Finance </w:t>
      </w:r>
      <w:r w:rsidR="002D1A4F" w:rsidRPr="00853EA6">
        <w:rPr>
          <w:rFonts w:ascii="Calibri" w:hAnsi="Calibri" w:cs="Calibri"/>
          <w:szCs w:val="24"/>
        </w:rPr>
        <w:t xml:space="preserve">– </w:t>
      </w:r>
      <w:r w:rsidRPr="00853EA6">
        <w:rPr>
          <w:rFonts w:ascii="Calibri" w:hAnsi="Calibri" w:cs="Calibri"/>
          <w:szCs w:val="24"/>
        </w:rPr>
        <w:t>As a result of any or all of poor governance; lack of due diligence; or poor communications, NatureScot’s reputation could be significantly damaged by misjudged or poorly delivered interventions to influence private investment in nature. There is also a risk that, if we do not proceed with the urgency required to stimulate private sector investment into nature, that significant nature restoration will be unachievable. There is therefore a balance of acting with due diligence, versus not acting at all. There are also specific risks attributed to individual projects or partnerships which are dealt with at the project level.</w:t>
      </w:r>
    </w:p>
    <w:p w14:paraId="7FE65C02" w14:textId="5EC88F3E" w:rsidR="008D20BE" w:rsidRPr="00152549" w:rsidRDefault="008D20BE" w:rsidP="00853EA6">
      <w:pPr>
        <w:rPr>
          <w:rFonts w:ascii="Calibri" w:hAnsi="Calibri" w:cs="Calibri"/>
          <w:szCs w:val="24"/>
        </w:rPr>
      </w:pPr>
    </w:p>
    <w:p w14:paraId="0D50D14D" w14:textId="45360902" w:rsidR="008D20BE" w:rsidRPr="00B7164A" w:rsidRDefault="00C83C5D" w:rsidP="00B7164A">
      <w:pPr>
        <w:pStyle w:val="Heading2"/>
        <w:spacing w:before="0" w:after="120" w:line="240" w:lineRule="auto"/>
        <w:rPr>
          <w:rFonts w:ascii="Calibri" w:hAnsi="Calibri" w:cs="Calibri"/>
          <w:sz w:val="28"/>
          <w:szCs w:val="28"/>
          <w:u w:val="single"/>
        </w:rPr>
      </w:pPr>
      <w:r w:rsidRPr="00B7164A">
        <w:rPr>
          <w:rFonts w:ascii="Calibri" w:hAnsi="Calibri" w:cs="Calibri"/>
          <w:sz w:val="28"/>
          <w:szCs w:val="28"/>
          <w:u w:val="single"/>
        </w:rPr>
        <w:t xml:space="preserve">Audit </w:t>
      </w:r>
    </w:p>
    <w:p w14:paraId="010189B0" w14:textId="2AE1AF67" w:rsidR="00FF6B1C" w:rsidRDefault="00B7164A" w:rsidP="00FF6B1C">
      <w:pPr>
        <w:jc w:val="center"/>
        <w:rPr>
          <w:rFonts w:ascii="Calibri" w:eastAsia="Times New Roman" w:hAnsi="Calibri" w:cs="Calibri"/>
          <w:b/>
          <w:szCs w:val="24"/>
        </w:rPr>
      </w:pPr>
      <w:r w:rsidRPr="00B7164A">
        <w:rPr>
          <w:noProof/>
          <w:lang w:eastAsia="en-GB"/>
        </w:rPr>
        <w:drawing>
          <wp:inline distT="0" distB="0" distL="0" distR="0" wp14:anchorId="5A222A31" wp14:editId="6FBFC47C">
            <wp:extent cx="5019675" cy="2809875"/>
            <wp:effectExtent l="0" t="0" r="0" b="0"/>
            <wp:docPr id="1044886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19675" cy="2809875"/>
                    </a:xfrm>
                    <a:prstGeom prst="rect">
                      <a:avLst/>
                    </a:prstGeom>
                    <a:noFill/>
                    <a:ln>
                      <a:noFill/>
                    </a:ln>
                  </pic:spPr>
                </pic:pic>
              </a:graphicData>
            </a:graphic>
          </wp:inline>
        </w:drawing>
      </w:r>
    </w:p>
    <w:p w14:paraId="5440BB20" w14:textId="111E3D04" w:rsidR="00C83C5D" w:rsidRPr="00853EA6" w:rsidRDefault="00FF6B1C" w:rsidP="00853EA6">
      <w:pPr>
        <w:rPr>
          <w:rFonts w:ascii="Calibri" w:eastAsia="Times New Roman" w:hAnsi="Calibri" w:cs="Calibri"/>
          <w:b/>
          <w:szCs w:val="24"/>
        </w:rPr>
      </w:pPr>
      <w:r>
        <w:rPr>
          <w:rStyle w:val="ui-provider"/>
        </w:rPr>
        <w:t>This information shows progress made with the 2023/24 Internal Audit Plan and the audit exercises completed or in progress. The RAG ratings represent the internal control rating of the area under review.</w:t>
      </w:r>
    </w:p>
    <w:p w14:paraId="19D52E4A" w14:textId="77777777" w:rsidR="008D20BE" w:rsidRPr="00517D22" w:rsidRDefault="008D20BE" w:rsidP="008D20BE">
      <w:pPr>
        <w:rPr>
          <w:rFonts w:eastAsiaTheme="majorEastAsia"/>
          <w:b/>
          <w:szCs w:val="26"/>
        </w:rPr>
      </w:pPr>
    </w:p>
    <w:p w14:paraId="34FF7ADB" w14:textId="77777777" w:rsidR="00CA47FF" w:rsidRDefault="00CA47FF">
      <w:pPr>
        <w:rPr>
          <w:rFonts w:ascii="Calibri" w:eastAsiaTheme="majorEastAsia" w:hAnsi="Calibri" w:cs="Calibri"/>
          <w:b/>
          <w:color w:val="5E8CC0"/>
          <w:szCs w:val="26"/>
        </w:rPr>
      </w:pPr>
      <w:r>
        <w:rPr>
          <w:rFonts w:ascii="Calibri" w:hAnsi="Calibri" w:cs="Calibri"/>
          <w:color w:val="5E8CC0"/>
        </w:rPr>
        <w:br w:type="page"/>
      </w:r>
    </w:p>
    <w:p w14:paraId="08D8CA8F" w14:textId="0572CEFC" w:rsidR="00C20BBB" w:rsidRDefault="008D20BE" w:rsidP="005D1EE3">
      <w:pPr>
        <w:keepNext/>
        <w:keepLines/>
        <w:spacing w:before="40" w:after="0" w:line="259" w:lineRule="auto"/>
        <w:outlineLvl w:val="1"/>
        <w:rPr>
          <w:rFonts w:ascii="Calibri" w:eastAsiaTheme="majorEastAsia" w:hAnsi="Calibri" w:cs="Calibri"/>
          <w:b/>
          <w:color w:val="007DC3"/>
          <w:sz w:val="28"/>
          <w:szCs w:val="28"/>
        </w:rPr>
      </w:pPr>
      <w:r w:rsidRPr="005D1EE3">
        <w:rPr>
          <w:rFonts w:ascii="Calibri" w:eastAsiaTheme="majorEastAsia" w:hAnsi="Calibri" w:cs="Calibri"/>
          <w:b/>
          <w:color w:val="007DC3"/>
          <w:sz w:val="28"/>
          <w:szCs w:val="28"/>
        </w:rPr>
        <w:lastRenderedPageBreak/>
        <w:t>PEOPLE</w:t>
      </w:r>
      <w:r w:rsidR="00701FAD" w:rsidRPr="005D1EE3">
        <w:rPr>
          <w:rFonts w:ascii="Calibri" w:eastAsiaTheme="majorEastAsia" w:hAnsi="Calibri" w:cs="Calibri"/>
          <w:b/>
          <w:color w:val="007DC3"/>
          <w:sz w:val="28"/>
          <w:szCs w:val="28"/>
        </w:rPr>
        <w:t xml:space="preserve"> </w:t>
      </w:r>
    </w:p>
    <w:tbl>
      <w:tblPr>
        <w:tblStyle w:val="TableGrid"/>
        <w:tblW w:w="0" w:type="auto"/>
        <w:tblInd w:w="-601" w:type="dxa"/>
        <w:tblLook w:val="04A0" w:firstRow="1" w:lastRow="0" w:firstColumn="1" w:lastColumn="0" w:noHBand="0" w:noVBand="1"/>
      </w:tblPr>
      <w:tblGrid>
        <w:gridCol w:w="8723"/>
        <w:gridCol w:w="894"/>
      </w:tblGrid>
      <w:tr w:rsidR="0024639B" w14:paraId="6A7A0EE7" w14:textId="77777777" w:rsidTr="00C75BB4">
        <w:tc>
          <w:tcPr>
            <w:tcW w:w="9006" w:type="dxa"/>
            <w:shd w:val="clear" w:color="auto" w:fill="4F81BD"/>
          </w:tcPr>
          <w:p w14:paraId="357886CF" w14:textId="77777777" w:rsidR="0024639B" w:rsidRPr="0024639B" w:rsidRDefault="0024639B" w:rsidP="00C75BB4">
            <w:pPr>
              <w:textAlignment w:val="baseline"/>
              <w:rPr>
                <w:rFonts w:ascii="Calibri" w:eastAsia="Times New Roman" w:hAnsi="Calibri" w:cs="Calibri"/>
                <w:b/>
                <w:bCs/>
                <w:lang w:eastAsia="en-GB"/>
              </w:rPr>
            </w:pPr>
            <w:r w:rsidRPr="0024639B">
              <w:rPr>
                <w:rFonts w:ascii="Calibri" w:eastAsia="Times New Roman" w:hAnsi="Calibri" w:cs="Calibri"/>
                <w:b/>
                <w:bCs/>
                <w:lang w:eastAsia="en-GB"/>
              </w:rPr>
              <w:t>People Metrics </w:t>
            </w:r>
          </w:p>
        </w:tc>
        <w:tc>
          <w:tcPr>
            <w:tcW w:w="837" w:type="dxa"/>
            <w:shd w:val="clear" w:color="auto" w:fill="4F81BD"/>
          </w:tcPr>
          <w:p w14:paraId="6BD877D5" w14:textId="77777777" w:rsidR="0024639B" w:rsidRPr="0024639B" w:rsidRDefault="0024639B" w:rsidP="00C75BB4">
            <w:pPr>
              <w:textAlignment w:val="baseline"/>
              <w:rPr>
                <w:rFonts w:ascii="Calibri" w:eastAsia="Times New Roman" w:hAnsi="Calibri" w:cs="Calibri"/>
                <w:b/>
                <w:bCs/>
                <w:lang w:eastAsia="en-GB"/>
              </w:rPr>
            </w:pPr>
            <w:r w:rsidRPr="0024639B">
              <w:rPr>
                <w:rFonts w:ascii="Calibri" w:eastAsia="Times New Roman" w:hAnsi="Calibri" w:cs="Calibri"/>
                <w:b/>
                <w:bCs/>
                <w:lang w:eastAsia="en-GB"/>
              </w:rPr>
              <w:t>Status </w:t>
            </w:r>
          </w:p>
        </w:tc>
      </w:tr>
      <w:tr w:rsidR="0024639B" w14:paraId="7D96CE53" w14:textId="77777777" w:rsidTr="00C75BB4">
        <w:tc>
          <w:tcPr>
            <w:tcW w:w="9006" w:type="dxa"/>
            <w:shd w:val="clear" w:color="auto" w:fill="00B050"/>
          </w:tcPr>
          <w:p w14:paraId="679A9CBE" w14:textId="261A75E5" w:rsidR="0024639B" w:rsidRDefault="0024639B" w:rsidP="00C75BB4">
            <w:pPr>
              <w:keepNext/>
              <w:keepLines/>
              <w:spacing w:before="40" w:line="259" w:lineRule="auto"/>
              <w:outlineLvl w:val="1"/>
              <w:rPr>
                <w:rFonts w:ascii="Calibri" w:eastAsiaTheme="majorEastAsia" w:hAnsi="Calibri" w:cs="Calibri"/>
                <w:b/>
                <w:color w:val="007DC3"/>
                <w:sz w:val="28"/>
                <w:szCs w:val="28"/>
              </w:rPr>
            </w:pPr>
            <w:r>
              <w:rPr>
                <w:rFonts w:ascii="Calibri" w:eastAsia="Times New Roman" w:hAnsi="Calibri" w:cs="Calibri"/>
                <w:b/>
                <w:bCs/>
                <w:lang w:eastAsia="en-GB"/>
              </w:rPr>
              <w:t xml:space="preserve">Health, Safety </w:t>
            </w:r>
            <w:r w:rsidR="00DD4A1A">
              <w:rPr>
                <w:rFonts w:ascii="Calibri" w:eastAsia="Times New Roman" w:hAnsi="Calibri" w:cs="Calibri"/>
                <w:b/>
                <w:bCs/>
                <w:lang w:eastAsia="en-GB"/>
              </w:rPr>
              <w:t xml:space="preserve">and </w:t>
            </w:r>
            <w:r w:rsidRPr="006B15AA">
              <w:rPr>
                <w:rFonts w:ascii="Calibri" w:eastAsia="Times New Roman" w:hAnsi="Calibri" w:cs="Calibri"/>
                <w:b/>
                <w:bCs/>
                <w:lang w:eastAsia="en-GB"/>
              </w:rPr>
              <w:t>Wellbeing </w:t>
            </w:r>
            <w:r>
              <w:rPr>
                <w:rFonts w:ascii="Calibri" w:eastAsia="Times New Roman" w:hAnsi="Calibri" w:cs="Calibri"/>
                <w:b/>
                <w:bCs/>
                <w:lang w:eastAsia="en-GB"/>
              </w:rPr>
              <w:t>–</w:t>
            </w:r>
            <w:r w:rsidRPr="006B15AA">
              <w:rPr>
                <w:rFonts w:ascii="Calibri" w:eastAsia="Times New Roman" w:hAnsi="Calibri" w:cs="Calibri"/>
                <w:b/>
                <w:bCs/>
                <w:lang w:eastAsia="en-GB"/>
              </w:rPr>
              <w:t xml:space="preserve"> </w:t>
            </w:r>
            <w:r>
              <w:rPr>
                <w:rFonts w:ascii="Calibri" w:eastAsia="Times New Roman" w:hAnsi="Calibri" w:cs="Calibri"/>
                <w:b/>
                <w:bCs/>
                <w:lang w:eastAsia="en-GB"/>
              </w:rPr>
              <w:t>Employee Engagement</w:t>
            </w:r>
          </w:p>
        </w:tc>
        <w:tc>
          <w:tcPr>
            <w:tcW w:w="837" w:type="dxa"/>
            <w:shd w:val="clear" w:color="auto" w:fill="00B050"/>
          </w:tcPr>
          <w:p w14:paraId="317C0349"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sidRPr="006454B5">
              <w:rPr>
                <w:rFonts w:ascii="Calibri" w:eastAsia="Times New Roman" w:hAnsi="Calibri" w:cs="Calibri"/>
                <w:b/>
                <w:bCs/>
                <w:lang w:eastAsia="en-GB"/>
              </w:rPr>
              <w:t>Green</w:t>
            </w:r>
          </w:p>
        </w:tc>
      </w:tr>
      <w:tr w:rsidR="0024639B" w14:paraId="1C240B38" w14:textId="77777777" w:rsidTr="00C75BB4">
        <w:tc>
          <w:tcPr>
            <w:tcW w:w="9006" w:type="dxa"/>
          </w:tcPr>
          <w:p w14:paraId="1D7638F2" w14:textId="77777777" w:rsidR="0024639B" w:rsidRPr="00F23C97" w:rsidRDefault="0024639B" w:rsidP="00C75BB4">
            <w:pPr>
              <w:textAlignment w:val="baseline"/>
              <w:rPr>
                <w:rFonts w:ascii="Calibri" w:eastAsia="Times New Roman" w:hAnsi="Calibri" w:cs="Calibri"/>
                <w:b/>
                <w:bCs/>
                <w:lang w:eastAsia="en-GB"/>
              </w:rPr>
            </w:pPr>
            <w:r>
              <w:rPr>
                <w:rFonts w:ascii="Calibri" w:eastAsia="Times New Roman" w:hAnsi="Calibri" w:cs="Calibri"/>
                <w:b/>
                <w:bCs/>
                <w:lang w:eastAsia="en-GB"/>
              </w:rPr>
              <w:t>Key Messages:</w:t>
            </w:r>
          </w:p>
          <w:p w14:paraId="5B7359E1" w14:textId="7E70E31F" w:rsidR="0024639B" w:rsidRPr="00776630" w:rsidRDefault="0024639B" w:rsidP="00C75BB4">
            <w:pPr>
              <w:pStyle w:val="ListParagraph"/>
              <w:numPr>
                <w:ilvl w:val="0"/>
                <w:numId w:val="33"/>
              </w:numPr>
              <w:textAlignment w:val="baseline"/>
              <w:rPr>
                <w:rFonts w:ascii="Calibri" w:eastAsia="Times New Roman" w:hAnsi="Calibri" w:cs="Calibri"/>
                <w:b/>
                <w:bCs/>
                <w:lang w:eastAsia="en-GB"/>
              </w:rPr>
            </w:pPr>
            <w:r w:rsidRPr="00776630">
              <w:rPr>
                <w:rFonts w:ascii="Calibri" w:eastAsia="Times New Roman" w:hAnsi="Calibri" w:cs="Calibri"/>
                <w:b/>
                <w:bCs/>
                <w:lang w:eastAsia="en-GB"/>
              </w:rPr>
              <w:t>Accident and Near Misses slightly higher than target but show a reduction in reported accidents and near misses from Q3; POD will monitor employee wellbeing engagement during 2</w:t>
            </w:r>
            <w:r w:rsidR="00CE19EA">
              <w:rPr>
                <w:rFonts w:ascii="Calibri" w:eastAsia="Times New Roman" w:hAnsi="Calibri" w:cs="Calibri"/>
                <w:b/>
                <w:bCs/>
                <w:lang w:eastAsia="en-GB"/>
              </w:rPr>
              <w:t>024</w:t>
            </w:r>
            <w:r w:rsidRPr="00776630">
              <w:rPr>
                <w:rFonts w:ascii="Calibri" w:eastAsia="Times New Roman" w:hAnsi="Calibri" w:cs="Calibri"/>
                <w:b/>
                <w:bCs/>
                <w:lang w:eastAsia="en-GB"/>
              </w:rPr>
              <w:t>/25.</w:t>
            </w:r>
          </w:p>
          <w:p w14:paraId="734BEEE4" w14:textId="77777777" w:rsidR="0024639B" w:rsidRDefault="0024639B" w:rsidP="00C75BB4">
            <w:pPr>
              <w:textAlignment w:val="baseline"/>
              <w:rPr>
                <w:rFonts w:ascii="Calibri" w:eastAsia="Times New Roman" w:hAnsi="Calibri" w:cs="Calibri"/>
                <w:b/>
                <w:bCs/>
                <w:lang w:eastAsia="en-GB"/>
              </w:rPr>
            </w:pPr>
          </w:p>
          <w:p w14:paraId="43189F15" w14:textId="77777777" w:rsidR="0024639B" w:rsidRDefault="0024639B" w:rsidP="00C75BB4">
            <w:pPr>
              <w:pStyle w:val="ListParagraph"/>
              <w:numPr>
                <w:ilvl w:val="0"/>
                <w:numId w:val="33"/>
              </w:numPr>
              <w:textAlignment w:val="baseline"/>
              <w:rPr>
                <w:rFonts w:ascii="Calibri" w:eastAsia="Times New Roman" w:hAnsi="Calibri" w:cs="Calibri"/>
                <w:lang w:eastAsia="en-GB"/>
              </w:rPr>
            </w:pPr>
            <w:r>
              <w:rPr>
                <w:rFonts w:ascii="Calibri" w:eastAsia="Times New Roman" w:hAnsi="Calibri" w:cs="Calibri"/>
                <w:lang w:eastAsia="en-GB"/>
              </w:rPr>
              <w:t>Q4: Accidents= 5 (Q3↓5); Near Misses = 7(Q3↓1)</w:t>
            </w:r>
          </w:p>
          <w:p w14:paraId="229BC505" w14:textId="77777777" w:rsidR="0024639B" w:rsidRDefault="0024639B" w:rsidP="00C75BB4">
            <w:pPr>
              <w:rPr>
                <w:rFonts w:ascii="Calibri" w:eastAsia="Times New Roman" w:hAnsi="Calibri" w:cs="Calibri"/>
                <w:lang w:eastAsia="en-GB"/>
              </w:rPr>
            </w:pPr>
            <w:r>
              <w:rPr>
                <w:rFonts w:ascii="Calibri" w:eastAsia="Times New Roman" w:hAnsi="Calibri" w:cs="Calibri"/>
                <w:noProof/>
                <w:lang w:eastAsia="en-GB"/>
              </w:rPr>
              <w:drawing>
                <wp:inline distT="0" distB="0" distL="0" distR="0" wp14:anchorId="3F45A0E0" wp14:editId="03C99DC6">
                  <wp:extent cx="2514600" cy="1381125"/>
                  <wp:effectExtent l="0" t="0" r="0" b="9525"/>
                  <wp:docPr id="452879231" name="Picture 1" descr="A graph of accid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23947" name="Picture 1" descr="A graph of accident&#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24836" cy="1386747"/>
                          </a:xfrm>
                          <a:prstGeom prst="rect">
                            <a:avLst/>
                          </a:prstGeom>
                          <a:noFill/>
                        </pic:spPr>
                      </pic:pic>
                    </a:graphicData>
                  </a:graphic>
                </wp:inline>
              </w:drawing>
            </w:r>
            <w:r>
              <w:rPr>
                <w:rFonts w:ascii="Calibri" w:eastAsia="Times New Roman" w:hAnsi="Calibri" w:cs="Calibri"/>
                <w:noProof/>
                <w:lang w:eastAsia="en-GB"/>
              </w:rPr>
              <w:drawing>
                <wp:inline distT="0" distB="0" distL="0" distR="0" wp14:anchorId="52038125" wp14:editId="4B7B0687">
                  <wp:extent cx="2771775" cy="1360805"/>
                  <wp:effectExtent l="0" t="0" r="9525" b="0"/>
                  <wp:docPr id="1731253087" name="Picture 2"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06719" name="Picture 2" descr="A graph with a line and a line&#10;&#10;Description automatically generated"/>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829712" cy="1389249"/>
                          </a:xfrm>
                          <a:prstGeom prst="rect">
                            <a:avLst/>
                          </a:prstGeom>
                          <a:noFill/>
                        </pic:spPr>
                      </pic:pic>
                    </a:graphicData>
                  </a:graphic>
                </wp:inline>
              </w:drawing>
            </w:r>
          </w:p>
          <w:p w14:paraId="4CE202DE" w14:textId="24B2E5A5" w:rsidR="0024639B" w:rsidRDefault="0024639B" w:rsidP="00C75BB4">
            <w:pPr>
              <w:rPr>
                <w:rFonts w:ascii="Calibri" w:eastAsia="Times New Roman" w:hAnsi="Calibri" w:cs="Calibri"/>
                <w:lang w:eastAsia="en-GB"/>
              </w:rPr>
            </w:pPr>
            <w:r>
              <w:rPr>
                <w:rFonts w:ascii="Calibri" w:eastAsia="Times New Roman" w:hAnsi="Calibri" w:cs="Calibri"/>
                <w:lang w:eastAsia="en-GB"/>
              </w:rPr>
              <w:t xml:space="preserve">(This graph shows number of </w:t>
            </w:r>
            <w:r w:rsidR="00CE19EA">
              <w:rPr>
                <w:rFonts w:ascii="Calibri" w:eastAsia="Times New Roman" w:hAnsi="Calibri" w:cs="Calibri"/>
                <w:lang w:eastAsia="en-GB"/>
              </w:rPr>
              <w:t xml:space="preserve">accidents)  </w:t>
            </w:r>
            <w:r>
              <w:rPr>
                <w:rFonts w:ascii="Calibri" w:eastAsia="Times New Roman" w:hAnsi="Calibri" w:cs="Calibri"/>
                <w:lang w:eastAsia="en-GB"/>
              </w:rPr>
              <w:t xml:space="preserve">   (This graph shows number of near misses)</w:t>
            </w:r>
          </w:p>
          <w:p w14:paraId="564B5FFE" w14:textId="77777777" w:rsidR="00CE19EA" w:rsidRPr="00820FAA" w:rsidRDefault="00CE19EA" w:rsidP="00C75BB4">
            <w:pPr>
              <w:rPr>
                <w:rFonts w:ascii="Calibri" w:eastAsia="Times New Roman" w:hAnsi="Calibri" w:cs="Calibri"/>
                <w:lang w:eastAsia="en-GB"/>
              </w:rPr>
            </w:pPr>
          </w:p>
          <w:p w14:paraId="0D5F8FC0" w14:textId="77777777" w:rsidR="0024639B" w:rsidRDefault="0024639B" w:rsidP="00CE19EA">
            <w:pPr>
              <w:pStyle w:val="ListParagraph"/>
              <w:numPr>
                <w:ilvl w:val="0"/>
                <w:numId w:val="33"/>
              </w:numPr>
              <w:textAlignment w:val="baseline"/>
              <w:rPr>
                <w:rFonts w:ascii="Calibri" w:eastAsia="Times New Roman" w:hAnsi="Calibri" w:cs="Calibri"/>
                <w:lang w:eastAsia="en-GB"/>
              </w:rPr>
            </w:pPr>
            <w:r>
              <w:rPr>
                <w:rFonts w:ascii="Calibri" w:eastAsia="Times New Roman" w:hAnsi="Calibri" w:cs="Calibri"/>
                <w:lang w:eastAsia="en-GB"/>
              </w:rPr>
              <w:t xml:space="preserve">Our safety culture work will focus initially on stress management in 2024/25. In addition, </w:t>
            </w:r>
            <w:r w:rsidRPr="00F4390D">
              <w:rPr>
                <w:rFonts w:ascii="Calibri" w:eastAsia="Times New Roman" w:hAnsi="Calibri" w:cs="Calibri"/>
                <w:lang w:eastAsia="en-GB"/>
              </w:rPr>
              <w:t>P</w:t>
            </w:r>
            <w:r w:rsidR="00CE19EA">
              <w:rPr>
                <w:rFonts w:ascii="Calibri" w:eastAsia="Times New Roman" w:hAnsi="Calibri" w:cs="Calibri"/>
                <w:lang w:eastAsia="en-GB"/>
              </w:rPr>
              <w:t>&amp;</w:t>
            </w:r>
            <w:r w:rsidRPr="00F4390D">
              <w:rPr>
                <w:rFonts w:ascii="Calibri" w:eastAsia="Times New Roman" w:hAnsi="Calibri" w:cs="Calibri"/>
                <w:lang w:eastAsia="en-GB"/>
              </w:rPr>
              <w:t xml:space="preserve">OD will carry out an employee engagement campaign to promote the </w:t>
            </w:r>
            <w:r>
              <w:rPr>
                <w:rFonts w:ascii="Calibri" w:eastAsia="Times New Roman" w:hAnsi="Calibri" w:cs="Calibri"/>
                <w:lang w:eastAsia="en-GB"/>
              </w:rPr>
              <w:t>we</w:t>
            </w:r>
            <w:r w:rsidRPr="00F4390D">
              <w:rPr>
                <w:rFonts w:ascii="Calibri" w:eastAsia="Times New Roman" w:hAnsi="Calibri" w:cs="Calibri"/>
                <w:lang w:eastAsia="en-GB"/>
              </w:rPr>
              <w:t>llbeing policy suite.</w:t>
            </w:r>
          </w:p>
          <w:p w14:paraId="3918F537" w14:textId="7646EDA2" w:rsidR="00CE19EA" w:rsidRPr="00CE19EA" w:rsidRDefault="00CE19EA" w:rsidP="00CE19EA">
            <w:pPr>
              <w:pStyle w:val="ListParagraph"/>
              <w:textAlignment w:val="baseline"/>
              <w:rPr>
                <w:rFonts w:ascii="Calibri" w:eastAsia="Times New Roman" w:hAnsi="Calibri" w:cs="Calibri"/>
                <w:lang w:eastAsia="en-GB"/>
              </w:rPr>
            </w:pPr>
          </w:p>
        </w:tc>
        <w:tc>
          <w:tcPr>
            <w:tcW w:w="837" w:type="dxa"/>
          </w:tcPr>
          <w:p w14:paraId="0D8400EC"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p>
        </w:tc>
      </w:tr>
      <w:tr w:rsidR="0024639B" w14:paraId="3FFCB16F" w14:textId="77777777" w:rsidTr="00C75BB4">
        <w:tc>
          <w:tcPr>
            <w:tcW w:w="9006" w:type="dxa"/>
            <w:shd w:val="clear" w:color="auto" w:fill="00B050"/>
          </w:tcPr>
          <w:p w14:paraId="2DCF20A3"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Pr>
                <w:rFonts w:ascii="Calibri" w:eastAsia="Times New Roman" w:hAnsi="Calibri" w:cs="Calibri"/>
                <w:b/>
                <w:bCs/>
                <w:lang w:eastAsia="en-GB"/>
              </w:rPr>
              <w:t xml:space="preserve">Employee Engagement </w:t>
            </w:r>
            <w:r>
              <w:rPr>
                <w:rFonts w:ascii="Calibri" w:eastAsia="Times New Roman" w:hAnsi="Calibri" w:cs="Calibri"/>
                <w:b/>
                <w:bCs/>
                <w:lang w:eastAsia="en-GB"/>
              </w:rPr>
              <w:tab/>
            </w:r>
          </w:p>
        </w:tc>
        <w:tc>
          <w:tcPr>
            <w:tcW w:w="837" w:type="dxa"/>
            <w:shd w:val="clear" w:color="auto" w:fill="00B050"/>
          </w:tcPr>
          <w:p w14:paraId="7E23D704"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sidRPr="00ED71F6">
              <w:rPr>
                <w:rFonts w:ascii="Calibri" w:eastAsia="Times New Roman" w:hAnsi="Calibri" w:cs="Calibri"/>
                <w:b/>
                <w:bCs/>
                <w:lang w:eastAsia="en-GB"/>
              </w:rPr>
              <w:t xml:space="preserve">Green </w:t>
            </w:r>
          </w:p>
        </w:tc>
      </w:tr>
      <w:tr w:rsidR="0024639B" w14:paraId="35C8CBA5" w14:textId="77777777" w:rsidTr="00C75BB4">
        <w:tc>
          <w:tcPr>
            <w:tcW w:w="9006" w:type="dxa"/>
          </w:tcPr>
          <w:p w14:paraId="5C2FC843" w14:textId="77777777" w:rsidR="0024639B" w:rsidRDefault="0024639B" w:rsidP="00C75BB4">
            <w:pPr>
              <w:textAlignment w:val="baseline"/>
              <w:rPr>
                <w:rFonts w:ascii="Calibri" w:eastAsia="Times New Roman" w:hAnsi="Calibri" w:cs="Calibri"/>
                <w:b/>
                <w:lang w:eastAsia="en-GB"/>
              </w:rPr>
            </w:pPr>
            <w:r>
              <w:rPr>
                <w:rFonts w:ascii="Calibri" w:eastAsia="Times New Roman" w:hAnsi="Calibri" w:cs="Calibri"/>
                <w:b/>
                <w:lang w:eastAsia="en-GB"/>
              </w:rPr>
              <w:t xml:space="preserve">Key Messages: </w:t>
            </w:r>
          </w:p>
          <w:p w14:paraId="3022A37C" w14:textId="77777777" w:rsidR="0024639B" w:rsidRDefault="0024639B" w:rsidP="00C75BB4">
            <w:pPr>
              <w:pStyle w:val="ListParagraph"/>
              <w:numPr>
                <w:ilvl w:val="0"/>
                <w:numId w:val="23"/>
              </w:numPr>
              <w:textAlignment w:val="baseline"/>
              <w:rPr>
                <w:rFonts w:ascii="Calibri" w:eastAsia="Times New Roman" w:hAnsi="Calibri" w:cs="Calibri"/>
                <w:lang w:eastAsia="en-GB"/>
              </w:rPr>
            </w:pPr>
            <w:r>
              <w:rPr>
                <w:rFonts w:ascii="Calibri" w:eastAsia="Times New Roman" w:hAnsi="Calibri" w:cs="Calibri"/>
                <w:lang w:eastAsia="en-GB"/>
              </w:rPr>
              <w:t xml:space="preserve">The January 2024 pulse survey saw a significant increase in the response rate at 78% (↑30%), with a focus on workload management, safety culture and equality, diversity, and inclusion. </w:t>
            </w:r>
          </w:p>
          <w:p w14:paraId="3BE68A2A" w14:textId="7B19A509" w:rsidR="0024639B" w:rsidRDefault="0024639B" w:rsidP="00C75BB4">
            <w:pPr>
              <w:pStyle w:val="ListParagraph"/>
              <w:numPr>
                <w:ilvl w:val="0"/>
                <w:numId w:val="23"/>
              </w:numPr>
              <w:textAlignment w:val="baseline"/>
              <w:rPr>
                <w:rFonts w:ascii="Calibri" w:eastAsia="Times New Roman" w:hAnsi="Calibri" w:cs="Calibri"/>
                <w:lang w:eastAsia="en-GB"/>
              </w:rPr>
            </w:pPr>
            <w:r>
              <w:rPr>
                <w:rFonts w:ascii="Calibri" w:eastAsia="Times New Roman" w:hAnsi="Calibri" w:cs="Calibri"/>
                <w:lang w:eastAsia="en-GB"/>
              </w:rPr>
              <w:t>Workload Management: 14% more than Jan 2023 said that they could maintain a manageable workload. 96% said they had a performance development conversation (PDC) over the last 12 months (↑</w:t>
            </w:r>
            <w:r w:rsidRPr="00EE21C0">
              <w:rPr>
                <w:rFonts w:ascii="Calibri" w:eastAsia="Times New Roman" w:hAnsi="Calibri" w:cs="Calibri"/>
                <w:lang w:eastAsia="en-GB"/>
              </w:rPr>
              <w:t>10%</w:t>
            </w:r>
            <w:r>
              <w:rPr>
                <w:rFonts w:ascii="Calibri" w:eastAsia="Times New Roman" w:hAnsi="Calibri" w:cs="Calibri"/>
                <w:lang w:eastAsia="en-GB"/>
              </w:rPr>
              <w:t>). 61% said they had 3 or more PDCs (↑</w:t>
            </w:r>
            <w:r w:rsidRPr="00EE21C0">
              <w:rPr>
                <w:rFonts w:ascii="Calibri" w:eastAsia="Times New Roman" w:hAnsi="Calibri" w:cs="Calibri"/>
                <w:lang w:eastAsia="en-GB"/>
              </w:rPr>
              <w:t>1</w:t>
            </w:r>
            <w:r>
              <w:rPr>
                <w:rFonts w:ascii="Calibri" w:eastAsia="Times New Roman" w:hAnsi="Calibri" w:cs="Calibri"/>
                <w:lang w:eastAsia="en-GB"/>
              </w:rPr>
              <w:t>4</w:t>
            </w:r>
            <w:r w:rsidRPr="00EE21C0">
              <w:rPr>
                <w:rFonts w:ascii="Calibri" w:eastAsia="Times New Roman" w:hAnsi="Calibri" w:cs="Calibri"/>
                <w:lang w:eastAsia="en-GB"/>
              </w:rPr>
              <w:t>%</w:t>
            </w:r>
            <w:r>
              <w:rPr>
                <w:rFonts w:ascii="Calibri" w:eastAsia="Times New Roman" w:hAnsi="Calibri" w:cs="Calibri"/>
                <w:lang w:eastAsia="en-GB"/>
              </w:rPr>
              <w:t xml:space="preserve">). Only 22% said they hadn’t had a PDC (↓36%). Topics currently not discussed </w:t>
            </w:r>
            <w:r w:rsidR="00CE19EA">
              <w:rPr>
                <w:rFonts w:ascii="Calibri" w:eastAsia="Times New Roman" w:hAnsi="Calibri" w:cs="Calibri"/>
                <w:lang w:eastAsia="en-GB"/>
              </w:rPr>
              <w:t>at</w:t>
            </w:r>
            <w:r>
              <w:rPr>
                <w:rFonts w:ascii="Calibri" w:eastAsia="Times New Roman" w:hAnsi="Calibri" w:cs="Calibri"/>
                <w:lang w:eastAsia="en-GB"/>
              </w:rPr>
              <w:t xml:space="preserve"> PDCs including career path progression. We are implementing an organisation-wide approach to career conversations</w:t>
            </w:r>
            <w:r w:rsidR="00CE19EA">
              <w:rPr>
                <w:rFonts w:ascii="Calibri" w:eastAsia="Times New Roman" w:hAnsi="Calibri" w:cs="Calibri"/>
                <w:lang w:eastAsia="en-GB"/>
              </w:rPr>
              <w:t>.</w:t>
            </w:r>
          </w:p>
          <w:p w14:paraId="164F36FD" w14:textId="77777777" w:rsidR="0024639B" w:rsidRDefault="0024639B" w:rsidP="00C75BB4">
            <w:pPr>
              <w:pStyle w:val="ListParagraph"/>
              <w:numPr>
                <w:ilvl w:val="0"/>
                <w:numId w:val="23"/>
              </w:numPr>
              <w:textAlignment w:val="baseline"/>
              <w:rPr>
                <w:rFonts w:ascii="Calibri" w:eastAsia="Times New Roman" w:hAnsi="Calibri" w:cs="Calibri"/>
                <w:lang w:eastAsia="en-GB"/>
              </w:rPr>
            </w:pPr>
            <w:r w:rsidRPr="0024639B">
              <w:rPr>
                <w:rFonts w:ascii="Calibri" w:eastAsia="Times New Roman" w:hAnsi="Calibri" w:cs="Calibri"/>
                <w:lang w:eastAsia="en-GB"/>
              </w:rPr>
              <w:t xml:space="preserve">Safety Culture: 80% said their manager involves them in decisions affecting their safety and wellbeing. 48% said they rarely feel stressed at work (↓2%). Proactive work from the safety culture project in terms of stress management mentioned above will support improving this score. </w:t>
            </w:r>
          </w:p>
          <w:p w14:paraId="47AEBAE9" w14:textId="0A855441" w:rsidR="00CE19EA" w:rsidRDefault="0024639B" w:rsidP="00C75BB4">
            <w:pPr>
              <w:pStyle w:val="ListParagraph"/>
              <w:numPr>
                <w:ilvl w:val="0"/>
                <w:numId w:val="23"/>
              </w:numPr>
              <w:textAlignment w:val="baseline"/>
              <w:rPr>
                <w:rFonts w:ascii="Calibri" w:eastAsia="Times New Roman" w:hAnsi="Calibri" w:cs="Calibri"/>
                <w:lang w:eastAsia="en-GB"/>
              </w:rPr>
            </w:pPr>
            <w:r w:rsidRPr="0024639B">
              <w:rPr>
                <w:rFonts w:ascii="Calibri" w:eastAsia="Times New Roman" w:hAnsi="Calibri" w:cs="Calibri"/>
                <w:lang w:eastAsia="en-GB"/>
              </w:rPr>
              <w:t xml:space="preserve">Equality, Diversity </w:t>
            </w:r>
            <w:r w:rsidR="00664378">
              <w:rPr>
                <w:rFonts w:ascii="Calibri" w:eastAsia="Times New Roman" w:hAnsi="Calibri" w:cs="Calibri"/>
                <w:lang w:eastAsia="en-GB"/>
              </w:rPr>
              <w:t xml:space="preserve">and </w:t>
            </w:r>
            <w:r w:rsidR="00664378" w:rsidRPr="0024639B">
              <w:rPr>
                <w:rFonts w:ascii="Calibri" w:eastAsia="Times New Roman" w:hAnsi="Calibri" w:cs="Calibri"/>
                <w:lang w:eastAsia="en-GB"/>
              </w:rPr>
              <w:t>Inclusion</w:t>
            </w:r>
            <w:r w:rsidRPr="0024639B">
              <w:rPr>
                <w:rFonts w:ascii="Calibri" w:eastAsia="Times New Roman" w:hAnsi="Calibri" w:cs="Calibri"/>
                <w:lang w:eastAsia="en-GB"/>
              </w:rPr>
              <w:t>: 9% fewer felt NatureScot is inclusive than in Nov 2022</w:t>
            </w:r>
            <w:r w:rsidR="00A94043">
              <w:rPr>
                <w:rFonts w:ascii="Calibri" w:eastAsia="Times New Roman" w:hAnsi="Calibri" w:cs="Calibri"/>
                <w:lang w:eastAsia="en-GB"/>
              </w:rPr>
              <w:t>, a</w:t>
            </w:r>
            <w:r w:rsidRPr="0024639B">
              <w:rPr>
                <w:rFonts w:ascii="Calibri" w:eastAsia="Times New Roman" w:hAnsi="Calibri" w:cs="Calibri"/>
                <w:lang w:eastAsia="en-GB"/>
              </w:rPr>
              <w:t xml:space="preserve">lthough 10% more said they would be comfortable calling out bad behaviour. The number who felt they had been discriminated ↓2%, with this based on competency/ability, followed by grade. Main reason for non-reporting was this wasn’t substantial enough or there was not enough evidence. </w:t>
            </w:r>
          </w:p>
          <w:p w14:paraId="77FD578E" w14:textId="7E20B438" w:rsidR="0024639B" w:rsidRPr="0024639B" w:rsidRDefault="0024639B" w:rsidP="00C75BB4">
            <w:pPr>
              <w:pStyle w:val="ListParagraph"/>
              <w:numPr>
                <w:ilvl w:val="0"/>
                <w:numId w:val="23"/>
              </w:numPr>
              <w:textAlignment w:val="baseline"/>
              <w:rPr>
                <w:rFonts w:ascii="Calibri" w:eastAsia="Times New Roman" w:hAnsi="Calibri" w:cs="Calibri"/>
                <w:lang w:eastAsia="en-GB"/>
              </w:rPr>
            </w:pPr>
            <w:r w:rsidRPr="0024639B">
              <w:rPr>
                <w:rFonts w:ascii="Calibri" w:eastAsia="Times New Roman" w:hAnsi="Calibri" w:cs="Calibri"/>
                <w:lang w:eastAsia="en-GB"/>
              </w:rPr>
              <w:t>In Q4 POD carried out an EDI data collection exercise. This successfully increased the disclosure rate from 25% to 59% (↑34%). A summary report of the results and how these can inform our equalities work, is currently being written, and will be cascaded to SLT and ELT by correspondence.</w:t>
            </w:r>
          </w:p>
        </w:tc>
        <w:tc>
          <w:tcPr>
            <w:tcW w:w="837" w:type="dxa"/>
          </w:tcPr>
          <w:p w14:paraId="4D14E602"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p>
        </w:tc>
      </w:tr>
      <w:tr w:rsidR="0024639B" w14:paraId="477D88F6" w14:textId="77777777" w:rsidTr="00C75BB4">
        <w:tc>
          <w:tcPr>
            <w:tcW w:w="9006" w:type="dxa"/>
            <w:shd w:val="clear" w:color="auto" w:fill="00B050"/>
          </w:tcPr>
          <w:p w14:paraId="73394883"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Pr>
                <w:rFonts w:ascii="Calibri" w:eastAsia="Times New Roman" w:hAnsi="Calibri" w:cs="Calibri"/>
                <w:b/>
                <w:bCs/>
                <w:lang w:eastAsia="en-GB"/>
              </w:rPr>
              <w:lastRenderedPageBreak/>
              <w:t xml:space="preserve">Attendance </w:t>
            </w:r>
          </w:p>
        </w:tc>
        <w:tc>
          <w:tcPr>
            <w:tcW w:w="837" w:type="dxa"/>
            <w:shd w:val="clear" w:color="auto" w:fill="00B050"/>
          </w:tcPr>
          <w:p w14:paraId="779FC60B"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Pr>
                <w:rFonts w:ascii="Calibri" w:eastAsia="Times New Roman" w:hAnsi="Calibri" w:cs="Calibri"/>
                <w:b/>
                <w:bCs/>
                <w:lang w:eastAsia="en-GB"/>
              </w:rPr>
              <w:t>Green</w:t>
            </w:r>
          </w:p>
        </w:tc>
      </w:tr>
      <w:tr w:rsidR="0024639B" w14:paraId="70258C32" w14:textId="77777777" w:rsidTr="00C75BB4">
        <w:tc>
          <w:tcPr>
            <w:tcW w:w="9006" w:type="dxa"/>
          </w:tcPr>
          <w:p w14:paraId="35FC0DAD" w14:textId="77777777" w:rsidR="0024639B" w:rsidRPr="00022612" w:rsidRDefault="0024639B" w:rsidP="00C75BB4">
            <w:pPr>
              <w:textAlignment w:val="baseline"/>
              <w:rPr>
                <w:rFonts w:ascii="Calibri" w:eastAsia="Times New Roman" w:hAnsi="Calibri" w:cs="Calibri"/>
                <w:b/>
                <w:bCs/>
                <w:lang w:eastAsia="en-GB"/>
              </w:rPr>
            </w:pPr>
            <w:r w:rsidRPr="00022612">
              <w:rPr>
                <w:rFonts w:ascii="Calibri" w:eastAsia="Times New Roman" w:hAnsi="Calibri" w:cs="Calibri"/>
                <w:b/>
                <w:bCs/>
                <w:lang w:eastAsia="en-GB"/>
              </w:rPr>
              <w:t>Key Messages:</w:t>
            </w:r>
          </w:p>
          <w:p w14:paraId="21A56431" w14:textId="77777777" w:rsidR="0024639B" w:rsidRPr="00ED098B" w:rsidRDefault="0024639B" w:rsidP="00C75BB4">
            <w:pPr>
              <w:pStyle w:val="ListParagraph"/>
              <w:numPr>
                <w:ilvl w:val="0"/>
                <w:numId w:val="31"/>
              </w:numPr>
              <w:textAlignment w:val="baseline"/>
              <w:rPr>
                <w:rFonts w:ascii="Calibri" w:eastAsia="Times New Roman" w:hAnsi="Calibri" w:cs="Calibri"/>
                <w:b/>
                <w:bCs/>
                <w:lang w:eastAsia="en-GB"/>
              </w:rPr>
            </w:pPr>
            <w:r w:rsidRPr="006B15AA">
              <w:rPr>
                <w:rFonts w:ascii="Calibri" w:eastAsia="Times New Roman" w:hAnsi="Calibri" w:cs="Calibri"/>
                <w:b/>
                <w:bCs/>
                <w:lang w:eastAsia="en-GB"/>
              </w:rPr>
              <w:t xml:space="preserve">Sickness </w:t>
            </w:r>
            <w:r>
              <w:rPr>
                <w:rFonts w:ascii="Calibri" w:eastAsia="Times New Roman" w:hAnsi="Calibri" w:cs="Calibri"/>
                <w:b/>
                <w:bCs/>
                <w:lang w:eastAsia="en-GB"/>
              </w:rPr>
              <w:t xml:space="preserve">is within </w:t>
            </w:r>
            <w:r w:rsidRPr="006B15AA">
              <w:rPr>
                <w:rFonts w:ascii="Calibri" w:eastAsia="Times New Roman" w:hAnsi="Calibri" w:cs="Calibri"/>
                <w:b/>
                <w:bCs/>
                <w:lang w:eastAsia="en-GB"/>
              </w:rPr>
              <w:t xml:space="preserve">target and </w:t>
            </w:r>
            <w:r>
              <w:rPr>
                <w:rFonts w:ascii="Calibri" w:eastAsia="Times New Roman" w:hAnsi="Calibri" w:cs="Calibri"/>
                <w:b/>
                <w:bCs/>
                <w:lang w:eastAsia="en-GB"/>
              </w:rPr>
              <w:t xml:space="preserve">annual </w:t>
            </w:r>
            <w:r w:rsidRPr="006B15AA">
              <w:rPr>
                <w:rFonts w:ascii="Calibri" w:eastAsia="Times New Roman" w:hAnsi="Calibri" w:cs="Calibri"/>
                <w:b/>
                <w:bCs/>
                <w:lang w:eastAsia="en-GB"/>
              </w:rPr>
              <w:t xml:space="preserve">leave </w:t>
            </w:r>
            <w:r>
              <w:rPr>
                <w:rFonts w:ascii="Calibri" w:eastAsia="Times New Roman" w:hAnsi="Calibri" w:cs="Calibri"/>
                <w:b/>
                <w:bCs/>
                <w:lang w:eastAsia="en-GB"/>
              </w:rPr>
              <w:t xml:space="preserve">is </w:t>
            </w:r>
            <w:r w:rsidRPr="006B15AA">
              <w:rPr>
                <w:rFonts w:ascii="Calibri" w:eastAsia="Times New Roman" w:hAnsi="Calibri" w:cs="Calibri"/>
                <w:b/>
                <w:bCs/>
                <w:lang w:eastAsia="en-GB"/>
              </w:rPr>
              <w:t>on target</w:t>
            </w:r>
            <w:r>
              <w:rPr>
                <w:rFonts w:ascii="Calibri" w:eastAsia="Times New Roman" w:hAnsi="Calibri" w:cs="Calibri"/>
                <w:b/>
                <w:bCs/>
                <w:lang w:eastAsia="en-GB"/>
              </w:rPr>
              <w:t>.</w:t>
            </w:r>
          </w:p>
          <w:p w14:paraId="61016412" w14:textId="77777777" w:rsidR="0024639B" w:rsidRPr="00E40713" w:rsidRDefault="0024639B" w:rsidP="00C75BB4">
            <w:pPr>
              <w:pStyle w:val="ListParagraph"/>
              <w:textAlignment w:val="baseline"/>
              <w:rPr>
                <w:rFonts w:ascii="Calibri" w:eastAsia="Times New Roman" w:hAnsi="Calibri" w:cs="Calibri"/>
                <w:b/>
                <w:bCs/>
                <w:lang w:eastAsia="en-GB"/>
              </w:rPr>
            </w:pPr>
          </w:p>
          <w:p w14:paraId="0D68F031" w14:textId="77777777" w:rsidR="0024639B" w:rsidRPr="006B15AA" w:rsidRDefault="0024639B" w:rsidP="00C75BB4">
            <w:pPr>
              <w:textAlignment w:val="baseline"/>
              <w:rPr>
                <w:rFonts w:ascii="Times New Roman" w:eastAsia="Times New Roman" w:hAnsi="Times New Roman" w:cs="Times New Roman"/>
                <w:b/>
                <w:bCs/>
                <w:lang w:eastAsia="en-GB"/>
              </w:rPr>
            </w:pPr>
            <w:r w:rsidRPr="006B15AA">
              <w:rPr>
                <w:rFonts w:ascii="Calibri" w:eastAsia="Times New Roman" w:hAnsi="Calibri" w:cs="Calibri"/>
                <w:b/>
                <w:bCs/>
                <w:lang w:eastAsia="en-GB"/>
              </w:rPr>
              <w:t xml:space="preserve">Sickness – Target: </w:t>
            </w:r>
            <w:r>
              <w:rPr>
                <w:rFonts w:ascii="Calibri" w:eastAsia="Times New Roman" w:hAnsi="Calibri" w:cs="Calibri"/>
                <w:b/>
                <w:bCs/>
                <w:lang w:eastAsia="en-GB"/>
              </w:rPr>
              <w:t>less than</w:t>
            </w:r>
            <w:r w:rsidRPr="006B15AA">
              <w:rPr>
                <w:rFonts w:ascii="Calibri" w:eastAsia="Times New Roman" w:hAnsi="Calibri" w:cs="Calibri"/>
                <w:b/>
                <w:bCs/>
                <w:lang w:eastAsia="en-GB"/>
              </w:rPr>
              <w:t xml:space="preserve"> 2 days per person per quarter</w:t>
            </w:r>
          </w:p>
          <w:p w14:paraId="0DD33FA0" w14:textId="77777777" w:rsidR="0024639B" w:rsidRPr="00022612" w:rsidRDefault="0024639B" w:rsidP="00C75BB4">
            <w:pPr>
              <w:pStyle w:val="ListParagraph"/>
              <w:numPr>
                <w:ilvl w:val="0"/>
                <w:numId w:val="31"/>
              </w:numPr>
              <w:textAlignment w:val="baseline"/>
              <w:rPr>
                <w:rFonts w:ascii="Calibri" w:eastAsia="Times New Roman" w:hAnsi="Calibri" w:cs="Calibri"/>
                <w:b/>
                <w:bCs/>
                <w:lang w:eastAsia="en-GB"/>
              </w:rPr>
            </w:pPr>
            <w:r w:rsidRPr="006B15AA">
              <w:rPr>
                <w:rFonts w:ascii="Calibri" w:eastAsia="Times New Roman" w:hAnsi="Calibri" w:cs="Calibri"/>
                <w:lang w:eastAsia="en-GB"/>
              </w:rPr>
              <w:t>Q</w:t>
            </w:r>
            <w:r>
              <w:rPr>
                <w:rFonts w:ascii="Calibri" w:eastAsia="Times New Roman" w:hAnsi="Calibri" w:cs="Calibri"/>
                <w:lang w:eastAsia="en-GB"/>
              </w:rPr>
              <w:t>4</w:t>
            </w:r>
            <w:r w:rsidRPr="006B15AA">
              <w:rPr>
                <w:rFonts w:ascii="Calibri" w:eastAsia="Times New Roman" w:hAnsi="Calibri" w:cs="Calibri"/>
                <w:lang w:eastAsia="en-GB"/>
              </w:rPr>
              <w:t>: 1.</w:t>
            </w:r>
            <w:r>
              <w:rPr>
                <w:rFonts w:ascii="Calibri" w:eastAsia="Times New Roman" w:hAnsi="Calibri" w:cs="Calibri"/>
                <w:lang w:eastAsia="en-GB"/>
              </w:rPr>
              <w:t xml:space="preserve">62 </w:t>
            </w:r>
            <w:r w:rsidRPr="006B15AA">
              <w:rPr>
                <w:rFonts w:ascii="Calibri" w:eastAsia="Times New Roman" w:hAnsi="Calibri" w:cs="Calibri"/>
                <w:lang w:eastAsia="en-GB"/>
              </w:rPr>
              <w:t>days per person sickness (</w:t>
            </w:r>
            <w:r>
              <w:rPr>
                <w:rFonts w:ascii="Calibri" w:eastAsia="Times New Roman" w:hAnsi="Calibri" w:cs="Calibri"/>
                <w:lang w:eastAsia="en-GB"/>
              </w:rPr>
              <w:t>1.86</w:t>
            </w:r>
            <w:r w:rsidRPr="006B15AA">
              <w:rPr>
                <w:rFonts w:ascii="Calibri" w:eastAsia="Times New Roman" w:hAnsi="Calibri" w:cs="Calibri"/>
                <w:lang w:eastAsia="en-GB"/>
              </w:rPr>
              <w:t xml:space="preserve"> days in Q</w:t>
            </w:r>
            <w:r>
              <w:rPr>
                <w:rFonts w:ascii="Calibri" w:eastAsia="Times New Roman" w:hAnsi="Calibri" w:cs="Calibri"/>
                <w:lang w:eastAsia="en-GB"/>
              </w:rPr>
              <w:t>3; ↓0.24days</w:t>
            </w:r>
            <w:r w:rsidRPr="006B15AA">
              <w:rPr>
                <w:rFonts w:ascii="Calibri" w:eastAsia="Times New Roman" w:hAnsi="Calibri" w:cs="Calibri"/>
                <w:lang w:eastAsia="en-GB"/>
              </w:rPr>
              <w:t xml:space="preserve">). </w:t>
            </w:r>
            <w:r>
              <w:rPr>
                <w:rFonts w:ascii="Calibri" w:eastAsia="Times New Roman" w:hAnsi="Calibri" w:cs="Calibri"/>
                <w:lang w:eastAsia="en-GB"/>
              </w:rPr>
              <w:t>The rolling annual average days lost for 2023/24 is 6.37 days, which is an increase of 0.04 days per headcount from 2022/23. The total number of sick days lost in 2023/24 was 5,164 (↑256 days, 2022/23).</w:t>
            </w:r>
          </w:p>
          <w:p w14:paraId="7C3C9CF6" w14:textId="77777777" w:rsidR="0024639B" w:rsidRPr="00BF2AB7" w:rsidRDefault="0024639B" w:rsidP="00C75BB4">
            <w:pPr>
              <w:pStyle w:val="ListParagraph"/>
              <w:numPr>
                <w:ilvl w:val="0"/>
                <w:numId w:val="31"/>
              </w:numPr>
              <w:textAlignment w:val="baseline"/>
              <w:rPr>
                <w:rFonts w:ascii="Times New Roman" w:eastAsia="Times New Roman" w:hAnsi="Times New Roman" w:cs="Times New Roman"/>
                <w:b/>
                <w:bCs/>
                <w:lang w:eastAsia="en-GB"/>
              </w:rPr>
            </w:pPr>
            <w:r w:rsidRPr="00BF2AB7">
              <w:rPr>
                <w:rFonts w:ascii="Calibri" w:eastAsia="Times New Roman" w:hAnsi="Calibri" w:cs="Calibri"/>
                <w:lang w:eastAsia="en-GB"/>
              </w:rPr>
              <w:t>Short-term absences continue</w:t>
            </w:r>
            <w:r>
              <w:rPr>
                <w:rFonts w:ascii="Calibri" w:eastAsia="Times New Roman" w:hAnsi="Calibri" w:cs="Calibri"/>
                <w:lang w:eastAsia="en-GB"/>
              </w:rPr>
              <w:t>d</w:t>
            </w:r>
            <w:r w:rsidRPr="00BF2AB7">
              <w:rPr>
                <w:rFonts w:ascii="Calibri" w:eastAsia="Times New Roman" w:hAnsi="Calibri" w:cs="Calibri"/>
                <w:lang w:eastAsia="en-GB"/>
              </w:rPr>
              <w:t xml:space="preserve"> to be the bulk of working time lost in Q4; 1% of 3</w:t>
            </w:r>
            <w:r>
              <w:rPr>
                <w:rFonts w:ascii="Calibri" w:eastAsia="Times New Roman" w:hAnsi="Calibri" w:cs="Calibri"/>
                <w:lang w:eastAsia="en-GB"/>
              </w:rPr>
              <w:t>6</w:t>
            </w:r>
            <w:r w:rsidRPr="00BF2AB7">
              <w:rPr>
                <w:rFonts w:ascii="Calibri" w:eastAsia="Times New Roman" w:hAnsi="Calibri" w:cs="Calibri"/>
                <w:lang w:eastAsia="en-GB"/>
              </w:rPr>
              <w:t>0 sick absence occurrences in Q4 were long term</w:t>
            </w:r>
            <w:r>
              <w:rPr>
                <w:rFonts w:ascii="Calibri" w:eastAsia="Times New Roman" w:hAnsi="Calibri" w:cs="Calibri"/>
                <w:lang w:eastAsia="en-GB"/>
              </w:rPr>
              <w:t>. The</w:t>
            </w:r>
            <w:r w:rsidRPr="00BF2AB7">
              <w:rPr>
                <w:rFonts w:ascii="Calibri" w:eastAsia="Times New Roman" w:hAnsi="Calibri" w:cs="Calibri"/>
                <w:lang w:eastAsia="en-GB"/>
              </w:rPr>
              <w:t xml:space="preserve"> top reason for short-term sickness in Q4</w:t>
            </w:r>
            <w:r>
              <w:rPr>
                <w:rFonts w:ascii="Calibri" w:eastAsia="Times New Roman" w:hAnsi="Calibri" w:cs="Calibri"/>
                <w:lang w:eastAsia="en-GB"/>
              </w:rPr>
              <w:t xml:space="preserve"> (and across the whole year)</w:t>
            </w:r>
            <w:r w:rsidRPr="00BF2AB7">
              <w:rPr>
                <w:rFonts w:ascii="Calibri" w:eastAsia="Times New Roman" w:hAnsi="Calibri" w:cs="Calibri"/>
                <w:lang w:eastAsia="en-GB"/>
              </w:rPr>
              <w:t xml:space="preserve"> was coronavirus, with 258 days (320 days in Q</w:t>
            </w:r>
            <w:r>
              <w:rPr>
                <w:rFonts w:ascii="Calibri" w:eastAsia="Times New Roman" w:hAnsi="Calibri" w:cs="Calibri"/>
                <w:lang w:eastAsia="en-GB"/>
              </w:rPr>
              <w:t>3</w:t>
            </w:r>
            <w:r w:rsidRPr="00BF2AB7">
              <w:rPr>
                <w:rFonts w:ascii="Calibri" w:eastAsia="Times New Roman" w:hAnsi="Calibri" w:cs="Calibri"/>
                <w:lang w:eastAsia="en-GB"/>
              </w:rPr>
              <w:t>; ↓6</w:t>
            </w:r>
            <w:r>
              <w:rPr>
                <w:rFonts w:ascii="Calibri" w:eastAsia="Times New Roman" w:hAnsi="Calibri" w:cs="Calibri"/>
                <w:lang w:eastAsia="en-GB"/>
              </w:rPr>
              <w:t>2</w:t>
            </w:r>
            <w:r w:rsidRPr="00BF2AB7">
              <w:rPr>
                <w:rFonts w:ascii="Calibri" w:eastAsia="Times New Roman" w:hAnsi="Calibri" w:cs="Calibri"/>
                <w:lang w:eastAsia="en-GB"/>
              </w:rPr>
              <w:t xml:space="preserve"> days). </w:t>
            </w:r>
          </w:p>
          <w:p w14:paraId="3C5E8047" w14:textId="77777777" w:rsidR="0024639B" w:rsidRPr="009210F4" w:rsidRDefault="0024639B" w:rsidP="00C75BB4">
            <w:pPr>
              <w:pStyle w:val="ListParagraph"/>
              <w:numPr>
                <w:ilvl w:val="0"/>
                <w:numId w:val="31"/>
              </w:numPr>
              <w:textAlignment w:val="baseline"/>
              <w:rPr>
                <w:rFonts w:ascii="Times New Roman" w:eastAsia="Times New Roman" w:hAnsi="Times New Roman" w:cs="Times New Roman"/>
                <w:b/>
                <w:bCs/>
                <w:lang w:eastAsia="en-GB"/>
              </w:rPr>
            </w:pPr>
            <w:r>
              <w:rPr>
                <w:rFonts w:ascii="Calibri" w:eastAsia="Times New Roman" w:hAnsi="Calibri" w:cs="Calibri"/>
                <w:lang w:eastAsia="en-GB"/>
              </w:rPr>
              <w:t xml:space="preserve">In addition, there has been a significant increase in absences due to Mental Health – Personal stress/Depression/Anxiety with an increase of 68 sickness days lost. </w:t>
            </w:r>
          </w:p>
          <w:p w14:paraId="106C07D3" w14:textId="77777777" w:rsidR="0024639B" w:rsidRPr="0024639B" w:rsidRDefault="0024639B" w:rsidP="00C75BB4">
            <w:pPr>
              <w:pStyle w:val="ListParagraph"/>
              <w:numPr>
                <w:ilvl w:val="0"/>
                <w:numId w:val="24"/>
              </w:numPr>
              <w:textAlignment w:val="baseline"/>
              <w:rPr>
                <w:rFonts w:ascii="Times New Roman" w:eastAsia="Times New Roman" w:hAnsi="Times New Roman" w:cs="Times New Roman"/>
                <w:b/>
                <w:bCs/>
                <w:lang w:eastAsia="en-GB"/>
              </w:rPr>
            </w:pPr>
            <w:r w:rsidRPr="007A0235">
              <w:rPr>
                <w:rFonts w:ascii="Calibri" w:eastAsia="Times New Roman" w:hAnsi="Calibri" w:cs="Calibri"/>
                <w:lang w:eastAsia="en-GB"/>
              </w:rPr>
              <w:t xml:space="preserve">Mental health – Personal stress is the second highest absence reason in </w:t>
            </w:r>
            <w:r>
              <w:rPr>
                <w:rFonts w:ascii="Calibri" w:eastAsia="Times New Roman" w:hAnsi="Calibri" w:cs="Calibri"/>
                <w:lang w:eastAsia="en-GB"/>
              </w:rPr>
              <w:t>20</w:t>
            </w:r>
            <w:r w:rsidRPr="007A0235">
              <w:rPr>
                <w:rFonts w:ascii="Calibri" w:eastAsia="Times New Roman" w:hAnsi="Calibri" w:cs="Calibri"/>
                <w:lang w:eastAsia="en-GB"/>
              </w:rPr>
              <w:t>23/24 with 59</w:t>
            </w:r>
            <w:r>
              <w:rPr>
                <w:rFonts w:ascii="Calibri" w:eastAsia="Times New Roman" w:hAnsi="Calibri" w:cs="Calibri"/>
                <w:lang w:eastAsia="en-GB"/>
              </w:rPr>
              <w:t>7</w:t>
            </w:r>
            <w:r w:rsidRPr="007A0235">
              <w:rPr>
                <w:rFonts w:ascii="Calibri" w:eastAsia="Times New Roman" w:hAnsi="Calibri" w:cs="Calibri"/>
                <w:lang w:eastAsia="en-GB"/>
              </w:rPr>
              <w:t>.5 days lost in total</w:t>
            </w:r>
            <w:r>
              <w:rPr>
                <w:rFonts w:ascii="Calibri" w:eastAsia="Times New Roman" w:hAnsi="Calibri" w:cs="Calibri"/>
                <w:lang w:eastAsia="en-GB"/>
              </w:rPr>
              <w:t xml:space="preserve"> (</w:t>
            </w:r>
            <w:r w:rsidRPr="007A0235">
              <w:rPr>
                <w:rFonts w:ascii="Calibri" w:eastAsia="Times New Roman" w:hAnsi="Calibri" w:cs="Calibri"/>
                <w:lang w:eastAsia="en-GB"/>
              </w:rPr>
              <w:t xml:space="preserve">the highest being the Coronavirus absence reason at </w:t>
            </w:r>
            <w:r>
              <w:rPr>
                <w:rFonts w:ascii="Calibri" w:eastAsia="Times New Roman" w:hAnsi="Calibri" w:cs="Calibri"/>
                <w:lang w:eastAsia="en-GB"/>
              </w:rPr>
              <w:t>755</w:t>
            </w:r>
            <w:r w:rsidRPr="007A0235">
              <w:rPr>
                <w:rFonts w:ascii="Calibri" w:eastAsia="Times New Roman" w:hAnsi="Calibri" w:cs="Calibri"/>
                <w:lang w:eastAsia="en-GB"/>
              </w:rPr>
              <w:t>.5 days lost</w:t>
            </w:r>
            <w:r>
              <w:rPr>
                <w:rFonts w:ascii="Calibri" w:eastAsia="Times New Roman" w:hAnsi="Calibri" w:cs="Calibri"/>
                <w:lang w:eastAsia="en-GB"/>
              </w:rPr>
              <w:t>)</w:t>
            </w:r>
            <w:r w:rsidRPr="007A0235">
              <w:rPr>
                <w:rFonts w:ascii="Calibri" w:eastAsia="Times New Roman" w:hAnsi="Calibri" w:cs="Calibri"/>
                <w:lang w:eastAsia="en-GB"/>
              </w:rPr>
              <w:t xml:space="preserve">. </w:t>
            </w:r>
          </w:p>
        </w:tc>
        <w:tc>
          <w:tcPr>
            <w:tcW w:w="837" w:type="dxa"/>
          </w:tcPr>
          <w:p w14:paraId="1B74EFF0"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p>
        </w:tc>
      </w:tr>
      <w:tr w:rsidR="0024639B" w14:paraId="17AB4121" w14:textId="77777777" w:rsidTr="00C75BB4">
        <w:tc>
          <w:tcPr>
            <w:tcW w:w="9006" w:type="dxa"/>
          </w:tcPr>
          <w:p w14:paraId="6B805B57" w14:textId="77777777" w:rsidR="0024639B" w:rsidRPr="006B15AA" w:rsidRDefault="0024639B" w:rsidP="00C75BB4">
            <w:pPr>
              <w:textAlignment w:val="baseline"/>
              <w:rPr>
                <w:rFonts w:ascii="Calibri" w:eastAsia="Times New Roman" w:hAnsi="Calibri" w:cs="Calibri"/>
                <w:b/>
                <w:bCs/>
                <w:lang w:eastAsia="en-GB"/>
              </w:rPr>
            </w:pPr>
            <w:r w:rsidRPr="006B15AA">
              <w:rPr>
                <w:rFonts w:ascii="Calibri" w:eastAsia="Times New Roman" w:hAnsi="Calibri" w:cs="Calibri"/>
                <w:b/>
                <w:bCs/>
                <w:lang w:eastAsia="en-GB"/>
              </w:rPr>
              <w:t>Annual Leave</w:t>
            </w:r>
          </w:p>
          <w:p w14:paraId="363CF824" w14:textId="77777777" w:rsidR="0024639B" w:rsidRPr="0024639B" w:rsidRDefault="0024639B" w:rsidP="00C75BB4">
            <w:pPr>
              <w:pStyle w:val="ListParagraph"/>
              <w:numPr>
                <w:ilvl w:val="0"/>
                <w:numId w:val="24"/>
              </w:numPr>
              <w:textAlignment w:val="baseline"/>
              <w:rPr>
                <w:rFonts w:ascii="Calibri" w:eastAsia="Times New Roman" w:hAnsi="Calibri" w:cs="Calibri"/>
                <w:b/>
                <w:bCs/>
                <w:lang w:eastAsia="en-GB"/>
              </w:rPr>
            </w:pPr>
            <w:r w:rsidRPr="006B15AA">
              <w:rPr>
                <w:rFonts w:ascii="Calibri" w:eastAsia="Times New Roman" w:hAnsi="Calibri" w:cs="Calibri"/>
                <w:lang w:eastAsia="en-GB"/>
              </w:rPr>
              <w:t>Q</w:t>
            </w:r>
            <w:r>
              <w:rPr>
                <w:rFonts w:ascii="Calibri" w:eastAsia="Times New Roman" w:hAnsi="Calibri" w:cs="Calibri"/>
                <w:lang w:eastAsia="en-GB"/>
              </w:rPr>
              <w:t>4</w:t>
            </w:r>
            <w:r w:rsidRPr="006B15AA">
              <w:rPr>
                <w:rFonts w:ascii="Calibri" w:eastAsia="Times New Roman" w:hAnsi="Calibri" w:cs="Calibri"/>
                <w:lang w:eastAsia="en-GB"/>
              </w:rPr>
              <w:t xml:space="preserve">: </w:t>
            </w:r>
            <w:r>
              <w:rPr>
                <w:rFonts w:ascii="Calibri" w:eastAsia="Times New Roman" w:hAnsi="Calibri" w:cs="Calibri"/>
                <w:lang w:eastAsia="en-GB"/>
              </w:rPr>
              <w:t>90</w:t>
            </w:r>
            <w:r w:rsidRPr="006B15AA">
              <w:rPr>
                <w:rFonts w:ascii="Calibri" w:eastAsia="Times New Roman" w:hAnsi="Calibri" w:cs="Calibri"/>
                <w:lang w:eastAsia="en-GB"/>
              </w:rPr>
              <w:t>% of holiday leave booked or taken.</w:t>
            </w:r>
            <w:r>
              <w:rPr>
                <w:rFonts w:ascii="Calibri" w:eastAsia="Times New Roman" w:hAnsi="Calibri" w:cs="Calibri"/>
                <w:lang w:eastAsia="en-GB"/>
              </w:rPr>
              <w:t xml:space="preserve"> </w:t>
            </w:r>
          </w:p>
          <w:p w14:paraId="5C084755" w14:textId="77777777" w:rsidR="0024639B" w:rsidRPr="00022612" w:rsidRDefault="0024639B" w:rsidP="00C75BB4">
            <w:pPr>
              <w:pStyle w:val="ListParagraph"/>
              <w:numPr>
                <w:ilvl w:val="0"/>
                <w:numId w:val="24"/>
              </w:numPr>
              <w:textAlignment w:val="baseline"/>
              <w:rPr>
                <w:rFonts w:ascii="Calibri" w:eastAsia="Times New Roman" w:hAnsi="Calibri" w:cs="Calibri"/>
                <w:b/>
                <w:bCs/>
                <w:lang w:eastAsia="en-GB"/>
              </w:rPr>
            </w:pPr>
            <w:r>
              <w:rPr>
                <w:rFonts w:ascii="Calibri" w:eastAsia="Times New Roman" w:hAnsi="Calibri" w:cs="Calibri"/>
                <w:lang w:eastAsia="en-GB"/>
              </w:rPr>
              <w:t>This</w:t>
            </w:r>
            <w:r w:rsidRPr="006B15AA">
              <w:rPr>
                <w:rFonts w:ascii="Calibri" w:eastAsia="Times New Roman" w:hAnsi="Calibri" w:cs="Calibri"/>
                <w:lang w:eastAsia="en-GB"/>
              </w:rPr>
              <w:t xml:space="preserve"> is</w:t>
            </w:r>
            <w:r>
              <w:rPr>
                <w:rFonts w:ascii="Calibri" w:eastAsia="Times New Roman" w:hAnsi="Calibri" w:cs="Calibri"/>
                <w:lang w:eastAsia="en-GB"/>
              </w:rPr>
              <w:t xml:space="preserve"> on </w:t>
            </w:r>
            <w:r w:rsidRPr="006B15AA">
              <w:rPr>
                <w:rFonts w:ascii="Calibri" w:eastAsia="Times New Roman" w:hAnsi="Calibri" w:cs="Calibri"/>
                <w:lang w:eastAsia="en-GB"/>
              </w:rPr>
              <w:t>target</w:t>
            </w:r>
            <w:r>
              <w:rPr>
                <w:rFonts w:ascii="Calibri" w:eastAsia="Times New Roman" w:hAnsi="Calibri" w:cs="Calibri"/>
                <w:lang w:eastAsia="en-GB"/>
              </w:rPr>
              <w:t>, as 10% of total leave is the allowed 35 hours (pro-rated) carryover.</w:t>
            </w:r>
          </w:p>
        </w:tc>
        <w:tc>
          <w:tcPr>
            <w:tcW w:w="837" w:type="dxa"/>
          </w:tcPr>
          <w:p w14:paraId="44A561F1"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p>
        </w:tc>
      </w:tr>
      <w:tr w:rsidR="0024639B" w14:paraId="1C8CA407" w14:textId="77777777" w:rsidTr="00C75BB4">
        <w:tc>
          <w:tcPr>
            <w:tcW w:w="9006" w:type="dxa"/>
            <w:shd w:val="clear" w:color="auto" w:fill="00B050"/>
          </w:tcPr>
          <w:p w14:paraId="1FEE5C04" w14:textId="77777777" w:rsidR="0024639B" w:rsidRPr="00022612" w:rsidRDefault="0024639B" w:rsidP="00C75BB4">
            <w:pPr>
              <w:textAlignment w:val="baseline"/>
              <w:rPr>
                <w:rFonts w:ascii="Calibri" w:eastAsia="Times New Roman" w:hAnsi="Calibri" w:cs="Calibri"/>
                <w:b/>
                <w:bCs/>
                <w:lang w:eastAsia="en-GB"/>
              </w:rPr>
            </w:pPr>
            <w:r>
              <w:rPr>
                <w:rFonts w:ascii="Calibri" w:eastAsia="Times New Roman" w:hAnsi="Calibri" w:cs="Calibri"/>
                <w:b/>
                <w:bCs/>
                <w:lang w:eastAsia="en-GB"/>
              </w:rPr>
              <w:t xml:space="preserve">Employee Relations </w:t>
            </w:r>
          </w:p>
        </w:tc>
        <w:tc>
          <w:tcPr>
            <w:tcW w:w="837" w:type="dxa"/>
            <w:shd w:val="clear" w:color="auto" w:fill="00B050"/>
          </w:tcPr>
          <w:p w14:paraId="164CD4CE"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Pr>
                <w:rFonts w:ascii="Calibri" w:eastAsia="Times New Roman" w:hAnsi="Calibri" w:cs="Calibri"/>
                <w:b/>
                <w:bCs/>
                <w:lang w:eastAsia="en-GB"/>
              </w:rPr>
              <w:t>Green</w:t>
            </w:r>
          </w:p>
        </w:tc>
      </w:tr>
      <w:tr w:rsidR="0024639B" w14:paraId="7DB027E9" w14:textId="77777777" w:rsidTr="00C75BB4">
        <w:tc>
          <w:tcPr>
            <w:tcW w:w="9006" w:type="dxa"/>
          </w:tcPr>
          <w:p w14:paraId="5A7D5511" w14:textId="77777777" w:rsidR="0024639B" w:rsidRDefault="0024639B" w:rsidP="00C75BB4">
            <w:pPr>
              <w:textAlignment w:val="baseline"/>
              <w:rPr>
                <w:rFonts w:ascii="Calibri" w:eastAsia="Times New Roman" w:hAnsi="Calibri" w:cs="Calibri"/>
                <w:b/>
                <w:bCs/>
                <w:lang w:eastAsia="en-GB"/>
              </w:rPr>
            </w:pPr>
            <w:r>
              <w:rPr>
                <w:rFonts w:ascii="Calibri" w:eastAsia="Times New Roman" w:hAnsi="Calibri" w:cs="Calibri"/>
                <w:b/>
                <w:bCs/>
                <w:lang w:eastAsia="en-GB"/>
              </w:rPr>
              <w:t>Key Messages:</w:t>
            </w:r>
          </w:p>
          <w:p w14:paraId="153553AE" w14:textId="77777777" w:rsidR="0024639B" w:rsidRDefault="0024639B" w:rsidP="00C75BB4">
            <w:pPr>
              <w:pStyle w:val="ListParagraph"/>
              <w:numPr>
                <w:ilvl w:val="0"/>
                <w:numId w:val="25"/>
              </w:numPr>
              <w:textAlignment w:val="baseline"/>
              <w:rPr>
                <w:rFonts w:ascii="Calibri" w:eastAsia="Times New Roman" w:hAnsi="Calibri" w:cs="Calibri"/>
                <w:b/>
                <w:bCs/>
                <w:lang w:eastAsia="en-GB"/>
              </w:rPr>
            </w:pPr>
            <w:r>
              <w:rPr>
                <w:rFonts w:ascii="Calibri" w:eastAsia="Times New Roman" w:hAnsi="Calibri" w:cs="Calibri"/>
                <w:b/>
                <w:bCs/>
                <w:lang w:eastAsia="en-GB"/>
              </w:rPr>
              <w:t xml:space="preserve">Formal </w:t>
            </w:r>
            <w:r w:rsidRPr="00DB14A0">
              <w:rPr>
                <w:rFonts w:ascii="Calibri" w:eastAsia="Times New Roman" w:hAnsi="Calibri" w:cs="Calibri"/>
                <w:b/>
                <w:bCs/>
                <w:lang w:eastAsia="en-GB"/>
              </w:rPr>
              <w:t xml:space="preserve">casework </w:t>
            </w:r>
            <w:r>
              <w:rPr>
                <w:rFonts w:ascii="Calibri" w:eastAsia="Times New Roman" w:hAnsi="Calibri" w:cs="Calibri"/>
                <w:b/>
                <w:bCs/>
                <w:lang w:eastAsia="en-GB"/>
              </w:rPr>
              <w:t xml:space="preserve">remains low with 1 open case (as outlined below). </w:t>
            </w:r>
          </w:p>
          <w:p w14:paraId="39D80045" w14:textId="05BB23BB" w:rsidR="0024639B" w:rsidRPr="00DB14A0" w:rsidRDefault="0024639B" w:rsidP="00C75BB4">
            <w:pPr>
              <w:pStyle w:val="ListParagraph"/>
              <w:numPr>
                <w:ilvl w:val="0"/>
                <w:numId w:val="25"/>
              </w:numPr>
              <w:textAlignment w:val="baseline"/>
              <w:rPr>
                <w:rFonts w:ascii="Calibri" w:eastAsia="Times New Roman" w:hAnsi="Calibri" w:cs="Calibri"/>
                <w:b/>
                <w:bCs/>
                <w:lang w:eastAsia="en-GB"/>
              </w:rPr>
            </w:pPr>
            <w:r>
              <w:rPr>
                <w:rFonts w:ascii="Calibri" w:eastAsia="Times New Roman" w:hAnsi="Calibri" w:cs="Calibri"/>
                <w:b/>
                <w:bCs/>
                <w:lang w:eastAsia="en-GB"/>
              </w:rPr>
              <w:t>I</w:t>
            </w:r>
            <w:r w:rsidRPr="00DB14A0">
              <w:rPr>
                <w:rFonts w:ascii="Calibri" w:eastAsia="Times New Roman" w:hAnsi="Calibri" w:cs="Calibri"/>
                <w:b/>
                <w:bCs/>
                <w:lang w:eastAsia="en-GB"/>
              </w:rPr>
              <w:t>nforma</w:t>
            </w:r>
            <w:r>
              <w:rPr>
                <w:rFonts w:ascii="Calibri" w:eastAsia="Times New Roman" w:hAnsi="Calibri" w:cs="Calibri"/>
                <w:b/>
                <w:bCs/>
                <w:lang w:eastAsia="en-GB"/>
              </w:rPr>
              <w:t xml:space="preserve">l </w:t>
            </w:r>
            <w:r w:rsidRPr="00DB14A0">
              <w:rPr>
                <w:rFonts w:ascii="Calibri" w:eastAsia="Times New Roman" w:hAnsi="Calibri" w:cs="Calibri"/>
                <w:b/>
                <w:bCs/>
                <w:lang w:eastAsia="en-GB"/>
              </w:rPr>
              <w:t xml:space="preserve">casework </w:t>
            </w:r>
            <w:r>
              <w:rPr>
                <w:rFonts w:ascii="Calibri" w:eastAsia="Times New Roman" w:hAnsi="Calibri" w:cs="Calibri"/>
                <w:b/>
                <w:bCs/>
                <w:lang w:eastAsia="en-GB"/>
              </w:rPr>
              <w:t xml:space="preserve">categories </w:t>
            </w:r>
            <w:r w:rsidRPr="00DB14A0">
              <w:rPr>
                <w:rFonts w:ascii="Calibri" w:eastAsia="Times New Roman" w:hAnsi="Calibri" w:cs="Calibri"/>
                <w:b/>
                <w:bCs/>
                <w:lang w:eastAsia="en-GB"/>
              </w:rPr>
              <w:t xml:space="preserve">are health </w:t>
            </w:r>
            <w:r w:rsidR="00664378">
              <w:rPr>
                <w:rFonts w:ascii="Calibri" w:eastAsia="Times New Roman" w:hAnsi="Calibri" w:cs="Calibri"/>
                <w:b/>
                <w:bCs/>
                <w:lang w:eastAsia="en-GB"/>
              </w:rPr>
              <w:t xml:space="preserve">and </w:t>
            </w:r>
            <w:r w:rsidR="00664378" w:rsidRPr="00DB14A0">
              <w:rPr>
                <w:rFonts w:ascii="Calibri" w:eastAsia="Times New Roman" w:hAnsi="Calibri" w:cs="Calibri"/>
                <w:b/>
                <w:bCs/>
                <w:lang w:eastAsia="en-GB"/>
              </w:rPr>
              <w:t>wellbeing</w:t>
            </w:r>
            <w:r>
              <w:rPr>
                <w:rFonts w:ascii="Calibri" w:eastAsia="Times New Roman" w:hAnsi="Calibri" w:cs="Calibri"/>
                <w:b/>
                <w:bCs/>
                <w:lang w:eastAsia="en-GB"/>
              </w:rPr>
              <w:t>,</w:t>
            </w:r>
            <w:r w:rsidRPr="00DB14A0">
              <w:rPr>
                <w:rFonts w:ascii="Calibri" w:eastAsia="Times New Roman" w:hAnsi="Calibri" w:cs="Calibri"/>
                <w:b/>
                <w:bCs/>
                <w:lang w:eastAsia="en-GB"/>
              </w:rPr>
              <w:t xml:space="preserve"> </w:t>
            </w:r>
            <w:r>
              <w:rPr>
                <w:rFonts w:ascii="Calibri" w:eastAsia="Times New Roman" w:hAnsi="Calibri" w:cs="Calibri"/>
                <w:b/>
                <w:bCs/>
                <w:lang w:eastAsia="en-GB"/>
              </w:rPr>
              <w:t xml:space="preserve">in terms of cases relating to </w:t>
            </w:r>
            <w:r w:rsidRPr="00DB14A0">
              <w:rPr>
                <w:rFonts w:ascii="Calibri" w:eastAsia="Times New Roman" w:hAnsi="Calibri" w:cs="Calibri"/>
                <w:b/>
                <w:bCs/>
                <w:lang w:eastAsia="en-GB"/>
              </w:rPr>
              <w:t xml:space="preserve">short- and long-term absences. </w:t>
            </w:r>
          </w:p>
          <w:p w14:paraId="2E8F2A8A" w14:textId="77777777" w:rsidR="0024639B" w:rsidRDefault="0024639B" w:rsidP="00C75BB4">
            <w:pPr>
              <w:textAlignment w:val="baseline"/>
              <w:rPr>
                <w:rFonts w:ascii="Calibri" w:eastAsia="Times New Roman" w:hAnsi="Calibri" w:cs="Calibri"/>
                <w:b/>
                <w:bCs/>
                <w:lang w:eastAsia="en-GB"/>
              </w:rPr>
            </w:pPr>
          </w:p>
          <w:p w14:paraId="455FB0F2" w14:textId="77777777" w:rsidR="0024639B" w:rsidRPr="006B15AA" w:rsidRDefault="0024639B" w:rsidP="00C75BB4">
            <w:pPr>
              <w:textAlignment w:val="baseline"/>
              <w:rPr>
                <w:rFonts w:ascii="Times New Roman" w:eastAsia="Times New Roman" w:hAnsi="Times New Roman" w:cs="Times New Roman"/>
                <w:b/>
                <w:bCs/>
                <w:lang w:eastAsia="en-GB"/>
              </w:rPr>
            </w:pPr>
            <w:r w:rsidRPr="006B15AA">
              <w:rPr>
                <w:rFonts w:ascii="Calibri" w:eastAsia="Times New Roman" w:hAnsi="Calibri" w:cs="Calibri"/>
                <w:b/>
                <w:bCs/>
                <w:lang w:eastAsia="en-GB"/>
              </w:rPr>
              <w:t>Formal Casework – Target &lt;=50% of informal casework </w:t>
            </w:r>
          </w:p>
          <w:p w14:paraId="03141254" w14:textId="77777777" w:rsidR="0024639B" w:rsidRDefault="0024639B" w:rsidP="00C75BB4">
            <w:pPr>
              <w:pStyle w:val="ListParagraph"/>
              <w:numPr>
                <w:ilvl w:val="0"/>
                <w:numId w:val="25"/>
              </w:numPr>
              <w:textAlignment w:val="baseline"/>
              <w:rPr>
                <w:rFonts w:ascii="Calibri" w:eastAsia="Times New Roman" w:hAnsi="Calibri" w:cs="Calibri"/>
                <w:bCs/>
                <w:lang w:eastAsia="en-GB"/>
              </w:rPr>
            </w:pPr>
            <w:r w:rsidRPr="00C76F77">
              <w:rPr>
                <w:rFonts w:ascii="Calibri" w:eastAsia="Times New Roman" w:hAnsi="Calibri" w:cs="Calibri"/>
                <w:bCs/>
                <w:lang w:eastAsia="en-GB"/>
              </w:rPr>
              <w:t>Q</w:t>
            </w:r>
            <w:r>
              <w:rPr>
                <w:rFonts w:ascii="Calibri" w:eastAsia="Times New Roman" w:hAnsi="Calibri" w:cs="Calibri"/>
                <w:bCs/>
                <w:lang w:eastAsia="en-GB"/>
              </w:rPr>
              <w:t>4</w:t>
            </w:r>
            <w:r w:rsidRPr="00C76F77">
              <w:rPr>
                <w:rFonts w:ascii="Calibri" w:eastAsia="Times New Roman" w:hAnsi="Calibri" w:cs="Calibri"/>
                <w:bCs/>
                <w:lang w:eastAsia="en-GB"/>
              </w:rPr>
              <w:t xml:space="preserve">: </w:t>
            </w:r>
            <w:r>
              <w:rPr>
                <w:rFonts w:ascii="Calibri" w:eastAsia="Times New Roman" w:hAnsi="Calibri" w:cs="Calibri"/>
                <w:bCs/>
                <w:lang w:eastAsia="en-GB"/>
              </w:rPr>
              <w:t xml:space="preserve">1 </w:t>
            </w:r>
            <w:r w:rsidRPr="00C76F77">
              <w:rPr>
                <w:rFonts w:ascii="Calibri" w:eastAsia="Times New Roman" w:hAnsi="Calibri" w:cs="Calibri"/>
                <w:bCs/>
                <w:lang w:eastAsia="en-GB"/>
              </w:rPr>
              <w:t xml:space="preserve">case </w:t>
            </w:r>
            <w:r>
              <w:rPr>
                <w:rFonts w:ascii="Calibri" w:eastAsia="Times New Roman" w:hAnsi="Calibri" w:cs="Calibri"/>
                <w:bCs/>
                <w:lang w:eastAsia="en-GB"/>
              </w:rPr>
              <w:t>due to long term absence.</w:t>
            </w:r>
            <w:r w:rsidRPr="00C76F77">
              <w:rPr>
                <w:rFonts w:ascii="Calibri" w:eastAsia="Times New Roman" w:hAnsi="Calibri" w:cs="Calibri"/>
                <w:bCs/>
                <w:lang w:eastAsia="en-GB"/>
              </w:rPr>
              <w:t> </w:t>
            </w:r>
          </w:p>
          <w:p w14:paraId="340FCEE6" w14:textId="77777777" w:rsidR="0024639B" w:rsidRPr="00931C84" w:rsidRDefault="0024639B" w:rsidP="00C75BB4">
            <w:pPr>
              <w:pStyle w:val="ListParagraph"/>
              <w:numPr>
                <w:ilvl w:val="0"/>
                <w:numId w:val="25"/>
              </w:numPr>
              <w:textAlignment w:val="baseline"/>
              <w:rPr>
                <w:rFonts w:ascii="Calibri" w:eastAsia="Times New Roman" w:hAnsi="Calibri" w:cs="Calibri"/>
                <w:bCs/>
                <w:lang w:eastAsia="en-GB"/>
              </w:rPr>
            </w:pPr>
            <w:r>
              <w:rPr>
                <w:rFonts w:ascii="Calibri" w:eastAsia="Times New Roman" w:hAnsi="Calibri" w:cs="Calibri"/>
                <w:bCs/>
                <w:lang w:eastAsia="en-GB"/>
              </w:rPr>
              <w:t>In 2023/24 there were 11 formal cases, with some across two quarters in terms of duration.</w:t>
            </w:r>
          </w:p>
          <w:p w14:paraId="5D8111BE" w14:textId="77777777" w:rsidR="0024639B" w:rsidRPr="006B15AA" w:rsidRDefault="0024639B" w:rsidP="00C75BB4">
            <w:pPr>
              <w:textAlignment w:val="baseline"/>
              <w:rPr>
                <w:rFonts w:ascii="Calibri" w:eastAsia="Times New Roman" w:hAnsi="Calibri" w:cs="Calibri"/>
                <w:b/>
                <w:bCs/>
                <w:lang w:eastAsia="en-GB"/>
              </w:rPr>
            </w:pPr>
            <w:r w:rsidRPr="006B15AA">
              <w:rPr>
                <w:rFonts w:ascii="Calibri" w:eastAsia="Times New Roman" w:hAnsi="Calibri" w:cs="Calibri"/>
                <w:b/>
                <w:bCs/>
                <w:lang w:eastAsia="en-GB"/>
              </w:rPr>
              <w:t>Informal Casework  </w:t>
            </w:r>
          </w:p>
          <w:p w14:paraId="5F9D819E" w14:textId="77777777" w:rsidR="00CE19EA" w:rsidRDefault="0024639B" w:rsidP="00C75BB4">
            <w:pPr>
              <w:pStyle w:val="ListParagraph"/>
              <w:numPr>
                <w:ilvl w:val="0"/>
                <w:numId w:val="25"/>
              </w:numPr>
              <w:textAlignment w:val="baseline"/>
              <w:rPr>
                <w:rFonts w:ascii="Calibri" w:eastAsia="Times New Roman" w:hAnsi="Calibri" w:cs="Calibri"/>
                <w:bCs/>
                <w:lang w:eastAsia="en-GB"/>
              </w:rPr>
            </w:pPr>
            <w:r w:rsidRPr="00087691">
              <w:rPr>
                <w:rFonts w:ascii="Calibri" w:eastAsia="Times New Roman" w:hAnsi="Calibri" w:cs="Calibri"/>
                <w:bCs/>
                <w:lang w:eastAsia="en-GB"/>
              </w:rPr>
              <w:t>Q</w:t>
            </w:r>
            <w:r>
              <w:rPr>
                <w:rFonts w:ascii="Calibri" w:eastAsia="Times New Roman" w:hAnsi="Calibri" w:cs="Calibri"/>
                <w:bCs/>
                <w:lang w:eastAsia="en-GB"/>
              </w:rPr>
              <w:t>4</w:t>
            </w:r>
            <w:r w:rsidRPr="00087691">
              <w:rPr>
                <w:rFonts w:ascii="Calibri" w:eastAsia="Times New Roman" w:hAnsi="Calibri" w:cs="Calibri"/>
                <w:bCs/>
                <w:lang w:eastAsia="en-GB"/>
              </w:rPr>
              <w:t>:</w:t>
            </w:r>
            <w:r w:rsidRPr="0050651D">
              <w:rPr>
                <w:rFonts w:ascii="Calibri" w:eastAsia="Times New Roman" w:hAnsi="Calibri" w:cs="Calibri"/>
                <w:bCs/>
                <w:lang w:eastAsia="en-GB"/>
              </w:rPr>
              <w:t xml:space="preserve"> </w:t>
            </w:r>
            <w:r>
              <w:rPr>
                <w:rFonts w:ascii="Calibri" w:eastAsia="Times New Roman" w:hAnsi="Calibri" w:cs="Calibri"/>
                <w:bCs/>
                <w:lang w:eastAsia="en-GB"/>
              </w:rPr>
              <w:t>There was a slight increase in the quarter with 34</w:t>
            </w:r>
            <w:r w:rsidRPr="0050651D">
              <w:rPr>
                <w:rFonts w:ascii="Calibri" w:eastAsia="Times New Roman" w:hAnsi="Calibri" w:cs="Calibri"/>
                <w:bCs/>
                <w:lang w:eastAsia="en-GB"/>
              </w:rPr>
              <w:t xml:space="preserve"> </w:t>
            </w:r>
            <w:r>
              <w:rPr>
                <w:rFonts w:ascii="Calibri" w:eastAsia="Times New Roman" w:hAnsi="Calibri" w:cs="Calibri"/>
                <w:bCs/>
                <w:lang w:eastAsia="en-GB"/>
              </w:rPr>
              <w:t xml:space="preserve">informal </w:t>
            </w:r>
            <w:r w:rsidRPr="0050651D">
              <w:rPr>
                <w:rFonts w:ascii="Calibri" w:eastAsia="Times New Roman" w:hAnsi="Calibri" w:cs="Calibri"/>
                <w:bCs/>
                <w:lang w:eastAsia="en-GB"/>
              </w:rPr>
              <w:t>cases</w:t>
            </w:r>
            <w:r>
              <w:rPr>
                <w:rFonts w:ascii="Calibri" w:eastAsia="Times New Roman" w:hAnsi="Calibri" w:cs="Calibri"/>
                <w:bCs/>
                <w:lang w:eastAsia="en-GB"/>
              </w:rPr>
              <w:t xml:space="preserve"> </w:t>
            </w:r>
            <w:r>
              <w:rPr>
                <w:rFonts w:ascii="Calibri" w:eastAsia="Times New Roman" w:hAnsi="Calibri" w:cs="Calibri"/>
                <w:lang w:eastAsia="en-GB"/>
              </w:rPr>
              <w:t>(↑5 Q3)</w:t>
            </w:r>
            <w:r w:rsidRPr="0050651D">
              <w:rPr>
                <w:rFonts w:ascii="Calibri" w:eastAsia="Times New Roman" w:hAnsi="Calibri" w:cs="Calibri"/>
                <w:bCs/>
                <w:lang w:eastAsia="en-GB"/>
              </w:rPr>
              <w:t xml:space="preserve">. </w:t>
            </w:r>
            <w:r>
              <w:rPr>
                <w:rFonts w:ascii="Calibri" w:eastAsia="Times New Roman" w:hAnsi="Calibri" w:cs="Calibri"/>
                <w:bCs/>
                <w:lang w:eastAsia="en-GB"/>
              </w:rPr>
              <w:t xml:space="preserve">Most ongoing cases </w:t>
            </w:r>
            <w:r w:rsidRPr="0050651D">
              <w:rPr>
                <w:rFonts w:ascii="Calibri" w:eastAsia="Times New Roman" w:hAnsi="Calibri" w:cs="Calibri"/>
                <w:bCs/>
                <w:lang w:eastAsia="en-GB"/>
              </w:rPr>
              <w:t>in Q</w:t>
            </w:r>
            <w:r>
              <w:rPr>
                <w:rFonts w:ascii="Calibri" w:eastAsia="Times New Roman" w:hAnsi="Calibri" w:cs="Calibri"/>
                <w:bCs/>
                <w:lang w:eastAsia="en-GB"/>
              </w:rPr>
              <w:t>4</w:t>
            </w:r>
            <w:r w:rsidRPr="0050651D">
              <w:rPr>
                <w:rFonts w:ascii="Calibri" w:eastAsia="Times New Roman" w:hAnsi="Calibri" w:cs="Calibri"/>
                <w:bCs/>
                <w:lang w:eastAsia="en-GB"/>
              </w:rPr>
              <w:t xml:space="preserve"> </w:t>
            </w:r>
            <w:r>
              <w:rPr>
                <w:rFonts w:ascii="Calibri" w:eastAsia="Times New Roman" w:hAnsi="Calibri" w:cs="Calibri"/>
                <w:bCs/>
                <w:lang w:eastAsia="en-GB"/>
              </w:rPr>
              <w:t>wer</w:t>
            </w:r>
            <w:r w:rsidRPr="0050651D">
              <w:rPr>
                <w:rFonts w:ascii="Calibri" w:eastAsia="Times New Roman" w:hAnsi="Calibri" w:cs="Calibri"/>
                <w:bCs/>
                <w:lang w:eastAsia="en-GB"/>
              </w:rPr>
              <w:t xml:space="preserve">e health </w:t>
            </w:r>
            <w:r w:rsidR="00664378">
              <w:rPr>
                <w:rFonts w:ascii="Calibri" w:eastAsia="Times New Roman" w:hAnsi="Calibri" w:cs="Calibri"/>
                <w:bCs/>
                <w:lang w:eastAsia="en-GB"/>
              </w:rPr>
              <w:t xml:space="preserve">and </w:t>
            </w:r>
            <w:r w:rsidR="00664378" w:rsidRPr="0050651D">
              <w:rPr>
                <w:rFonts w:ascii="Calibri" w:eastAsia="Times New Roman" w:hAnsi="Calibri" w:cs="Calibri"/>
                <w:bCs/>
                <w:lang w:eastAsia="en-GB"/>
              </w:rPr>
              <w:t>wellbeing</w:t>
            </w:r>
            <w:r w:rsidRPr="0050651D">
              <w:rPr>
                <w:rFonts w:ascii="Calibri" w:eastAsia="Times New Roman" w:hAnsi="Calibri" w:cs="Calibri"/>
                <w:bCs/>
                <w:lang w:eastAsia="en-GB"/>
              </w:rPr>
              <w:t>, short and long-term absences</w:t>
            </w:r>
            <w:r>
              <w:rPr>
                <w:rFonts w:ascii="Calibri" w:eastAsia="Times New Roman" w:hAnsi="Calibri" w:cs="Calibri"/>
                <w:bCs/>
                <w:lang w:eastAsia="en-GB"/>
              </w:rPr>
              <w:t xml:space="preserve"> categories.</w:t>
            </w:r>
          </w:p>
          <w:p w14:paraId="7DA1FA11" w14:textId="320AB3B9" w:rsidR="0024639B" w:rsidRPr="00CE19EA" w:rsidRDefault="0024639B" w:rsidP="00C75BB4">
            <w:pPr>
              <w:pStyle w:val="ListParagraph"/>
              <w:numPr>
                <w:ilvl w:val="0"/>
                <w:numId w:val="25"/>
              </w:numPr>
              <w:textAlignment w:val="baseline"/>
              <w:rPr>
                <w:rFonts w:ascii="Calibri" w:eastAsia="Times New Roman" w:hAnsi="Calibri" w:cs="Calibri"/>
                <w:bCs/>
                <w:lang w:eastAsia="en-GB"/>
              </w:rPr>
            </w:pPr>
            <w:r w:rsidRPr="00CE19EA">
              <w:rPr>
                <w:rFonts w:ascii="Calibri" w:eastAsia="Times New Roman" w:hAnsi="Calibri" w:cs="Calibri"/>
                <w:bCs/>
                <w:lang w:eastAsia="en-GB"/>
              </w:rPr>
              <w:t>Q4 saw an increase of 3 new cases of unsatisfactory performance, and 2 cases for short-term absences</w:t>
            </w:r>
            <w:r w:rsidRPr="00CE19EA">
              <w:rPr>
                <w:rFonts w:ascii="Calibri" w:eastAsia="Times New Roman" w:hAnsi="Calibri" w:cs="Calibri"/>
                <w:lang w:eastAsia="en-GB"/>
              </w:rPr>
              <w:t>.</w:t>
            </w:r>
          </w:p>
        </w:tc>
        <w:tc>
          <w:tcPr>
            <w:tcW w:w="837" w:type="dxa"/>
          </w:tcPr>
          <w:p w14:paraId="4A035A68"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p>
        </w:tc>
      </w:tr>
      <w:tr w:rsidR="0024639B" w14:paraId="23FF2C7B" w14:textId="77777777" w:rsidTr="00C75BB4">
        <w:tc>
          <w:tcPr>
            <w:tcW w:w="9006" w:type="dxa"/>
            <w:shd w:val="clear" w:color="auto" w:fill="00B050"/>
          </w:tcPr>
          <w:p w14:paraId="69F81791" w14:textId="77777777" w:rsidR="0024639B" w:rsidRDefault="0024639B" w:rsidP="00C75BB4">
            <w:pPr>
              <w:textAlignment w:val="baseline"/>
              <w:rPr>
                <w:rFonts w:ascii="Calibri" w:eastAsia="Times New Roman" w:hAnsi="Calibri" w:cs="Calibri"/>
                <w:b/>
                <w:bCs/>
                <w:lang w:eastAsia="en-GB"/>
              </w:rPr>
            </w:pPr>
            <w:r w:rsidRPr="006B15AA">
              <w:rPr>
                <w:rFonts w:ascii="Calibri" w:eastAsia="Times New Roman" w:hAnsi="Calibri" w:cs="Calibri"/>
                <w:b/>
                <w:bCs/>
                <w:lang w:eastAsia="en-GB"/>
              </w:rPr>
              <w:t>Workforce Profile</w:t>
            </w:r>
          </w:p>
        </w:tc>
        <w:tc>
          <w:tcPr>
            <w:tcW w:w="837" w:type="dxa"/>
            <w:shd w:val="clear" w:color="auto" w:fill="00B050"/>
          </w:tcPr>
          <w:p w14:paraId="6DAD14AD"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Pr>
                <w:rFonts w:ascii="Calibri" w:eastAsia="Times New Roman" w:hAnsi="Calibri" w:cs="Calibri"/>
                <w:b/>
                <w:bCs/>
                <w:lang w:eastAsia="en-GB"/>
              </w:rPr>
              <w:t>Green</w:t>
            </w:r>
          </w:p>
        </w:tc>
      </w:tr>
      <w:tr w:rsidR="0024639B" w14:paraId="6AC33CDB" w14:textId="77777777" w:rsidTr="00C75BB4">
        <w:tc>
          <w:tcPr>
            <w:tcW w:w="9006" w:type="dxa"/>
          </w:tcPr>
          <w:p w14:paraId="0F5A3970" w14:textId="77777777" w:rsidR="0024639B" w:rsidRDefault="0024639B" w:rsidP="00C75BB4">
            <w:pPr>
              <w:textAlignment w:val="baseline"/>
              <w:rPr>
                <w:rFonts w:ascii="Calibri" w:eastAsia="Times New Roman" w:hAnsi="Calibri" w:cs="Calibri"/>
                <w:b/>
                <w:bCs/>
                <w:lang w:eastAsia="en-GB"/>
              </w:rPr>
            </w:pPr>
            <w:r>
              <w:rPr>
                <w:rFonts w:ascii="Calibri" w:eastAsia="Times New Roman" w:hAnsi="Calibri" w:cs="Calibri"/>
                <w:b/>
                <w:bCs/>
                <w:lang w:eastAsia="en-GB"/>
              </w:rPr>
              <w:t>Key Message:</w:t>
            </w:r>
          </w:p>
          <w:p w14:paraId="135A2D7F" w14:textId="77777777" w:rsidR="0024639B" w:rsidRPr="00ED098B" w:rsidRDefault="0024639B" w:rsidP="00C75BB4">
            <w:pPr>
              <w:pStyle w:val="ListParagraph"/>
              <w:numPr>
                <w:ilvl w:val="0"/>
                <w:numId w:val="32"/>
              </w:numPr>
              <w:textAlignment w:val="baseline"/>
              <w:rPr>
                <w:rFonts w:ascii="Calibri" w:eastAsia="Times New Roman" w:hAnsi="Calibri" w:cs="Calibri"/>
                <w:b/>
                <w:bCs/>
                <w:lang w:eastAsia="en-GB"/>
              </w:rPr>
            </w:pPr>
            <w:r w:rsidRPr="006B15AA">
              <w:rPr>
                <w:rFonts w:ascii="Calibri" w:eastAsia="Times New Roman" w:hAnsi="Calibri" w:cs="Calibri"/>
                <w:b/>
                <w:bCs/>
                <w:lang w:eastAsia="en-GB"/>
              </w:rPr>
              <w:t xml:space="preserve">Turnover </w:t>
            </w:r>
            <w:r>
              <w:rPr>
                <w:rFonts w:ascii="Calibri" w:eastAsia="Times New Roman" w:hAnsi="Calibri" w:cs="Calibri"/>
                <w:b/>
                <w:bCs/>
                <w:lang w:eastAsia="en-GB"/>
              </w:rPr>
              <w:t>has decreased;</w:t>
            </w:r>
            <w:r w:rsidRPr="006B15AA">
              <w:rPr>
                <w:rFonts w:ascii="Calibri" w:eastAsia="Times New Roman" w:hAnsi="Calibri" w:cs="Calibri"/>
                <w:b/>
                <w:bCs/>
                <w:lang w:eastAsia="en-GB"/>
              </w:rPr>
              <w:t xml:space="preserve"> headcount is </w:t>
            </w:r>
            <w:r>
              <w:rPr>
                <w:rFonts w:ascii="Calibri" w:eastAsia="Times New Roman" w:hAnsi="Calibri" w:cs="Calibri"/>
                <w:b/>
                <w:bCs/>
                <w:lang w:eastAsia="en-GB"/>
              </w:rPr>
              <w:t>de</w:t>
            </w:r>
            <w:r w:rsidRPr="006B15AA">
              <w:rPr>
                <w:rFonts w:ascii="Calibri" w:eastAsia="Times New Roman" w:hAnsi="Calibri" w:cs="Calibri"/>
                <w:b/>
                <w:bCs/>
                <w:lang w:eastAsia="en-GB"/>
              </w:rPr>
              <w:t>creasing</w:t>
            </w:r>
            <w:r>
              <w:rPr>
                <w:rFonts w:ascii="Calibri" w:eastAsia="Times New Roman" w:hAnsi="Calibri" w:cs="Calibri"/>
                <w:b/>
                <w:bCs/>
                <w:lang w:eastAsia="en-GB"/>
              </w:rPr>
              <w:t>;</w:t>
            </w:r>
            <w:r w:rsidRPr="006B15AA">
              <w:rPr>
                <w:rFonts w:ascii="Calibri" w:eastAsia="Times New Roman" w:hAnsi="Calibri" w:cs="Calibri"/>
                <w:b/>
                <w:bCs/>
                <w:lang w:eastAsia="en-GB"/>
              </w:rPr>
              <w:t xml:space="preserve"> the number of recruitment exercises</w:t>
            </w:r>
            <w:r>
              <w:rPr>
                <w:rFonts w:ascii="Calibri" w:eastAsia="Times New Roman" w:hAnsi="Calibri" w:cs="Calibri"/>
                <w:b/>
                <w:bCs/>
                <w:lang w:eastAsia="en-GB"/>
              </w:rPr>
              <w:t xml:space="preserve"> have</w:t>
            </w:r>
            <w:r w:rsidRPr="006B15AA">
              <w:rPr>
                <w:rFonts w:ascii="Calibri" w:eastAsia="Times New Roman" w:hAnsi="Calibri" w:cs="Calibri"/>
                <w:b/>
                <w:bCs/>
                <w:lang w:eastAsia="en-GB"/>
              </w:rPr>
              <w:t xml:space="preserve"> </w:t>
            </w:r>
            <w:r>
              <w:rPr>
                <w:rFonts w:ascii="Calibri" w:eastAsia="Times New Roman" w:hAnsi="Calibri" w:cs="Calibri"/>
                <w:b/>
                <w:bCs/>
                <w:lang w:eastAsia="en-GB"/>
              </w:rPr>
              <w:t>increased in Q4</w:t>
            </w:r>
            <w:r w:rsidRPr="006B15AA">
              <w:rPr>
                <w:rFonts w:ascii="Calibri" w:eastAsia="Times New Roman" w:hAnsi="Calibri" w:cs="Calibri"/>
                <w:b/>
                <w:bCs/>
                <w:lang w:eastAsia="en-GB"/>
              </w:rPr>
              <w:t xml:space="preserve">; with </w:t>
            </w:r>
            <w:r>
              <w:rPr>
                <w:rFonts w:ascii="Calibri" w:eastAsia="Times New Roman" w:hAnsi="Calibri" w:cs="Calibri"/>
                <w:b/>
                <w:bCs/>
                <w:lang w:eastAsia="en-GB"/>
              </w:rPr>
              <w:t>a slight decrease</w:t>
            </w:r>
            <w:r w:rsidRPr="006B15AA">
              <w:rPr>
                <w:rFonts w:ascii="Calibri" w:eastAsia="Times New Roman" w:hAnsi="Calibri" w:cs="Calibri"/>
                <w:b/>
                <w:bCs/>
                <w:lang w:eastAsia="en-GB"/>
              </w:rPr>
              <w:t xml:space="preserve"> to the retirement profile.</w:t>
            </w:r>
          </w:p>
          <w:p w14:paraId="05901045" w14:textId="77777777" w:rsidR="0024639B" w:rsidRDefault="0024639B" w:rsidP="00C75BB4">
            <w:pPr>
              <w:textAlignment w:val="baseline"/>
              <w:rPr>
                <w:rFonts w:ascii="Calibri" w:eastAsia="Times New Roman" w:hAnsi="Calibri" w:cs="Calibri"/>
                <w:b/>
                <w:bCs/>
                <w:lang w:eastAsia="en-GB"/>
              </w:rPr>
            </w:pPr>
          </w:p>
          <w:p w14:paraId="02CCE436" w14:textId="77777777" w:rsidR="0024639B" w:rsidRPr="006B15AA" w:rsidRDefault="0024639B" w:rsidP="00C75BB4">
            <w:pPr>
              <w:textAlignment w:val="baseline"/>
              <w:rPr>
                <w:rFonts w:ascii="Times New Roman" w:eastAsia="Times New Roman" w:hAnsi="Times New Roman" w:cs="Times New Roman"/>
                <w:b/>
                <w:bCs/>
                <w:lang w:eastAsia="en-GB"/>
              </w:rPr>
            </w:pPr>
            <w:r w:rsidRPr="006B15AA">
              <w:rPr>
                <w:rFonts w:ascii="Calibri" w:eastAsia="Times New Roman" w:hAnsi="Calibri" w:cs="Calibri"/>
                <w:b/>
                <w:bCs/>
                <w:lang w:eastAsia="en-GB"/>
              </w:rPr>
              <w:t>Turnover – target: maintain in the range of 8-10% </w:t>
            </w:r>
          </w:p>
          <w:p w14:paraId="095BA77D" w14:textId="77777777" w:rsidR="0024639B" w:rsidRPr="006B15AA" w:rsidRDefault="0024639B" w:rsidP="00C75BB4">
            <w:pPr>
              <w:pStyle w:val="ListParagraph"/>
              <w:numPr>
                <w:ilvl w:val="0"/>
                <w:numId w:val="26"/>
              </w:numPr>
              <w:textAlignment w:val="baseline"/>
              <w:rPr>
                <w:rFonts w:ascii="Times New Roman" w:eastAsia="Times New Roman" w:hAnsi="Times New Roman" w:cs="Times New Roman"/>
                <w:bCs/>
                <w:lang w:eastAsia="en-GB"/>
              </w:rPr>
            </w:pPr>
            <w:r w:rsidRPr="006B15AA">
              <w:rPr>
                <w:rFonts w:ascii="Calibri" w:eastAsia="Times New Roman" w:hAnsi="Calibri" w:cs="Calibri"/>
                <w:bCs/>
                <w:lang w:eastAsia="en-GB"/>
              </w:rPr>
              <w:t>Q</w:t>
            </w:r>
            <w:r>
              <w:rPr>
                <w:rFonts w:ascii="Calibri" w:eastAsia="Times New Roman" w:hAnsi="Calibri" w:cs="Calibri"/>
                <w:bCs/>
                <w:lang w:eastAsia="en-GB"/>
              </w:rPr>
              <w:t>4</w:t>
            </w:r>
            <w:r w:rsidRPr="006B15AA">
              <w:rPr>
                <w:rFonts w:ascii="Calibri" w:eastAsia="Times New Roman" w:hAnsi="Calibri" w:cs="Calibri"/>
                <w:bCs/>
                <w:lang w:eastAsia="en-GB"/>
              </w:rPr>
              <w:t xml:space="preserve">: average turnover is </w:t>
            </w:r>
            <w:r>
              <w:rPr>
                <w:rFonts w:ascii="Calibri" w:eastAsia="Times New Roman" w:hAnsi="Calibri" w:cs="Calibri"/>
                <w:bCs/>
                <w:lang w:eastAsia="en-GB"/>
              </w:rPr>
              <w:t>10</w:t>
            </w:r>
            <w:r w:rsidRPr="006B15AA">
              <w:rPr>
                <w:rFonts w:ascii="Calibri" w:eastAsia="Times New Roman" w:hAnsi="Calibri" w:cs="Calibri"/>
                <w:bCs/>
                <w:lang w:eastAsia="en-GB"/>
              </w:rPr>
              <w:t xml:space="preserve">% (over last 12 months), with </w:t>
            </w:r>
            <w:r w:rsidRPr="00841E2D">
              <w:rPr>
                <w:rFonts w:ascii="Calibri" w:eastAsia="Times New Roman" w:hAnsi="Calibri" w:cs="Calibri"/>
                <w:bCs/>
                <w:lang w:eastAsia="en-GB"/>
              </w:rPr>
              <w:t>1</w:t>
            </w:r>
            <w:r>
              <w:rPr>
                <w:rFonts w:ascii="Calibri" w:eastAsia="Times New Roman" w:hAnsi="Calibri" w:cs="Calibri"/>
                <w:bCs/>
                <w:lang w:eastAsia="en-GB"/>
              </w:rPr>
              <w:t>6</w:t>
            </w:r>
            <w:r w:rsidRPr="00841E2D">
              <w:rPr>
                <w:rFonts w:ascii="Calibri" w:eastAsia="Times New Roman" w:hAnsi="Calibri" w:cs="Calibri"/>
                <w:bCs/>
                <w:lang w:eastAsia="en-GB"/>
              </w:rPr>
              <w:t xml:space="preserve"> l</w:t>
            </w:r>
            <w:r w:rsidRPr="006B15AA">
              <w:rPr>
                <w:rFonts w:ascii="Calibri" w:eastAsia="Times New Roman" w:hAnsi="Calibri" w:cs="Calibri"/>
                <w:bCs/>
                <w:lang w:eastAsia="en-GB"/>
              </w:rPr>
              <w:t>eavers in Q</w:t>
            </w:r>
            <w:r>
              <w:rPr>
                <w:rFonts w:ascii="Calibri" w:eastAsia="Times New Roman" w:hAnsi="Calibri" w:cs="Calibri"/>
                <w:bCs/>
                <w:lang w:eastAsia="en-GB"/>
              </w:rPr>
              <w:t xml:space="preserve">4. </w:t>
            </w:r>
          </w:p>
          <w:p w14:paraId="1C351EE9" w14:textId="77777777" w:rsidR="0024639B" w:rsidRPr="006B15AA" w:rsidRDefault="0024639B" w:rsidP="00C75BB4">
            <w:pPr>
              <w:pStyle w:val="ListParagraph"/>
              <w:numPr>
                <w:ilvl w:val="0"/>
                <w:numId w:val="26"/>
              </w:numPr>
              <w:textAlignment w:val="baseline"/>
              <w:rPr>
                <w:rFonts w:ascii="Times New Roman" w:eastAsia="Times New Roman" w:hAnsi="Times New Roman" w:cs="Times New Roman"/>
                <w:bCs/>
                <w:lang w:eastAsia="en-GB"/>
              </w:rPr>
            </w:pPr>
            <w:r>
              <w:rPr>
                <w:rFonts w:ascii="Calibri" w:eastAsia="Times New Roman" w:hAnsi="Calibri" w:cs="Calibri"/>
                <w:bCs/>
                <w:lang w:eastAsia="en-GB"/>
              </w:rPr>
              <w:lastRenderedPageBreak/>
              <w:t>In 2023/24 30</w:t>
            </w:r>
            <w:r w:rsidRPr="006B15AA">
              <w:rPr>
                <w:rFonts w:ascii="Calibri" w:eastAsia="Times New Roman" w:hAnsi="Calibri" w:cs="Calibri"/>
                <w:bCs/>
                <w:lang w:eastAsia="en-GB"/>
              </w:rPr>
              <w:t xml:space="preserve">% </w:t>
            </w:r>
            <w:r>
              <w:rPr>
                <w:rFonts w:ascii="Calibri" w:eastAsia="Times New Roman" w:hAnsi="Calibri" w:cs="Calibri"/>
                <w:bCs/>
                <w:lang w:eastAsia="en-GB"/>
              </w:rPr>
              <w:t xml:space="preserve">of leavers </w:t>
            </w:r>
            <w:r w:rsidRPr="006B15AA">
              <w:rPr>
                <w:rFonts w:ascii="Calibri" w:eastAsia="Times New Roman" w:hAnsi="Calibri" w:cs="Calibri"/>
                <w:bCs/>
                <w:lang w:eastAsia="en-GB"/>
              </w:rPr>
              <w:t xml:space="preserve">left for personal reasons, </w:t>
            </w:r>
            <w:r>
              <w:rPr>
                <w:rFonts w:ascii="Calibri" w:eastAsia="Times New Roman" w:hAnsi="Calibri" w:cs="Calibri"/>
                <w:bCs/>
                <w:lang w:eastAsia="en-GB"/>
              </w:rPr>
              <w:t>25</w:t>
            </w:r>
            <w:r w:rsidRPr="006B15AA">
              <w:rPr>
                <w:rFonts w:ascii="Calibri" w:eastAsia="Times New Roman" w:hAnsi="Calibri" w:cs="Calibri"/>
                <w:bCs/>
                <w:lang w:eastAsia="en-GB"/>
              </w:rPr>
              <w:t xml:space="preserve">% were colleagues leaving for alternative employment and </w:t>
            </w:r>
            <w:r>
              <w:rPr>
                <w:rFonts w:ascii="Calibri" w:eastAsia="Times New Roman" w:hAnsi="Calibri" w:cs="Calibri"/>
                <w:bCs/>
                <w:lang w:eastAsia="en-GB"/>
              </w:rPr>
              <w:t>14</w:t>
            </w:r>
            <w:r w:rsidRPr="006B15AA">
              <w:rPr>
                <w:rFonts w:ascii="Calibri" w:eastAsia="Times New Roman" w:hAnsi="Calibri" w:cs="Calibri"/>
                <w:bCs/>
                <w:lang w:eastAsia="en-GB"/>
              </w:rPr>
              <w:t xml:space="preserve">% of these were retirements. </w:t>
            </w:r>
          </w:p>
          <w:p w14:paraId="3CEF9977" w14:textId="77777777" w:rsidR="0024639B" w:rsidRPr="006B15AA" w:rsidRDefault="0024639B" w:rsidP="00C75BB4">
            <w:pPr>
              <w:pStyle w:val="ListParagraph"/>
              <w:numPr>
                <w:ilvl w:val="0"/>
                <w:numId w:val="26"/>
              </w:numPr>
              <w:textAlignment w:val="baseline"/>
              <w:rPr>
                <w:rFonts w:ascii="Times New Roman" w:eastAsia="Times New Roman" w:hAnsi="Times New Roman" w:cs="Times New Roman"/>
                <w:bCs/>
                <w:lang w:eastAsia="en-GB"/>
              </w:rPr>
            </w:pPr>
            <w:r w:rsidRPr="006B15AA">
              <w:rPr>
                <w:rFonts w:ascii="Calibri" w:eastAsia="Times New Roman" w:hAnsi="Calibri" w:cs="Calibri"/>
                <w:bCs/>
                <w:lang w:eastAsia="en-GB"/>
              </w:rPr>
              <w:t xml:space="preserve">The graph below shows </w:t>
            </w:r>
            <w:r>
              <w:rPr>
                <w:rFonts w:ascii="Calibri" w:eastAsia="Times New Roman" w:hAnsi="Calibri" w:cs="Calibri"/>
                <w:bCs/>
                <w:lang w:eastAsia="en-GB"/>
              </w:rPr>
              <w:t>a reduction in turnover this quarter, this is a continued trend from Q3</w:t>
            </w:r>
            <w:r w:rsidRPr="006B15AA">
              <w:rPr>
                <w:rFonts w:ascii="Calibri" w:eastAsia="Times New Roman" w:hAnsi="Calibri" w:cs="Calibri"/>
                <w:bCs/>
                <w:lang w:eastAsia="en-GB"/>
              </w:rPr>
              <w:t xml:space="preserve">. </w:t>
            </w:r>
          </w:p>
          <w:p w14:paraId="4EDF4A1A" w14:textId="77777777" w:rsidR="0024639B" w:rsidRDefault="0024639B" w:rsidP="00C75BB4">
            <w:pPr>
              <w:textAlignment w:val="baseline"/>
              <w:rPr>
                <w:rFonts w:ascii="Calibri" w:eastAsia="Times New Roman" w:hAnsi="Calibri" w:cs="Calibri"/>
                <w:b/>
                <w:bCs/>
                <w:lang w:eastAsia="en-GB"/>
              </w:rPr>
            </w:pPr>
            <w:r w:rsidRPr="006B15AA">
              <w:rPr>
                <w:rFonts w:ascii="Calibri" w:eastAsia="Times New Roman" w:hAnsi="Calibri" w:cs="Calibri"/>
                <w:b/>
                <w:bCs/>
                <w:lang w:eastAsia="en-GB"/>
              </w:rPr>
              <w:t> </w:t>
            </w:r>
            <w:r>
              <w:rPr>
                <w:rFonts w:ascii="Calibri" w:eastAsia="Times New Roman" w:hAnsi="Calibri" w:cs="Calibri"/>
                <w:b/>
                <w:bCs/>
                <w:noProof/>
                <w:lang w:eastAsia="en-GB"/>
              </w:rPr>
              <w:drawing>
                <wp:inline distT="0" distB="0" distL="0" distR="0" wp14:anchorId="5D5BDD39" wp14:editId="2842CBD2">
                  <wp:extent cx="2994256" cy="1540293"/>
                  <wp:effectExtent l="0" t="0" r="0" b="3175"/>
                  <wp:docPr id="1547651703" name="Picture 2"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30944" name="Picture 2" descr="A graph with a line and a line&#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026532" cy="1556897"/>
                          </a:xfrm>
                          <a:prstGeom prst="rect">
                            <a:avLst/>
                          </a:prstGeom>
                          <a:noFill/>
                        </pic:spPr>
                      </pic:pic>
                    </a:graphicData>
                  </a:graphic>
                </wp:inline>
              </w:drawing>
            </w:r>
          </w:p>
          <w:p w14:paraId="672A9DC3" w14:textId="77777777" w:rsidR="0024639B" w:rsidRDefault="0024639B" w:rsidP="00C75BB4">
            <w:pPr>
              <w:textAlignment w:val="baseline"/>
              <w:rPr>
                <w:rFonts w:ascii="Calibri" w:eastAsia="Times New Roman" w:hAnsi="Calibri" w:cs="Calibri"/>
                <w:bCs/>
                <w:lang w:eastAsia="en-GB"/>
              </w:rPr>
            </w:pPr>
            <w:r w:rsidRPr="00931C84">
              <w:rPr>
                <w:rFonts w:ascii="Calibri" w:eastAsia="Times New Roman" w:hAnsi="Calibri" w:cs="Calibri"/>
                <w:bCs/>
                <w:lang w:eastAsia="en-GB"/>
              </w:rPr>
              <w:t>(This graph shows the employee turnover)</w:t>
            </w:r>
          </w:p>
          <w:p w14:paraId="22999D16" w14:textId="77777777" w:rsidR="00A94043" w:rsidRDefault="00A94043" w:rsidP="00C75BB4">
            <w:pPr>
              <w:textAlignment w:val="baseline"/>
              <w:rPr>
                <w:rFonts w:ascii="Calibri" w:eastAsia="Times New Roman" w:hAnsi="Calibri" w:cs="Calibri"/>
                <w:bCs/>
                <w:lang w:eastAsia="en-GB"/>
              </w:rPr>
            </w:pPr>
          </w:p>
          <w:p w14:paraId="68F32544" w14:textId="77777777" w:rsidR="0024639B" w:rsidRPr="00BC7BAA" w:rsidRDefault="0024639B" w:rsidP="00C75BB4">
            <w:pPr>
              <w:pStyle w:val="ListParagraph"/>
              <w:numPr>
                <w:ilvl w:val="0"/>
                <w:numId w:val="29"/>
              </w:numPr>
              <w:textAlignment w:val="baseline"/>
              <w:rPr>
                <w:rFonts w:ascii="Times New Roman" w:eastAsia="Times New Roman" w:hAnsi="Times New Roman" w:cs="Times New Roman"/>
                <w:bCs/>
                <w:lang w:eastAsia="en-GB"/>
              </w:rPr>
            </w:pPr>
            <w:r w:rsidRPr="006B15AA">
              <w:rPr>
                <w:rFonts w:ascii="Calibri" w:eastAsia="Times New Roman" w:hAnsi="Calibri" w:cs="Calibri"/>
                <w:bCs/>
                <w:lang w:eastAsia="en-GB"/>
              </w:rPr>
              <w:t>We have seen a</w:t>
            </w:r>
            <w:r>
              <w:rPr>
                <w:rFonts w:ascii="Calibri" w:eastAsia="Times New Roman" w:hAnsi="Calibri" w:cs="Calibri"/>
                <w:bCs/>
                <w:lang w:eastAsia="en-GB"/>
              </w:rPr>
              <w:t xml:space="preserve"> 73%</w:t>
            </w:r>
            <w:r w:rsidRPr="006B15AA">
              <w:rPr>
                <w:rFonts w:ascii="Calibri" w:eastAsia="Times New Roman" w:hAnsi="Calibri" w:cs="Calibri"/>
                <w:bCs/>
                <w:lang w:eastAsia="en-GB"/>
              </w:rPr>
              <w:t xml:space="preserve"> return rate for exit questionnaires </w:t>
            </w:r>
            <w:r>
              <w:rPr>
                <w:rFonts w:ascii="Calibri" w:eastAsia="Times New Roman" w:hAnsi="Calibri" w:cs="Calibri"/>
                <w:bCs/>
                <w:lang w:eastAsia="en-GB"/>
              </w:rPr>
              <w:t>in</w:t>
            </w:r>
            <w:r w:rsidRPr="006B15AA">
              <w:rPr>
                <w:rFonts w:ascii="Calibri" w:eastAsia="Times New Roman" w:hAnsi="Calibri" w:cs="Calibri"/>
                <w:bCs/>
                <w:lang w:eastAsia="en-GB"/>
              </w:rPr>
              <w:t xml:space="preserve"> </w:t>
            </w:r>
            <w:r>
              <w:rPr>
                <w:rFonts w:ascii="Calibri" w:eastAsia="Times New Roman" w:hAnsi="Calibri" w:cs="Calibri"/>
                <w:bCs/>
                <w:lang w:eastAsia="en-GB"/>
              </w:rPr>
              <w:t xml:space="preserve">Q4 </w:t>
            </w:r>
            <w:r w:rsidRPr="006B15AA">
              <w:rPr>
                <w:rFonts w:ascii="Calibri" w:eastAsia="Times New Roman" w:hAnsi="Calibri" w:cs="Calibri"/>
                <w:bCs/>
                <w:lang w:eastAsia="en-GB"/>
              </w:rPr>
              <w:t>(</w:t>
            </w:r>
            <w:r>
              <w:rPr>
                <w:rFonts w:ascii="Calibri" w:eastAsia="Times New Roman" w:hAnsi="Calibri" w:cs="Calibri"/>
                <w:bCs/>
                <w:lang w:eastAsia="en-GB"/>
              </w:rPr>
              <w:t>11</w:t>
            </w:r>
            <w:r w:rsidRPr="006B15AA">
              <w:rPr>
                <w:rFonts w:ascii="Calibri" w:eastAsia="Times New Roman" w:hAnsi="Calibri" w:cs="Calibri"/>
                <w:bCs/>
                <w:lang w:eastAsia="en-GB"/>
              </w:rPr>
              <w:t xml:space="preserve"> in total)</w:t>
            </w:r>
            <w:r>
              <w:rPr>
                <w:rFonts w:ascii="Calibri" w:eastAsia="Times New Roman" w:hAnsi="Calibri" w:cs="Calibri"/>
                <w:bCs/>
                <w:lang w:eastAsia="en-GB"/>
              </w:rPr>
              <w:t>, (</w:t>
            </w:r>
            <w:r w:rsidRPr="006B15AA">
              <w:rPr>
                <w:rFonts w:ascii="Calibri" w:eastAsia="Times New Roman" w:hAnsi="Calibri" w:cs="Calibri"/>
                <w:bCs/>
                <w:lang w:eastAsia="en-GB"/>
              </w:rPr>
              <w:t>Q</w:t>
            </w:r>
            <w:r>
              <w:rPr>
                <w:rFonts w:ascii="Calibri" w:eastAsia="Times New Roman" w:hAnsi="Calibri" w:cs="Calibri"/>
                <w:bCs/>
                <w:lang w:eastAsia="en-GB"/>
              </w:rPr>
              <w:t>3 80</w:t>
            </w:r>
            <w:r w:rsidRPr="006B15AA">
              <w:rPr>
                <w:rFonts w:ascii="Calibri" w:eastAsia="Times New Roman" w:hAnsi="Calibri" w:cs="Calibri"/>
                <w:bCs/>
                <w:lang w:eastAsia="en-GB"/>
              </w:rPr>
              <w:t>%</w:t>
            </w:r>
            <w:r>
              <w:rPr>
                <w:rFonts w:ascii="Calibri" w:eastAsia="Times New Roman" w:hAnsi="Calibri" w:cs="Calibri"/>
                <w:bCs/>
                <w:lang w:eastAsia="en-GB"/>
              </w:rPr>
              <w:t xml:space="preserve">; </w:t>
            </w:r>
            <w:r>
              <w:rPr>
                <w:rFonts w:ascii="Calibri" w:eastAsia="Times New Roman" w:hAnsi="Calibri" w:cs="Calibri"/>
                <w:lang w:eastAsia="en-GB"/>
              </w:rPr>
              <w:t>12</w:t>
            </w:r>
            <w:r>
              <w:rPr>
                <w:rFonts w:ascii="Calibri" w:eastAsia="Times New Roman" w:hAnsi="Calibri" w:cs="Calibri"/>
                <w:bCs/>
                <w:lang w:eastAsia="en-GB"/>
              </w:rPr>
              <w:t>)</w:t>
            </w:r>
            <w:r w:rsidRPr="006B15AA">
              <w:rPr>
                <w:rFonts w:ascii="Calibri" w:eastAsia="Times New Roman" w:hAnsi="Calibri" w:cs="Calibri"/>
                <w:bCs/>
                <w:lang w:eastAsia="en-GB"/>
              </w:rPr>
              <w:t xml:space="preserve">. </w:t>
            </w:r>
          </w:p>
          <w:p w14:paraId="52E9A354" w14:textId="77777777" w:rsidR="0024639B" w:rsidRPr="00CE3F7A" w:rsidRDefault="0024639B" w:rsidP="00C75BB4">
            <w:pPr>
              <w:pStyle w:val="ListParagraph"/>
              <w:numPr>
                <w:ilvl w:val="0"/>
                <w:numId w:val="29"/>
              </w:numPr>
              <w:textAlignment w:val="baseline"/>
              <w:rPr>
                <w:rFonts w:ascii="Times New Roman" w:eastAsia="Times New Roman" w:hAnsi="Times New Roman" w:cs="Times New Roman"/>
                <w:bCs/>
                <w:lang w:eastAsia="en-GB"/>
              </w:rPr>
            </w:pPr>
            <w:r>
              <w:rPr>
                <w:rFonts w:ascii="Calibri" w:eastAsia="Times New Roman" w:hAnsi="Calibri" w:cs="Calibri"/>
                <w:bCs/>
                <w:lang w:eastAsia="en-GB"/>
              </w:rPr>
              <w:t>The annual average return rate for 2023/24 is 74%, (</w:t>
            </w:r>
            <w:r>
              <w:rPr>
                <w:rFonts w:ascii="Calibri" w:eastAsia="Times New Roman" w:hAnsi="Calibri" w:cs="Calibri"/>
                <w:lang w:eastAsia="en-GB"/>
              </w:rPr>
              <w:t>↑</w:t>
            </w:r>
            <w:r>
              <w:rPr>
                <w:rFonts w:ascii="Calibri" w:eastAsia="Times New Roman" w:hAnsi="Calibri" w:cs="Calibri"/>
                <w:bCs/>
                <w:lang w:eastAsia="en-GB"/>
              </w:rPr>
              <w:t xml:space="preserve"> 23.62% 2022/23), which indicates our promotion of the exit questionnaire has been successful. No significant issues highlighted.</w:t>
            </w:r>
          </w:p>
          <w:p w14:paraId="682BB07E" w14:textId="77777777" w:rsidR="0024639B" w:rsidRPr="00BC7BAA" w:rsidRDefault="0024639B" w:rsidP="00C75BB4">
            <w:pPr>
              <w:pStyle w:val="ListParagraph"/>
              <w:ind w:left="360"/>
              <w:textAlignment w:val="baseline"/>
              <w:rPr>
                <w:rFonts w:ascii="Times New Roman" w:eastAsia="Times New Roman" w:hAnsi="Times New Roman" w:cs="Times New Roman"/>
                <w:bCs/>
                <w:lang w:eastAsia="en-GB"/>
              </w:rPr>
            </w:pPr>
          </w:p>
          <w:p w14:paraId="6F1ECFF3" w14:textId="77777777" w:rsidR="0024639B" w:rsidRPr="006B15AA" w:rsidRDefault="0024639B" w:rsidP="00C75BB4">
            <w:pPr>
              <w:textAlignment w:val="baseline"/>
              <w:rPr>
                <w:rFonts w:ascii="Calibri" w:eastAsia="Times New Roman" w:hAnsi="Calibri" w:cs="Calibri"/>
                <w:bCs/>
                <w:lang w:eastAsia="en-GB"/>
              </w:rPr>
            </w:pPr>
            <w:r>
              <w:rPr>
                <w:rFonts w:ascii="Calibri" w:eastAsia="Times New Roman" w:hAnsi="Calibri" w:cs="Calibri"/>
                <w:bCs/>
                <w:noProof/>
                <w:lang w:eastAsia="en-GB"/>
              </w:rPr>
              <w:drawing>
                <wp:inline distT="0" distB="0" distL="0" distR="0" wp14:anchorId="2591F149" wp14:editId="3C37C1BB">
                  <wp:extent cx="3055223" cy="2234901"/>
                  <wp:effectExtent l="0" t="0" r="0" b="0"/>
                  <wp:docPr id="430384820" name="Picture 3" descr="A graph of 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3359" name="Picture 3" descr="A graph of a graph with numbers and a bar&#10;&#10;Description automatically generated with medium confidenc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79175" cy="2252422"/>
                          </a:xfrm>
                          <a:prstGeom prst="rect">
                            <a:avLst/>
                          </a:prstGeom>
                          <a:noFill/>
                        </pic:spPr>
                      </pic:pic>
                    </a:graphicData>
                  </a:graphic>
                </wp:inline>
              </w:drawing>
            </w:r>
          </w:p>
          <w:p w14:paraId="0C1C98FD" w14:textId="77777777" w:rsidR="0024639B" w:rsidRPr="006B15AA" w:rsidRDefault="0024639B" w:rsidP="00C75BB4">
            <w:pPr>
              <w:textAlignment w:val="baseline"/>
              <w:rPr>
                <w:rFonts w:ascii="Calibri" w:eastAsia="Times New Roman" w:hAnsi="Calibri" w:cs="Calibri"/>
                <w:bCs/>
                <w:lang w:eastAsia="en-GB"/>
              </w:rPr>
            </w:pPr>
            <w:r w:rsidRPr="006B15AA">
              <w:rPr>
                <w:rFonts w:ascii="Calibri" w:eastAsia="Times New Roman" w:hAnsi="Calibri" w:cs="Calibri"/>
                <w:bCs/>
                <w:lang w:eastAsia="en-GB"/>
              </w:rPr>
              <w:t>(This graph shows the leavers who left for alternative employment)</w:t>
            </w:r>
          </w:p>
          <w:p w14:paraId="4025D131" w14:textId="77777777" w:rsidR="0024639B" w:rsidRPr="006B15AA" w:rsidRDefault="0024639B" w:rsidP="00C75BB4">
            <w:pPr>
              <w:textAlignment w:val="baseline"/>
              <w:rPr>
                <w:rFonts w:ascii="Calibri" w:eastAsia="Times New Roman" w:hAnsi="Calibri" w:cs="Calibri"/>
                <w:bCs/>
                <w:lang w:eastAsia="en-GB"/>
              </w:rPr>
            </w:pPr>
          </w:p>
          <w:p w14:paraId="05D70FE2" w14:textId="77777777" w:rsidR="0024639B" w:rsidRDefault="0024639B" w:rsidP="00C75BB4">
            <w:pPr>
              <w:pStyle w:val="ListParagraph"/>
              <w:numPr>
                <w:ilvl w:val="0"/>
                <w:numId w:val="30"/>
              </w:numPr>
              <w:textAlignment w:val="baseline"/>
              <w:rPr>
                <w:rFonts w:ascii="Calibri" w:eastAsia="Times New Roman" w:hAnsi="Calibri" w:cs="Calibri"/>
                <w:bCs/>
                <w:lang w:eastAsia="en-GB"/>
              </w:rPr>
            </w:pPr>
            <w:r w:rsidRPr="00084CA6">
              <w:rPr>
                <w:rFonts w:ascii="Calibri" w:eastAsia="Times New Roman" w:hAnsi="Calibri" w:cs="Calibri"/>
                <w:bCs/>
                <w:lang w:eastAsia="en-GB"/>
              </w:rPr>
              <w:t xml:space="preserve">Leavers by grade – </w:t>
            </w:r>
            <w:r>
              <w:rPr>
                <w:rFonts w:ascii="Calibri" w:eastAsia="Times New Roman" w:hAnsi="Calibri" w:cs="Calibri"/>
                <w:bCs/>
                <w:lang w:eastAsia="en-GB"/>
              </w:rPr>
              <w:t>I</w:t>
            </w:r>
            <w:r w:rsidRPr="00084CA6">
              <w:rPr>
                <w:rFonts w:ascii="Calibri" w:eastAsia="Times New Roman" w:hAnsi="Calibri" w:cs="Calibri"/>
                <w:bCs/>
                <w:lang w:eastAsia="en-GB"/>
              </w:rPr>
              <w:t>n 2023/24 most of our leavers come from B (2</w:t>
            </w:r>
            <w:r>
              <w:rPr>
                <w:rFonts w:ascii="Calibri" w:eastAsia="Times New Roman" w:hAnsi="Calibri" w:cs="Calibri"/>
                <w:bCs/>
                <w:lang w:eastAsia="en-GB"/>
              </w:rPr>
              <w:t>5</w:t>
            </w:r>
            <w:r w:rsidRPr="00084CA6">
              <w:rPr>
                <w:rFonts w:ascii="Calibri" w:eastAsia="Times New Roman" w:hAnsi="Calibri" w:cs="Calibri"/>
                <w:bCs/>
                <w:lang w:eastAsia="en-GB"/>
              </w:rPr>
              <w:t>) and D (21) grades (out of a total of 6</w:t>
            </w:r>
            <w:r>
              <w:rPr>
                <w:rFonts w:ascii="Calibri" w:eastAsia="Times New Roman" w:hAnsi="Calibri" w:cs="Calibri"/>
                <w:bCs/>
                <w:lang w:eastAsia="en-GB"/>
              </w:rPr>
              <w:t>7</w:t>
            </w:r>
            <w:r w:rsidRPr="00084CA6">
              <w:rPr>
                <w:rFonts w:ascii="Calibri" w:eastAsia="Times New Roman" w:hAnsi="Calibri" w:cs="Calibri"/>
                <w:bCs/>
                <w:lang w:eastAsia="en-GB"/>
              </w:rPr>
              <w:t xml:space="preserve"> leavers)</w:t>
            </w:r>
            <w:r>
              <w:rPr>
                <w:rFonts w:ascii="Calibri" w:eastAsia="Times New Roman" w:hAnsi="Calibri" w:cs="Calibri"/>
                <w:bCs/>
                <w:lang w:eastAsia="en-GB"/>
              </w:rPr>
              <w:t>. T</w:t>
            </w:r>
            <w:r w:rsidRPr="00084CA6">
              <w:rPr>
                <w:rFonts w:ascii="Calibri" w:eastAsia="Times New Roman" w:hAnsi="Calibri" w:cs="Calibri"/>
                <w:bCs/>
                <w:lang w:eastAsia="en-GB"/>
              </w:rPr>
              <w:t>his is consistent with 2022/23</w:t>
            </w:r>
            <w:r>
              <w:rPr>
                <w:rFonts w:ascii="Calibri" w:eastAsia="Times New Roman" w:hAnsi="Calibri" w:cs="Calibri"/>
                <w:bCs/>
                <w:lang w:eastAsia="en-GB"/>
              </w:rPr>
              <w:t xml:space="preserve"> and is 69% of our total leavers across the year.</w:t>
            </w:r>
          </w:p>
          <w:p w14:paraId="268904BB" w14:textId="77777777" w:rsidR="0024639B" w:rsidRDefault="0024639B" w:rsidP="00C75BB4">
            <w:pPr>
              <w:textAlignment w:val="baseline"/>
              <w:rPr>
                <w:rFonts w:ascii="Calibri" w:eastAsia="Times New Roman" w:hAnsi="Calibri" w:cs="Calibri"/>
                <w:b/>
                <w:bCs/>
                <w:lang w:eastAsia="en-GB"/>
              </w:rPr>
            </w:pPr>
          </w:p>
        </w:tc>
        <w:tc>
          <w:tcPr>
            <w:tcW w:w="837" w:type="dxa"/>
          </w:tcPr>
          <w:p w14:paraId="7187332D"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p>
        </w:tc>
      </w:tr>
      <w:tr w:rsidR="0024639B" w14:paraId="593CD1B9" w14:textId="77777777" w:rsidTr="00C75BB4">
        <w:tc>
          <w:tcPr>
            <w:tcW w:w="9006" w:type="dxa"/>
            <w:shd w:val="clear" w:color="auto" w:fill="00B050"/>
          </w:tcPr>
          <w:p w14:paraId="5F0292F8" w14:textId="77777777" w:rsidR="0024639B" w:rsidRDefault="0024639B" w:rsidP="00C75BB4">
            <w:pPr>
              <w:textAlignment w:val="baseline"/>
              <w:rPr>
                <w:rFonts w:ascii="Calibri" w:eastAsia="Times New Roman" w:hAnsi="Calibri" w:cs="Calibri"/>
                <w:b/>
                <w:bCs/>
                <w:lang w:eastAsia="en-GB"/>
              </w:rPr>
            </w:pPr>
            <w:r w:rsidRPr="006B15AA">
              <w:rPr>
                <w:rFonts w:ascii="Calibri" w:eastAsia="Times New Roman" w:hAnsi="Calibri" w:cs="Calibri"/>
                <w:b/>
                <w:bCs/>
                <w:lang w:eastAsia="en-GB"/>
              </w:rPr>
              <w:t>Internal Movement</w:t>
            </w:r>
          </w:p>
        </w:tc>
        <w:tc>
          <w:tcPr>
            <w:tcW w:w="837" w:type="dxa"/>
            <w:shd w:val="clear" w:color="auto" w:fill="00B050"/>
          </w:tcPr>
          <w:p w14:paraId="00CD2624"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sidRPr="00DD77BC">
              <w:rPr>
                <w:rFonts w:ascii="Calibri" w:eastAsia="Times New Roman" w:hAnsi="Calibri" w:cs="Calibri"/>
                <w:b/>
                <w:bCs/>
                <w:lang w:eastAsia="en-GB"/>
              </w:rPr>
              <w:t>Green</w:t>
            </w:r>
          </w:p>
        </w:tc>
      </w:tr>
      <w:tr w:rsidR="0024639B" w14:paraId="6A38A174" w14:textId="77777777" w:rsidTr="00C75BB4">
        <w:tc>
          <w:tcPr>
            <w:tcW w:w="9006" w:type="dxa"/>
          </w:tcPr>
          <w:p w14:paraId="0D468B37" w14:textId="77777777" w:rsidR="0024639B" w:rsidRDefault="0024639B" w:rsidP="00C75BB4">
            <w:pPr>
              <w:textAlignment w:val="baseline"/>
              <w:rPr>
                <w:rFonts w:ascii="Calibri" w:eastAsia="Times New Roman" w:hAnsi="Calibri" w:cs="Calibri"/>
                <w:b/>
                <w:bCs/>
                <w:lang w:eastAsia="en-GB"/>
              </w:rPr>
            </w:pPr>
            <w:r>
              <w:rPr>
                <w:rFonts w:ascii="Calibri" w:eastAsia="Times New Roman" w:hAnsi="Calibri" w:cs="Calibri"/>
                <w:b/>
                <w:bCs/>
                <w:lang w:eastAsia="en-GB"/>
              </w:rPr>
              <w:t>T</w:t>
            </w:r>
            <w:r w:rsidRPr="006B15AA">
              <w:rPr>
                <w:rFonts w:ascii="Calibri" w:eastAsia="Times New Roman" w:hAnsi="Calibri" w:cs="Calibri"/>
                <w:b/>
                <w:bCs/>
                <w:lang w:eastAsia="en-GB"/>
              </w:rPr>
              <w:t>arget: increase internal moves</w:t>
            </w:r>
          </w:p>
          <w:p w14:paraId="66577639" w14:textId="77777777" w:rsidR="0024639B" w:rsidRPr="006B15AA" w:rsidRDefault="0024639B" w:rsidP="00C75BB4">
            <w:pPr>
              <w:textAlignment w:val="baseline"/>
              <w:rPr>
                <w:rFonts w:ascii="Times New Roman" w:eastAsia="Times New Roman" w:hAnsi="Times New Roman" w:cs="Times New Roman"/>
                <w:b/>
                <w:bCs/>
                <w:lang w:eastAsia="en-GB"/>
              </w:rPr>
            </w:pPr>
            <w:r w:rsidRPr="006B15AA">
              <w:rPr>
                <w:rFonts w:ascii="Calibri" w:eastAsia="Times New Roman" w:hAnsi="Calibri" w:cs="Calibri"/>
                <w:b/>
                <w:bCs/>
                <w:lang w:eastAsia="en-GB"/>
              </w:rPr>
              <w:t xml:space="preserve"> </w:t>
            </w:r>
          </w:p>
          <w:p w14:paraId="445F6038" w14:textId="77777777" w:rsidR="0024639B" w:rsidRPr="00CE3F7A" w:rsidRDefault="0024639B" w:rsidP="00C75BB4">
            <w:pPr>
              <w:pStyle w:val="ListParagraph"/>
              <w:numPr>
                <w:ilvl w:val="0"/>
                <w:numId w:val="27"/>
              </w:numPr>
              <w:textAlignment w:val="baseline"/>
              <w:rPr>
                <w:rFonts w:ascii="Times New Roman" w:eastAsia="Times New Roman" w:hAnsi="Times New Roman" w:cs="Times New Roman"/>
                <w:bCs/>
                <w:lang w:eastAsia="en-GB"/>
              </w:rPr>
            </w:pPr>
            <w:r w:rsidRPr="00615187">
              <w:rPr>
                <w:rFonts w:ascii="Calibri" w:eastAsia="Times New Roman" w:hAnsi="Calibri" w:cs="Calibri"/>
                <w:bCs/>
                <w:lang w:eastAsia="en-GB"/>
              </w:rPr>
              <w:t>Q</w:t>
            </w:r>
            <w:r>
              <w:rPr>
                <w:rFonts w:ascii="Calibri" w:eastAsia="Times New Roman" w:hAnsi="Calibri" w:cs="Calibri"/>
                <w:bCs/>
                <w:lang w:eastAsia="en-GB"/>
              </w:rPr>
              <w:t>4</w:t>
            </w:r>
            <w:r w:rsidRPr="00615187">
              <w:rPr>
                <w:rFonts w:ascii="Calibri" w:eastAsia="Times New Roman" w:hAnsi="Calibri" w:cs="Calibri"/>
                <w:bCs/>
                <w:lang w:eastAsia="en-GB"/>
              </w:rPr>
              <w:t>:</w:t>
            </w:r>
            <w:r w:rsidRPr="006B15AA">
              <w:rPr>
                <w:rFonts w:ascii="Calibri" w:eastAsia="Times New Roman" w:hAnsi="Calibri" w:cs="Calibri"/>
                <w:bCs/>
                <w:lang w:eastAsia="en-GB"/>
              </w:rPr>
              <w:t>  Internal moves have reduced again this quarter</w:t>
            </w:r>
            <w:r>
              <w:rPr>
                <w:rFonts w:ascii="Calibri" w:eastAsia="Times New Roman" w:hAnsi="Calibri" w:cs="Calibri"/>
                <w:bCs/>
                <w:lang w:eastAsia="en-GB"/>
              </w:rPr>
              <w:t xml:space="preserve"> to 16</w:t>
            </w:r>
            <w:r w:rsidRPr="006B15AA">
              <w:rPr>
                <w:rFonts w:ascii="Calibri" w:eastAsia="Times New Roman" w:hAnsi="Calibri" w:cs="Calibri"/>
                <w:bCs/>
                <w:lang w:eastAsia="en-GB"/>
              </w:rPr>
              <w:t xml:space="preserve"> internal moves (</w:t>
            </w:r>
            <w:r>
              <w:rPr>
                <w:rFonts w:ascii="Calibri" w:eastAsia="Times New Roman" w:hAnsi="Calibri" w:cs="Calibri"/>
                <w:bCs/>
                <w:lang w:eastAsia="en-GB"/>
              </w:rPr>
              <w:t>Q3 - 23</w:t>
            </w:r>
            <w:r>
              <w:rPr>
                <w:rFonts w:ascii="Calibri" w:eastAsia="Times New Roman" w:hAnsi="Calibri" w:cs="Calibri"/>
                <w:lang w:eastAsia="en-GB"/>
              </w:rPr>
              <w:t>↓7</w:t>
            </w:r>
            <w:r w:rsidRPr="006B15AA">
              <w:rPr>
                <w:rFonts w:ascii="Calibri" w:eastAsia="Times New Roman" w:hAnsi="Calibri" w:cs="Calibri"/>
                <w:bCs/>
                <w:lang w:eastAsia="en-GB"/>
              </w:rPr>
              <w:t xml:space="preserve">). This is </w:t>
            </w:r>
            <w:r>
              <w:rPr>
                <w:rFonts w:ascii="Calibri" w:eastAsia="Times New Roman" w:hAnsi="Calibri" w:cs="Calibri"/>
                <w:bCs/>
                <w:lang w:eastAsia="en-GB"/>
              </w:rPr>
              <w:t>2</w:t>
            </w:r>
            <w:r w:rsidRPr="006B15AA">
              <w:rPr>
                <w:rFonts w:ascii="Calibri" w:eastAsia="Times New Roman" w:hAnsi="Calibri" w:cs="Calibri"/>
                <w:bCs/>
                <w:lang w:eastAsia="en-GB"/>
              </w:rPr>
              <w:t>% of our headcount</w:t>
            </w:r>
            <w:r>
              <w:rPr>
                <w:rFonts w:ascii="Calibri" w:eastAsia="Times New Roman" w:hAnsi="Calibri" w:cs="Calibri"/>
                <w:bCs/>
                <w:lang w:eastAsia="en-GB"/>
              </w:rPr>
              <w:t xml:space="preserve"> (note: includes those </w:t>
            </w:r>
            <w:r w:rsidRPr="006B15AA">
              <w:rPr>
                <w:rFonts w:ascii="Calibri" w:eastAsia="Times New Roman" w:hAnsi="Calibri" w:cs="Calibri"/>
                <w:bCs/>
                <w:lang w:eastAsia="en-GB"/>
              </w:rPr>
              <w:t>returning to their substantive post following a temporary reassignment</w:t>
            </w:r>
            <w:r>
              <w:rPr>
                <w:rFonts w:ascii="Calibri" w:eastAsia="Times New Roman" w:hAnsi="Calibri" w:cs="Calibri"/>
                <w:bCs/>
                <w:lang w:eastAsia="en-GB"/>
              </w:rPr>
              <w:t>)</w:t>
            </w:r>
            <w:r w:rsidRPr="006B15AA">
              <w:rPr>
                <w:rFonts w:ascii="Calibri" w:eastAsia="Times New Roman" w:hAnsi="Calibri" w:cs="Calibri"/>
                <w:bCs/>
                <w:lang w:eastAsia="en-GB"/>
              </w:rPr>
              <w:t>.</w:t>
            </w:r>
            <w:r>
              <w:rPr>
                <w:rFonts w:ascii="Calibri" w:eastAsia="Times New Roman" w:hAnsi="Calibri" w:cs="Calibri"/>
                <w:bCs/>
                <w:lang w:eastAsia="en-GB"/>
              </w:rPr>
              <w:t xml:space="preserve"> </w:t>
            </w:r>
          </w:p>
          <w:p w14:paraId="19FB1352" w14:textId="77777777" w:rsidR="0024639B" w:rsidRPr="00C37A0A" w:rsidRDefault="0024639B" w:rsidP="00C75BB4">
            <w:pPr>
              <w:pStyle w:val="ListParagraph"/>
              <w:numPr>
                <w:ilvl w:val="0"/>
                <w:numId w:val="27"/>
              </w:numPr>
              <w:textAlignment w:val="baseline"/>
              <w:rPr>
                <w:rFonts w:ascii="Times New Roman" w:eastAsia="Times New Roman" w:hAnsi="Times New Roman" w:cs="Times New Roman"/>
                <w:bCs/>
                <w:lang w:eastAsia="en-GB"/>
              </w:rPr>
            </w:pPr>
            <w:r>
              <w:rPr>
                <w:rFonts w:ascii="Calibri" w:eastAsia="Times New Roman" w:hAnsi="Calibri" w:cs="Calibri"/>
                <w:bCs/>
                <w:lang w:eastAsia="en-GB"/>
              </w:rPr>
              <w:t>This is in line with the reduction of recruitment in Q3 and Q4. This data is likely to increase in Q1 of 2024/25 due to the increase of recruitment.</w:t>
            </w:r>
          </w:p>
          <w:p w14:paraId="5020F57F" w14:textId="77777777" w:rsidR="0024639B" w:rsidRPr="00136947" w:rsidRDefault="0024639B" w:rsidP="00C75BB4">
            <w:pPr>
              <w:pStyle w:val="ListParagraph"/>
              <w:numPr>
                <w:ilvl w:val="0"/>
                <w:numId w:val="27"/>
              </w:numPr>
              <w:textAlignment w:val="baseline"/>
              <w:rPr>
                <w:rFonts w:ascii="Times New Roman" w:eastAsia="Times New Roman" w:hAnsi="Times New Roman" w:cs="Times New Roman"/>
                <w:bCs/>
                <w:lang w:eastAsia="en-GB"/>
              </w:rPr>
            </w:pPr>
            <w:r>
              <w:rPr>
                <w:rFonts w:ascii="Calibri" w:eastAsia="Times New Roman" w:hAnsi="Calibri" w:cs="Calibri"/>
                <w:bCs/>
                <w:lang w:eastAsia="en-GB"/>
              </w:rPr>
              <w:lastRenderedPageBreak/>
              <w:t>Our strategic workforce planning project will review any targets set around internal opportunities. In addition, a review of our Internal First recruitment policy is underway.</w:t>
            </w:r>
          </w:p>
          <w:p w14:paraId="1B76F8A2" w14:textId="77777777" w:rsidR="0024639B" w:rsidRDefault="0024639B" w:rsidP="00C75BB4">
            <w:pPr>
              <w:pStyle w:val="ListParagraph"/>
              <w:numPr>
                <w:ilvl w:val="0"/>
                <w:numId w:val="27"/>
              </w:numPr>
              <w:textAlignment w:val="baseline"/>
              <w:rPr>
                <w:rFonts w:ascii="Calibri" w:eastAsia="Times New Roman" w:hAnsi="Calibri" w:cs="Calibri"/>
                <w:bCs/>
                <w:lang w:eastAsia="en-GB"/>
              </w:rPr>
            </w:pPr>
            <w:r w:rsidRPr="00963DBE">
              <w:rPr>
                <w:rFonts w:ascii="Calibri" w:eastAsia="Times New Roman" w:hAnsi="Calibri" w:cs="Calibri"/>
                <w:bCs/>
                <w:lang w:eastAsia="en-GB"/>
              </w:rPr>
              <w:t>In Q</w:t>
            </w:r>
            <w:r>
              <w:rPr>
                <w:rFonts w:ascii="Calibri" w:eastAsia="Times New Roman" w:hAnsi="Calibri" w:cs="Calibri"/>
                <w:bCs/>
                <w:lang w:eastAsia="en-GB"/>
              </w:rPr>
              <w:t>4</w:t>
            </w:r>
            <w:r w:rsidRPr="00963DBE">
              <w:rPr>
                <w:rFonts w:ascii="Calibri" w:eastAsia="Times New Roman" w:hAnsi="Calibri" w:cs="Calibri"/>
                <w:bCs/>
                <w:lang w:eastAsia="en-GB"/>
              </w:rPr>
              <w:t xml:space="preserve"> there have been </w:t>
            </w:r>
            <w:r>
              <w:rPr>
                <w:rFonts w:ascii="Calibri" w:eastAsia="Times New Roman" w:hAnsi="Calibri" w:cs="Calibri"/>
                <w:bCs/>
                <w:lang w:eastAsia="en-GB"/>
              </w:rPr>
              <w:t xml:space="preserve">40 </w:t>
            </w:r>
            <w:r w:rsidRPr="00963DBE">
              <w:rPr>
                <w:rFonts w:ascii="Calibri" w:eastAsia="Times New Roman" w:hAnsi="Calibri" w:cs="Calibri"/>
                <w:bCs/>
                <w:lang w:eastAsia="en-GB"/>
              </w:rPr>
              <w:t>recruitment campaigns (Q</w:t>
            </w:r>
            <w:r>
              <w:rPr>
                <w:rFonts w:ascii="Calibri" w:eastAsia="Times New Roman" w:hAnsi="Calibri" w:cs="Calibri"/>
                <w:bCs/>
                <w:lang w:eastAsia="en-GB"/>
              </w:rPr>
              <w:t>3</w:t>
            </w:r>
            <w:r w:rsidRPr="00963DBE">
              <w:rPr>
                <w:rFonts w:ascii="Calibri" w:eastAsia="Times New Roman" w:hAnsi="Calibri" w:cs="Calibri"/>
                <w:bCs/>
                <w:lang w:eastAsia="en-GB"/>
              </w:rPr>
              <w:t xml:space="preserve"> – </w:t>
            </w:r>
            <w:r>
              <w:rPr>
                <w:rFonts w:ascii="Calibri" w:eastAsia="Times New Roman" w:hAnsi="Calibri" w:cs="Calibri"/>
                <w:bCs/>
                <w:lang w:eastAsia="en-GB"/>
              </w:rPr>
              <w:t>22</w:t>
            </w:r>
            <w:r>
              <w:rPr>
                <w:rFonts w:ascii="Calibri" w:eastAsia="Times New Roman" w:hAnsi="Calibri" w:cs="Calibri"/>
                <w:lang w:eastAsia="en-GB"/>
              </w:rPr>
              <w:t>↑18)</w:t>
            </w:r>
            <w:r w:rsidRPr="00963DBE">
              <w:rPr>
                <w:rFonts w:ascii="Calibri" w:eastAsia="Times New Roman" w:hAnsi="Calibri" w:cs="Calibri"/>
                <w:bCs/>
                <w:lang w:eastAsia="en-GB"/>
              </w:rPr>
              <w:t xml:space="preserve">; 1 </w:t>
            </w:r>
            <w:r>
              <w:rPr>
                <w:rFonts w:ascii="Calibri" w:eastAsia="Times New Roman" w:hAnsi="Calibri" w:cs="Calibri"/>
                <w:bCs/>
                <w:lang w:eastAsia="en-GB"/>
              </w:rPr>
              <w:t xml:space="preserve">campaign </w:t>
            </w:r>
            <w:r w:rsidRPr="00963DBE">
              <w:rPr>
                <w:rFonts w:ascii="Calibri" w:eastAsia="Times New Roman" w:hAnsi="Calibri" w:cs="Calibri"/>
                <w:bCs/>
                <w:lang w:eastAsia="en-GB"/>
              </w:rPr>
              <w:t xml:space="preserve">(4%) failed to attract a successful candidate. </w:t>
            </w:r>
            <w:r>
              <w:rPr>
                <w:rFonts w:ascii="Calibri" w:eastAsia="Times New Roman" w:hAnsi="Calibri" w:cs="Calibri"/>
                <w:bCs/>
                <w:lang w:eastAsia="en-GB"/>
              </w:rPr>
              <w:t>The total number of recruitment campaigns in 2023/24 was 156; 14 campaigns (9%) failed to attract a successful candidate.</w:t>
            </w:r>
          </w:p>
          <w:p w14:paraId="054E457E" w14:textId="77777777" w:rsidR="00A94043" w:rsidRDefault="0024639B" w:rsidP="00A94043">
            <w:pPr>
              <w:pStyle w:val="ListParagraph"/>
              <w:numPr>
                <w:ilvl w:val="0"/>
                <w:numId w:val="28"/>
              </w:numPr>
              <w:textAlignment w:val="baseline"/>
              <w:rPr>
                <w:rFonts w:ascii="Calibri" w:eastAsia="Times New Roman" w:hAnsi="Calibri" w:cs="Calibri"/>
                <w:bCs/>
                <w:noProof/>
                <w:lang w:eastAsia="en-GB"/>
              </w:rPr>
            </w:pPr>
            <w:r w:rsidRPr="006B15AA">
              <w:rPr>
                <w:rFonts w:ascii="Calibri" w:eastAsia="Times New Roman" w:hAnsi="Calibri" w:cs="Calibri"/>
                <w:bCs/>
                <w:noProof/>
                <w:lang w:eastAsia="en-GB"/>
              </w:rPr>
              <w:t xml:space="preserve">Of the recruitments which have gone live </w:t>
            </w:r>
            <w:r>
              <w:rPr>
                <w:rFonts w:ascii="Calibri" w:eastAsia="Times New Roman" w:hAnsi="Calibri" w:cs="Calibri"/>
                <w:bCs/>
                <w:noProof/>
                <w:lang w:eastAsia="en-GB"/>
              </w:rPr>
              <w:t>in Q4</w:t>
            </w:r>
            <w:r w:rsidRPr="006B15AA">
              <w:rPr>
                <w:rFonts w:ascii="Calibri" w:eastAsia="Times New Roman" w:hAnsi="Calibri" w:cs="Calibri"/>
                <w:bCs/>
                <w:noProof/>
                <w:lang w:eastAsia="en-GB"/>
              </w:rPr>
              <w:t xml:space="preserve">, </w:t>
            </w:r>
            <w:r>
              <w:rPr>
                <w:rFonts w:ascii="Calibri" w:eastAsia="Times New Roman" w:hAnsi="Calibri" w:cs="Calibri"/>
                <w:bCs/>
                <w:noProof/>
                <w:lang w:eastAsia="en-GB"/>
              </w:rPr>
              <w:t>7</w:t>
            </w:r>
            <w:r w:rsidRPr="006B15AA">
              <w:rPr>
                <w:rFonts w:ascii="Calibri" w:eastAsia="Times New Roman" w:hAnsi="Calibri" w:cs="Calibri"/>
                <w:bCs/>
                <w:noProof/>
                <w:lang w:eastAsia="en-GB"/>
              </w:rPr>
              <w:t xml:space="preserve"> recruitment campaigns have been filled internally, </w:t>
            </w:r>
            <w:r>
              <w:rPr>
                <w:rFonts w:ascii="Calibri" w:eastAsia="Times New Roman" w:hAnsi="Calibri" w:cs="Calibri"/>
                <w:bCs/>
                <w:noProof/>
                <w:lang w:eastAsia="en-GB"/>
              </w:rPr>
              <w:t xml:space="preserve">3 </w:t>
            </w:r>
            <w:r w:rsidRPr="006B15AA">
              <w:rPr>
                <w:rFonts w:ascii="Calibri" w:eastAsia="Times New Roman" w:hAnsi="Calibri" w:cs="Calibri"/>
                <w:bCs/>
                <w:noProof/>
                <w:lang w:eastAsia="en-GB"/>
              </w:rPr>
              <w:t>have been filled by external candidates</w:t>
            </w:r>
            <w:r>
              <w:rPr>
                <w:rFonts w:ascii="Calibri" w:eastAsia="Times New Roman" w:hAnsi="Calibri" w:cs="Calibri"/>
                <w:bCs/>
                <w:noProof/>
                <w:lang w:eastAsia="en-GB"/>
              </w:rPr>
              <w:t>;</w:t>
            </w:r>
            <w:r w:rsidRPr="006B15AA">
              <w:rPr>
                <w:rFonts w:ascii="Calibri" w:eastAsia="Times New Roman" w:hAnsi="Calibri" w:cs="Calibri"/>
                <w:bCs/>
                <w:noProof/>
                <w:lang w:eastAsia="en-GB"/>
              </w:rPr>
              <w:t xml:space="preserve"> </w:t>
            </w:r>
            <w:r>
              <w:rPr>
                <w:rFonts w:ascii="Calibri" w:eastAsia="Times New Roman" w:hAnsi="Calibri" w:cs="Calibri"/>
                <w:bCs/>
                <w:noProof/>
                <w:lang w:eastAsia="en-GB"/>
              </w:rPr>
              <w:t xml:space="preserve">29 </w:t>
            </w:r>
            <w:r w:rsidRPr="006B15AA">
              <w:rPr>
                <w:rFonts w:ascii="Calibri" w:eastAsia="Times New Roman" w:hAnsi="Calibri" w:cs="Calibri"/>
                <w:bCs/>
                <w:noProof/>
                <w:lang w:eastAsia="en-GB"/>
              </w:rPr>
              <w:t>vacancies are currently in progress.</w:t>
            </w:r>
          </w:p>
          <w:p w14:paraId="09293F4D" w14:textId="77777777" w:rsidR="0024639B" w:rsidRPr="006B15AA" w:rsidRDefault="0024639B" w:rsidP="00C75BB4">
            <w:pPr>
              <w:textAlignment w:val="baseline"/>
              <w:rPr>
                <w:rFonts w:ascii="Calibri" w:eastAsia="Times New Roman" w:hAnsi="Calibri" w:cs="Calibri"/>
                <w:b/>
                <w:bCs/>
                <w:noProof/>
                <w:lang w:eastAsia="en-GB"/>
              </w:rPr>
            </w:pPr>
            <w:r w:rsidRPr="006B15AA">
              <w:rPr>
                <w:rFonts w:ascii="Calibri" w:eastAsia="Times New Roman" w:hAnsi="Calibri" w:cs="Calibri"/>
                <w:b/>
                <w:bCs/>
                <w:noProof/>
                <w:lang w:eastAsia="en-GB"/>
              </w:rPr>
              <w:t>Headcount and FTE</w:t>
            </w:r>
          </w:p>
          <w:p w14:paraId="0E6E28B2" w14:textId="77777777" w:rsidR="0024639B" w:rsidRPr="006B15AA" w:rsidRDefault="0024639B" w:rsidP="00C75BB4">
            <w:pPr>
              <w:textAlignment w:val="baseline"/>
              <w:rPr>
                <w:rFonts w:ascii="Calibri" w:eastAsia="Times New Roman" w:hAnsi="Calibri" w:cs="Calibri"/>
                <w:bCs/>
                <w:noProof/>
                <w:lang w:eastAsia="en-GB"/>
              </w:rPr>
            </w:pPr>
            <w:r>
              <w:rPr>
                <w:rFonts w:ascii="Calibri" w:eastAsia="Times New Roman" w:hAnsi="Calibri" w:cs="Calibri"/>
                <w:bCs/>
                <w:noProof/>
                <w:lang w:eastAsia="en-GB"/>
              </w:rPr>
              <w:drawing>
                <wp:inline distT="0" distB="0" distL="0" distR="0" wp14:anchorId="5D1305D1" wp14:editId="3DD2F952">
                  <wp:extent cx="5114925" cy="3014038"/>
                  <wp:effectExtent l="0" t="0" r="0" b="0"/>
                  <wp:docPr id="997795558"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06500" name="Picture 1" descr="A graph of a number of people&#10;&#10;Description automatically generated with medium confidenc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07310" cy="3068477"/>
                          </a:xfrm>
                          <a:prstGeom prst="rect">
                            <a:avLst/>
                          </a:prstGeom>
                          <a:noFill/>
                        </pic:spPr>
                      </pic:pic>
                    </a:graphicData>
                  </a:graphic>
                </wp:inline>
              </w:drawing>
            </w:r>
          </w:p>
          <w:p w14:paraId="331BDF39" w14:textId="77777777" w:rsidR="0024639B" w:rsidRDefault="0024639B" w:rsidP="00C75BB4">
            <w:pPr>
              <w:textAlignment w:val="baseline"/>
              <w:rPr>
                <w:rFonts w:ascii="Calibri" w:eastAsia="Times New Roman" w:hAnsi="Calibri" w:cs="Calibri"/>
                <w:bCs/>
                <w:lang w:eastAsia="en-GB"/>
              </w:rPr>
            </w:pPr>
            <w:r w:rsidRPr="009D1F31">
              <w:rPr>
                <w:rFonts w:ascii="Calibri" w:eastAsia="Times New Roman" w:hAnsi="Calibri" w:cs="Calibri"/>
                <w:bCs/>
                <w:lang w:eastAsia="en-GB"/>
              </w:rPr>
              <w:t xml:space="preserve">(This graph shows </w:t>
            </w:r>
            <w:r>
              <w:rPr>
                <w:rFonts w:ascii="Calibri" w:eastAsia="Times New Roman" w:hAnsi="Calibri" w:cs="Calibri"/>
                <w:bCs/>
                <w:lang w:eastAsia="en-GB"/>
              </w:rPr>
              <w:t>the trend of the organisations headcount and FTE to date</w:t>
            </w:r>
            <w:r w:rsidRPr="009D1F31">
              <w:rPr>
                <w:rFonts w:ascii="Calibri" w:eastAsia="Times New Roman" w:hAnsi="Calibri" w:cs="Calibri"/>
                <w:bCs/>
                <w:lang w:eastAsia="en-GB"/>
              </w:rPr>
              <w:t>)</w:t>
            </w:r>
          </w:p>
          <w:p w14:paraId="4F4F6E24" w14:textId="77777777" w:rsidR="0024639B" w:rsidRDefault="0024639B" w:rsidP="00C75BB4">
            <w:pPr>
              <w:textAlignment w:val="baseline"/>
              <w:rPr>
                <w:rFonts w:ascii="Calibri" w:eastAsia="Times New Roman" w:hAnsi="Calibri" w:cs="Calibri"/>
                <w:bCs/>
                <w:lang w:eastAsia="en-GB"/>
              </w:rPr>
            </w:pPr>
          </w:p>
          <w:p w14:paraId="35412C27" w14:textId="77777777" w:rsidR="0024639B" w:rsidRDefault="0024639B" w:rsidP="00C75BB4">
            <w:pPr>
              <w:pStyle w:val="ListParagraph"/>
              <w:numPr>
                <w:ilvl w:val="0"/>
                <w:numId w:val="28"/>
              </w:numPr>
              <w:textAlignment w:val="baseline"/>
              <w:rPr>
                <w:rFonts w:ascii="Calibri" w:eastAsia="Times New Roman" w:hAnsi="Calibri" w:cs="Calibri"/>
                <w:lang w:eastAsia="en-GB"/>
              </w:rPr>
            </w:pPr>
            <w:r w:rsidRPr="00057222">
              <w:rPr>
                <w:rFonts w:ascii="Calibri" w:eastAsia="Times New Roman" w:hAnsi="Calibri" w:cs="Calibri"/>
                <w:lang w:eastAsia="en-GB"/>
              </w:rPr>
              <w:t>In Q</w:t>
            </w:r>
            <w:r>
              <w:rPr>
                <w:rFonts w:ascii="Calibri" w:eastAsia="Times New Roman" w:hAnsi="Calibri" w:cs="Calibri"/>
                <w:lang w:eastAsia="en-GB"/>
              </w:rPr>
              <w:t>4</w:t>
            </w:r>
            <w:r w:rsidRPr="00057222">
              <w:rPr>
                <w:rFonts w:ascii="Calibri" w:eastAsia="Times New Roman" w:hAnsi="Calibri" w:cs="Calibri"/>
                <w:lang w:eastAsia="en-GB"/>
              </w:rPr>
              <w:t xml:space="preserve"> the headcount </w:t>
            </w:r>
            <w:r>
              <w:rPr>
                <w:rFonts w:ascii="Calibri" w:eastAsia="Times New Roman" w:hAnsi="Calibri" w:cs="Calibri"/>
                <w:lang w:eastAsia="en-GB"/>
              </w:rPr>
              <w:t>wa</w:t>
            </w:r>
            <w:r w:rsidRPr="00057222">
              <w:rPr>
                <w:rFonts w:ascii="Calibri" w:eastAsia="Times New Roman" w:hAnsi="Calibri" w:cs="Calibri"/>
                <w:lang w:eastAsia="en-GB"/>
              </w:rPr>
              <w:t>s 8</w:t>
            </w:r>
            <w:r>
              <w:rPr>
                <w:rFonts w:ascii="Calibri" w:eastAsia="Times New Roman" w:hAnsi="Calibri" w:cs="Calibri"/>
                <w:lang w:eastAsia="en-GB"/>
              </w:rPr>
              <w:t>05 (</w:t>
            </w:r>
            <w:r w:rsidRPr="00963DBE">
              <w:rPr>
                <w:rFonts w:ascii="Calibri" w:eastAsia="Times New Roman" w:hAnsi="Calibri" w:cs="Calibri"/>
                <w:lang w:eastAsia="en-GB"/>
              </w:rPr>
              <w:t>↓</w:t>
            </w:r>
            <w:r>
              <w:rPr>
                <w:rFonts w:ascii="Calibri" w:eastAsia="Times New Roman" w:hAnsi="Calibri" w:cs="Calibri"/>
                <w:lang w:eastAsia="en-GB"/>
              </w:rPr>
              <w:t xml:space="preserve">9) </w:t>
            </w:r>
            <w:r w:rsidRPr="00057222">
              <w:rPr>
                <w:rFonts w:ascii="Calibri" w:eastAsia="Times New Roman" w:hAnsi="Calibri" w:cs="Calibri"/>
                <w:lang w:eastAsia="en-GB"/>
              </w:rPr>
              <w:t xml:space="preserve">and FTE </w:t>
            </w:r>
            <w:r>
              <w:rPr>
                <w:rFonts w:ascii="Calibri" w:eastAsia="Times New Roman" w:hAnsi="Calibri" w:cs="Calibri"/>
                <w:lang w:eastAsia="en-GB"/>
              </w:rPr>
              <w:t>wa</w:t>
            </w:r>
            <w:r w:rsidRPr="00057222">
              <w:rPr>
                <w:rFonts w:ascii="Calibri" w:eastAsia="Times New Roman" w:hAnsi="Calibri" w:cs="Calibri"/>
                <w:lang w:eastAsia="en-GB"/>
              </w:rPr>
              <w:t>s 7</w:t>
            </w:r>
            <w:r>
              <w:rPr>
                <w:rFonts w:ascii="Calibri" w:eastAsia="Times New Roman" w:hAnsi="Calibri" w:cs="Calibri"/>
                <w:lang w:eastAsia="en-GB"/>
              </w:rPr>
              <w:t>41 (</w:t>
            </w:r>
            <w:r w:rsidRPr="00963DBE">
              <w:rPr>
                <w:rFonts w:ascii="Calibri" w:eastAsia="Times New Roman" w:hAnsi="Calibri" w:cs="Calibri"/>
                <w:lang w:eastAsia="en-GB"/>
              </w:rPr>
              <w:t>↓</w:t>
            </w:r>
            <w:r>
              <w:rPr>
                <w:rFonts w:ascii="Calibri" w:eastAsia="Times New Roman" w:hAnsi="Calibri" w:cs="Calibri"/>
                <w:lang w:eastAsia="en-GB"/>
              </w:rPr>
              <w:t xml:space="preserve">10).  </w:t>
            </w:r>
          </w:p>
          <w:p w14:paraId="20479C2D" w14:textId="77777777" w:rsidR="0024639B" w:rsidRPr="00A94043" w:rsidRDefault="0024639B" w:rsidP="00C75BB4">
            <w:pPr>
              <w:pStyle w:val="ListParagraph"/>
              <w:numPr>
                <w:ilvl w:val="0"/>
                <w:numId w:val="28"/>
              </w:numPr>
              <w:textAlignment w:val="baseline"/>
              <w:rPr>
                <w:rStyle w:val="cf01"/>
                <w:rFonts w:ascii="Calibri" w:eastAsia="Times New Roman" w:hAnsi="Calibri" w:cs="Calibri"/>
                <w:sz w:val="24"/>
                <w:szCs w:val="24"/>
                <w:lang w:eastAsia="en-GB"/>
              </w:rPr>
            </w:pPr>
            <w:r w:rsidRPr="00A94043">
              <w:rPr>
                <w:rStyle w:val="cf01"/>
                <w:rFonts w:ascii="Calibri" w:hAnsi="Calibri" w:cs="Calibri"/>
                <w:sz w:val="24"/>
                <w:szCs w:val="24"/>
              </w:rPr>
              <w:t xml:space="preserve">Headcount is likely to increase due to the creation of 11 new core roles in Q4 (5 x Licensing Officers + 6 x Project Management Office roles), with a further 19 fixed term roles approved for recruitment in line with our budget settlement for paybill for 2024/25. </w:t>
            </w:r>
          </w:p>
          <w:p w14:paraId="763F332D" w14:textId="77777777" w:rsidR="0024639B" w:rsidRDefault="0024639B" w:rsidP="00C75BB4">
            <w:pPr>
              <w:textAlignment w:val="baseline"/>
              <w:rPr>
                <w:rFonts w:ascii="Calibri" w:eastAsia="Times New Roman" w:hAnsi="Calibri" w:cs="Calibri"/>
                <w:b/>
                <w:bCs/>
                <w:lang w:eastAsia="en-GB"/>
              </w:rPr>
            </w:pPr>
          </w:p>
        </w:tc>
        <w:tc>
          <w:tcPr>
            <w:tcW w:w="837" w:type="dxa"/>
          </w:tcPr>
          <w:p w14:paraId="719B3477" w14:textId="77777777" w:rsidR="0024639B" w:rsidRDefault="0024639B" w:rsidP="00C75BB4">
            <w:pPr>
              <w:keepNext/>
              <w:keepLines/>
              <w:spacing w:before="40" w:line="259" w:lineRule="auto"/>
              <w:outlineLvl w:val="1"/>
              <w:rPr>
                <w:rFonts w:ascii="Calibri" w:eastAsiaTheme="majorEastAsia" w:hAnsi="Calibri" w:cs="Calibri"/>
                <w:b/>
                <w:color w:val="007DC3"/>
                <w:sz w:val="28"/>
                <w:szCs w:val="28"/>
              </w:rPr>
            </w:pPr>
            <w:r w:rsidRPr="001656F0">
              <w:rPr>
                <w:rFonts w:ascii="Calibri" w:eastAsia="Times New Roman" w:hAnsi="Calibri" w:cs="Calibri"/>
                <w:b/>
                <w:bCs/>
                <w:lang w:eastAsia="en-GB"/>
              </w:rPr>
              <w:lastRenderedPageBreak/>
              <w:t> </w:t>
            </w:r>
          </w:p>
        </w:tc>
      </w:tr>
      <w:tr w:rsidR="0024639B" w14:paraId="1386BBC7" w14:textId="77777777" w:rsidTr="00C75BB4">
        <w:tc>
          <w:tcPr>
            <w:tcW w:w="9006" w:type="dxa"/>
            <w:shd w:val="clear" w:color="auto" w:fill="F79646" w:themeFill="accent6"/>
          </w:tcPr>
          <w:p w14:paraId="1996D275" w14:textId="77777777" w:rsidR="0024639B" w:rsidRDefault="0024639B" w:rsidP="00C75BB4">
            <w:pPr>
              <w:textAlignment w:val="baseline"/>
              <w:rPr>
                <w:rFonts w:ascii="Calibri" w:eastAsia="Times New Roman" w:hAnsi="Calibri" w:cs="Calibri"/>
                <w:b/>
                <w:bCs/>
                <w:lang w:eastAsia="en-GB"/>
              </w:rPr>
            </w:pPr>
            <w:r>
              <w:rPr>
                <w:rFonts w:ascii="Calibri" w:eastAsia="Times New Roman" w:hAnsi="Calibri" w:cs="Calibri"/>
                <w:b/>
                <w:bCs/>
                <w:lang w:eastAsia="en-GB"/>
              </w:rPr>
              <w:t>Retirement Profile</w:t>
            </w:r>
          </w:p>
        </w:tc>
        <w:tc>
          <w:tcPr>
            <w:tcW w:w="837" w:type="dxa"/>
            <w:shd w:val="clear" w:color="auto" w:fill="F79646" w:themeFill="accent6"/>
          </w:tcPr>
          <w:p w14:paraId="4A149AE2" w14:textId="77777777" w:rsidR="0024639B" w:rsidRPr="001656F0" w:rsidRDefault="0024639B" w:rsidP="00C75BB4">
            <w:pPr>
              <w:keepNext/>
              <w:keepLines/>
              <w:spacing w:before="40" w:line="259" w:lineRule="auto"/>
              <w:outlineLvl w:val="1"/>
              <w:rPr>
                <w:rFonts w:ascii="Calibri" w:eastAsia="Times New Roman" w:hAnsi="Calibri" w:cs="Calibri"/>
                <w:b/>
                <w:bCs/>
                <w:lang w:eastAsia="en-GB"/>
              </w:rPr>
            </w:pPr>
            <w:r w:rsidRPr="00986CF5">
              <w:rPr>
                <w:rFonts w:ascii="Calibri" w:eastAsia="Times New Roman" w:hAnsi="Calibri" w:cs="Calibri"/>
                <w:b/>
                <w:lang w:eastAsia="en-GB"/>
              </w:rPr>
              <w:t>Amber</w:t>
            </w:r>
          </w:p>
        </w:tc>
      </w:tr>
      <w:tr w:rsidR="0024639B" w14:paraId="5C8040DF" w14:textId="77777777" w:rsidTr="00C75BB4">
        <w:tc>
          <w:tcPr>
            <w:tcW w:w="9006" w:type="dxa"/>
          </w:tcPr>
          <w:p w14:paraId="32DE7572" w14:textId="77777777" w:rsidR="0024639B" w:rsidRPr="002C49F8" w:rsidRDefault="0024639B" w:rsidP="00C75BB4">
            <w:pPr>
              <w:pStyle w:val="ListParagraph"/>
              <w:numPr>
                <w:ilvl w:val="0"/>
                <w:numId w:val="28"/>
              </w:numPr>
              <w:textAlignment w:val="baseline"/>
              <w:rPr>
                <w:rFonts w:ascii="Times New Roman" w:eastAsia="Times New Roman" w:hAnsi="Times New Roman" w:cs="Times New Roman"/>
                <w:bCs/>
                <w:lang w:eastAsia="en-GB"/>
              </w:rPr>
            </w:pPr>
            <w:r w:rsidRPr="002C49F8">
              <w:rPr>
                <w:rFonts w:ascii="Calibri" w:eastAsia="Times New Roman" w:hAnsi="Calibri" w:cs="Calibri"/>
                <w:bCs/>
                <w:lang w:eastAsia="en-GB"/>
              </w:rPr>
              <w:t xml:space="preserve">Q4: 184 employees are aged 57+ (23% of Q4 </w:t>
            </w:r>
            <w:r>
              <w:rPr>
                <w:rFonts w:ascii="Calibri" w:eastAsia="Times New Roman" w:hAnsi="Calibri" w:cs="Calibri"/>
                <w:bCs/>
                <w:lang w:eastAsia="en-GB"/>
              </w:rPr>
              <w:t>[20</w:t>
            </w:r>
            <w:r w:rsidRPr="002C49F8">
              <w:rPr>
                <w:rFonts w:ascii="Calibri" w:eastAsia="Times New Roman" w:hAnsi="Calibri" w:cs="Calibri"/>
                <w:bCs/>
                <w:lang w:eastAsia="en-GB"/>
              </w:rPr>
              <w:t>23/24</w:t>
            </w:r>
            <w:r>
              <w:rPr>
                <w:rFonts w:ascii="Calibri" w:eastAsia="Times New Roman" w:hAnsi="Calibri" w:cs="Calibri"/>
                <w:bCs/>
                <w:lang w:eastAsia="en-GB"/>
              </w:rPr>
              <w:t xml:space="preserve">] </w:t>
            </w:r>
            <w:r w:rsidRPr="002C49F8">
              <w:rPr>
                <w:rFonts w:ascii="Calibri" w:eastAsia="Times New Roman" w:hAnsi="Calibri" w:cs="Calibri"/>
                <w:bCs/>
                <w:lang w:eastAsia="en-GB"/>
              </w:rPr>
              <w:t xml:space="preserve">headcount). This is predicted to rise to 217 in 2025/26 (27% of the Q4 </w:t>
            </w:r>
            <w:r>
              <w:rPr>
                <w:rFonts w:ascii="Calibri" w:eastAsia="Times New Roman" w:hAnsi="Calibri" w:cs="Calibri"/>
                <w:bCs/>
                <w:lang w:eastAsia="en-GB"/>
              </w:rPr>
              <w:t>[20</w:t>
            </w:r>
            <w:r w:rsidRPr="002C49F8">
              <w:rPr>
                <w:rFonts w:ascii="Calibri" w:eastAsia="Times New Roman" w:hAnsi="Calibri" w:cs="Calibri"/>
                <w:bCs/>
                <w:lang w:eastAsia="en-GB"/>
              </w:rPr>
              <w:t>23/24</w:t>
            </w:r>
            <w:r>
              <w:rPr>
                <w:rFonts w:ascii="Calibri" w:eastAsia="Times New Roman" w:hAnsi="Calibri" w:cs="Calibri"/>
                <w:bCs/>
                <w:lang w:eastAsia="en-GB"/>
              </w:rPr>
              <w:t>]</w:t>
            </w:r>
            <w:r w:rsidRPr="002C49F8">
              <w:rPr>
                <w:rFonts w:ascii="Calibri" w:eastAsia="Times New Roman" w:hAnsi="Calibri" w:cs="Calibri"/>
                <w:bCs/>
                <w:lang w:eastAsia="en-GB"/>
              </w:rPr>
              <w:t xml:space="preserve"> headcount). </w:t>
            </w:r>
          </w:p>
          <w:p w14:paraId="1B4C5A14" w14:textId="4B4C212D" w:rsidR="0024639B" w:rsidRPr="00716869" w:rsidRDefault="0024639B" w:rsidP="00C75BB4">
            <w:pPr>
              <w:pStyle w:val="ListParagraph"/>
              <w:numPr>
                <w:ilvl w:val="0"/>
                <w:numId w:val="28"/>
              </w:numPr>
              <w:textAlignment w:val="baseline"/>
              <w:rPr>
                <w:rFonts w:ascii="Times New Roman" w:eastAsia="Times New Roman" w:hAnsi="Times New Roman" w:cs="Times New Roman"/>
                <w:bCs/>
                <w:lang w:eastAsia="en-GB"/>
              </w:rPr>
            </w:pPr>
            <w:r w:rsidRPr="006B15AA">
              <w:rPr>
                <w:rFonts w:ascii="Calibri" w:eastAsia="Times New Roman" w:hAnsi="Calibri" w:cs="Calibri"/>
                <w:bCs/>
                <w:lang w:eastAsia="en-GB"/>
              </w:rPr>
              <w:t>In Q</w:t>
            </w:r>
            <w:r>
              <w:rPr>
                <w:rFonts w:ascii="Calibri" w:eastAsia="Times New Roman" w:hAnsi="Calibri" w:cs="Calibri"/>
                <w:bCs/>
                <w:lang w:eastAsia="en-GB"/>
              </w:rPr>
              <w:t>4</w:t>
            </w:r>
            <w:r w:rsidRPr="006B15AA">
              <w:rPr>
                <w:rFonts w:ascii="Calibri" w:eastAsia="Times New Roman" w:hAnsi="Calibri" w:cs="Calibri"/>
                <w:bCs/>
                <w:lang w:eastAsia="en-GB"/>
              </w:rPr>
              <w:t xml:space="preserve">, </w:t>
            </w:r>
            <w:r>
              <w:rPr>
                <w:rFonts w:ascii="Calibri" w:eastAsia="Times New Roman" w:hAnsi="Calibri" w:cs="Calibri"/>
                <w:bCs/>
                <w:lang w:eastAsia="en-GB"/>
              </w:rPr>
              <w:t>6</w:t>
            </w:r>
            <w:r w:rsidRPr="006B15AA">
              <w:rPr>
                <w:rFonts w:ascii="Calibri" w:eastAsia="Times New Roman" w:hAnsi="Calibri" w:cs="Calibri"/>
                <w:bCs/>
                <w:lang w:eastAsia="en-GB"/>
              </w:rPr>
              <w:t xml:space="preserve"> employees retired (</w:t>
            </w:r>
            <w:r>
              <w:rPr>
                <w:rFonts w:ascii="Calibri" w:eastAsia="Times New Roman" w:hAnsi="Calibri" w:cs="Calibri"/>
                <w:bCs/>
                <w:lang w:eastAsia="en-GB"/>
              </w:rPr>
              <w:t>37.5</w:t>
            </w:r>
            <w:r w:rsidRPr="006B15AA">
              <w:rPr>
                <w:rFonts w:ascii="Calibri" w:eastAsia="Times New Roman" w:hAnsi="Calibri" w:cs="Calibri"/>
                <w:bCs/>
                <w:lang w:eastAsia="en-GB"/>
              </w:rPr>
              <w:t xml:space="preserve">% of leavers). </w:t>
            </w:r>
            <w:r>
              <w:rPr>
                <w:rFonts w:ascii="Calibri" w:eastAsia="Times New Roman" w:hAnsi="Calibri" w:cs="Calibri"/>
                <w:bCs/>
                <w:lang w:eastAsia="en-GB"/>
              </w:rPr>
              <w:t xml:space="preserve">The total retirements in </w:t>
            </w:r>
            <w:r w:rsidR="007C25A0">
              <w:rPr>
                <w:rFonts w:ascii="Calibri" w:eastAsia="Times New Roman" w:hAnsi="Calibri" w:cs="Calibri"/>
                <w:bCs/>
                <w:lang w:eastAsia="en-GB"/>
              </w:rPr>
              <w:t>20</w:t>
            </w:r>
            <w:r>
              <w:rPr>
                <w:rFonts w:ascii="Calibri" w:eastAsia="Times New Roman" w:hAnsi="Calibri" w:cs="Calibri"/>
                <w:bCs/>
                <w:lang w:eastAsia="en-GB"/>
              </w:rPr>
              <w:t>23/24 was 15 which is in line with our projections</w:t>
            </w:r>
            <w:r w:rsidR="007C25A0">
              <w:rPr>
                <w:rFonts w:ascii="Calibri" w:eastAsia="Times New Roman" w:hAnsi="Calibri" w:cs="Calibri"/>
                <w:bCs/>
                <w:lang w:eastAsia="en-GB"/>
              </w:rPr>
              <w:t>. T</w:t>
            </w:r>
            <w:r w:rsidRPr="006B15AA">
              <w:rPr>
                <w:rFonts w:ascii="Calibri" w:eastAsia="Times New Roman" w:hAnsi="Calibri" w:cs="Calibri"/>
                <w:bCs/>
                <w:lang w:eastAsia="en-GB"/>
              </w:rPr>
              <w:t xml:space="preserve">he average retirement age for </w:t>
            </w:r>
            <w:r>
              <w:rPr>
                <w:rFonts w:ascii="Calibri" w:eastAsia="Times New Roman" w:hAnsi="Calibri" w:cs="Calibri"/>
                <w:bCs/>
                <w:lang w:eastAsia="en-GB"/>
              </w:rPr>
              <w:t>2023/24</w:t>
            </w:r>
            <w:r w:rsidRPr="006B15AA">
              <w:rPr>
                <w:rFonts w:ascii="Calibri" w:eastAsia="Times New Roman" w:hAnsi="Calibri" w:cs="Calibri"/>
                <w:bCs/>
                <w:lang w:eastAsia="en-GB"/>
              </w:rPr>
              <w:t xml:space="preserve"> </w:t>
            </w:r>
            <w:r>
              <w:rPr>
                <w:rFonts w:ascii="Calibri" w:eastAsia="Times New Roman" w:hAnsi="Calibri" w:cs="Calibri"/>
                <w:bCs/>
                <w:lang w:eastAsia="en-GB"/>
              </w:rPr>
              <w:t>wa</w:t>
            </w:r>
            <w:r w:rsidRPr="006B15AA">
              <w:rPr>
                <w:rFonts w:ascii="Calibri" w:eastAsia="Times New Roman" w:hAnsi="Calibri" w:cs="Calibri"/>
                <w:bCs/>
                <w:lang w:eastAsia="en-GB"/>
              </w:rPr>
              <w:t xml:space="preserve">s </w:t>
            </w:r>
            <w:r>
              <w:rPr>
                <w:rFonts w:ascii="Calibri" w:eastAsia="Times New Roman" w:hAnsi="Calibri" w:cs="Calibri"/>
                <w:bCs/>
                <w:lang w:eastAsia="en-GB"/>
              </w:rPr>
              <w:t>62.</w:t>
            </w:r>
            <w:r w:rsidRPr="006B15AA">
              <w:rPr>
                <w:rFonts w:ascii="Calibri" w:eastAsia="Times New Roman" w:hAnsi="Calibri" w:cs="Calibri"/>
                <w:bCs/>
                <w:lang w:eastAsia="en-GB"/>
              </w:rPr>
              <w:t xml:space="preserve"> </w:t>
            </w:r>
            <w:r>
              <w:rPr>
                <w:rFonts w:ascii="Calibri" w:eastAsia="Times New Roman" w:hAnsi="Calibri" w:cs="Calibri"/>
                <w:bCs/>
                <w:lang w:eastAsia="en-GB"/>
              </w:rPr>
              <w:t>There have been an additional 7 retirements notified to POD during Q4 for 2024/25</w:t>
            </w:r>
            <w:r w:rsidRPr="006B15AA">
              <w:rPr>
                <w:rFonts w:ascii="Calibri" w:eastAsia="Times New Roman" w:hAnsi="Calibri" w:cs="Calibri"/>
                <w:bCs/>
                <w:lang w:eastAsia="en-GB"/>
              </w:rPr>
              <w:t>.</w:t>
            </w:r>
            <w:r>
              <w:rPr>
                <w:rFonts w:ascii="Calibri" w:eastAsia="Times New Roman" w:hAnsi="Calibri" w:cs="Calibri"/>
                <w:bCs/>
                <w:lang w:eastAsia="en-GB"/>
              </w:rPr>
              <w:t xml:space="preserve"> </w:t>
            </w:r>
          </w:p>
          <w:p w14:paraId="5B286590" w14:textId="45B1ADDF" w:rsidR="0024639B" w:rsidRPr="007C25A0" w:rsidRDefault="0024639B" w:rsidP="00C75BB4">
            <w:pPr>
              <w:pStyle w:val="ListParagraph"/>
              <w:numPr>
                <w:ilvl w:val="0"/>
                <w:numId w:val="28"/>
              </w:numPr>
              <w:textAlignment w:val="baseline"/>
              <w:rPr>
                <w:rFonts w:ascii="Times New Roman" w:eastAsia="Times New Roman" w:hAnsi="Times New Roman" w:cs="Times New Roman"/>
                <w:bCs/>
                <w:lang w:eastAsia="en-GB"/>
              </w:rPr>
            </w:pPr>
            <w:r>
              <w:rPr>
                <w:rFonts w:ascii="Calibri" w:eastAsia="Times New Roman" w:hAnsi="Calibri" w:cs="Calibri"/>
                <w:bCs/>
                <w:lang w:eastAsia="en-GB"/>
              </w:rPr>
              <w:t>The f</w:t>
            </w:r>
            <w:r w:rsidRPr="001C7140">
              <w:rPr>
                <w:rFonts w:ascii="Calibri" w:eastAsia="Times New Roman" w:hAnsi="Calibri" w:cs="Calibri"/>
                <w:bCs/>
                <w:lang w:eastAsia="en-GB"/>
              </w:rPr>
              <w:t xml:space="preserve">orecast </w:t>
            </w:r>
            <w:r>
              <w:rPr>
                <w:rFonts w:ascii="Calibri" w:eastAsia="Times New Roman" w:hAnsi="Calibri" w:cs="Calibri"/>
                <w:bCs/>
                <w:lang w:eastAsia="en-GB"/>
              </w:rPr>
              <w:t xml:space="preserve">for </w:t>
            </w:r>
            <w:r w:rsidRPr="001C7140">
              <w:rPr>
                <w:rFonts w:ascii="Calibri" w:eastAsia="Times New Roman" w:hAnsi="Calibri" w:cs="Calibri"/>
                <w:bCs/>
                <w:lang w:eastAsia="en-GB"/>
              </w:rPr>
              <w:t xml:space="preserve">retirements </w:t>
            </w:r>
            <w:r>
              <w:rPr>
                <w:rFonts w:ascii="Calibri" w:eastAsia="Times New Roman" w:hAnsi="Calibri" w:cs="Calibri"/>
                <w:bCs/>
                <w:lang w:eastAsia="en-GB"/>
              </w:rPr>
              <w:t>in</w:t>
            </w:r>
            <w:r w:rsidRPr="001C7140">
              <w:rPr>
                <w:rFonts w:ascii="Calibri" w:eastAsia="Times New Roman" w:hAnsi="Calibri" w:cs="Calibri"/>
                <w:bCs/>
                <w:lang w:eastAsia="en-GB"/>
              </w:rPr>
              <w:t xml:space="preserve"> </w:t>
            </w:r>
            <w:r>
              <w:rPr>
                <w:rFonts w:ascii="Calibri" w:eastAsia="Times New Roman" w:hAnsi="Calibri" w:cs="Calibri"/>
                <w:bCs/>
                <w:lang w:eastAsia="en-GB"/>
              </w:rPr>
              <w:t>20</w:t>
            </w:r>
            <w:r w:rsidRPr="001C7140">
              <w:rPr>
                <w:rFonts w:ascii="Calibri" w:eastAsia="Times New Roman" w:hAnsi="Calibri" w:cs="Calibri"/>
                <w:bCs/>
                <w:lang w:eastAsia="en-GB"/>
              </w:rPr>
              <w:t xml:space="preserve">24/25 is 20, based on </w:t>
            </w:r>
            <w:r>
              <w:rPr>
                <w:rFonts w:ascii="Calibri" w:eastAsia="Times New Roman" w:hAnsi="Calibri" w:cs="Calibri"/>
                <w:bCs/>
                <w:lang w:eastAsia="en-GB"/>
              </w:rPr>
              <w:t xml:space="preserve">an </w:t>
            </w:r>
            <w:r w:rsidRPr="001C7140">
              <w:rPr>
                <w:rFonts w:ascii="Calibri" w:eastAsia="Times New Roman" w:hAnsi="Calibri" w:cs="Calibri"/>
                <w:bCs/>
                <w:lang w:eastAsia="en-GB"/>
              </w:rPr>
              <w:t xml:space="preserve">average retirement age 60-63 and service </w:t>
            </w:r>
            <w:r>
              <w:rPr>
                <w:rFonts w:ascii="Calibri" w:eastAsia="Times New Roman" w:hAnsi="Calibri" w:cs="Calibri"/>
                <w:bCs/>
                <w:lang w:eastAsia="en-GB"/>
              </w:rPr>
              <w:t xml:space="preserve">of </w:t>
            </w:r>
            <w:r w:rsidRPr="001C7140">
              <w:rPr>
                <w:rFonts w:ascii="Calibri" w:eastAsia="Times New Roman" w:hAnsi="Calibri" w:cs="Calibri"/>
                <w:bCs/>
                <w:lang w:eastAsia="en-GB"/>
              </w:rPr>
              <w:t>25 years +</w:t>
            </w:r>
            <w:r>
              <w:rPr>
                <w:rFonts w:ascii="Calibri" w:eastAsia="Times New Roman" w:hAnsi="Calibri" w:cs="Calibri"/>
                <w:bCs/>
                <w:lang w:eastAsia="en-GB"/>
              </w:rPr>
              <w:t>. W</w:t>
            </w:r>
            <w:r w:rsidRPr="001C7140">
              <w:rPr>
                <w:rFonts w:ascii="Calibri" w:eastAsia="Times New Roman" w:hAnsi="Calibri" w:cs="Calibri"/>
                <w:bCs/>
                <w:lang w:eastAsia="en-GB"/>
              </w:rPr>
              <w:t xml:space="preserve">e are currently </w:t>
            </w:r>
            <w:r>
              <w:rPr>
                <w:rFonts w:ascii="Calibri" w:eastAsia="Times New Roman" w:hAnsi="Calibri" w:cs="Calibri"/>
                <w:bCs/>
                <w:lang w:eastAsia="en-GB"/>
              </w:rPr>
              <w:t xml:space="preserve">hosting </w:t>
            </w:r>
            <w:r w:rsidRPr="001C7140">
              <w:rPr>
                <w:rFonts w:ascii="Calibri" w:eastAsia="Times New Roman" w:hAnsi="Calibri" w:cs="Calibri"/>
                <w:bCs/>
                <w:lang w:eastAsia="en-GB"/>
              </w:rPr>
              <w:t xml:space="preserve">pre-retirement courses with 30 attending the course in Q4, </w:t>
            </w:r>
            <w:r>
              <w:rPr>
                <w:rFonts w:ascii="Calibri" w:eastAsia="Times New Roman" w:hAnsi="Calibri" w:cs="Calibri"/>
                <w:bCs/>
                <w:lang w:eastAsia="en-GB"/>
              </w:rPr>
              <w:t xml:space="preserve">and a further </w:t>
            </w:r>
            <w:r w:rsidRPr="001C7140">
              <w:rPr>
                <w:rFonts w:ascii="Calibri" w:eastAsia="Times New Roman" w:hAnsi="Calibri" w:cs="Calibri"/>
                <w:bCs/>
                <w:lang w:eastAsia="en-GB"/>
              </w:rPr>
              <w:t xml:space="preserve">3 courses organised in </w:t>
            </w:r>
            <w:r>
              <w:rPr>
                <w:rFonts w:ascii="Calibri" w:eastAsia="Times New Roman" w:hAnsi="Calibri" w:cs="Calibri"/>
                <w:bCs/>
                <w:lang w:eastAsia="en-GB"/>
              </w:rPr>
              <w:t>20</w:t>
            </w:r>
            <w:r w:rsidRPr="001C7140">
              <w:rPr>
                <w:rFonts w:ascii="Calibri" w:eastAsia="Times New Roman" w:hAnsi="Calibri" w:cs="Calibri"/>
                <w:bCs/>
                <w:lang w:eastAsia="en-GB"/>
              </w:rPr>
              <w:t>24/25.</w:t>
            </w:r>
          </w:p>
          <w:p w14:paraId="5EA5A22F" w14:textId="6A6CBC80" w:rsidR="007C25A0" w:rsidRPr="007C25A0" w:rsidRDefault="007C25A0" w:rsidP="00C75BB4">
            <w:pPr>
              <w:pStyle w:val="ListParagraph"/>
              <w:numPr>
                <w:ilvl w:val="0"/>
                <w:numId w:val="28"/>
              </w:numPr>
              <w:textAlignment w:val="baseline"/>
              <w:rPr>
                <w:rFonts w:ascii="Calibri" w:eastAsia="Times New Roman" w:hAnsi="Calibri" w:cs="Calibri"/>
                <w:bCs/>
                <w:lang w:eastAsia="en-GB"/>
              </w:rPr>
            </w:pPr>
            <w:r w:rsidRPr="007C25A0">
              <w:rPr>
                <w:rFonts w:ascii="Calibri" w:eastAsia="Times New Roman" w:hAnsi="Calibri" w:cs="Calibri"/>
                <w:bCs/>
                <w:lang w:eastAsia="en-GB"/>
              </w:rPr>
              <w:lastRenderedPageBreak/>
              <w:t>Amber rating reflects that we have not yet completed work on implementing a new approach to strategic workforce planning, to respond to workforce demographic trends.</w:t>
            </w:r>
          </w:p>
          <w:p w14:paraId="37CD3D46" w14:textId="77777777" w:rsidR="0024639B" w:rsidRPr="00CD3E50" w:rsidRDefault="0024639B" w:rsidP="00C75BB4">
            <w:pPr>
              <w:textAlignment w:val="baseline"/>
              <w:rPr>
                <w:rFonts w:ascii="Times New Roman" w:eastAsia="Times New Roman" w:hAnsi="Times New Roman" w:cs="Times New Roman"/>
                <w:bCs/>
                <w:lang w:eastAsia="en-GB"/>
              </w:rPr>
            </w:pPr>
            <w:r>
              <w:rPr>
                <w:rFonts w:ascii="Times New Roman" w:eastAsia="Times New Roman" w:hAnsi="Times New Roman" w:cs="Times New Roman"/>
                <w:bCs/>
                <w:noProof/>
                <w:lang w:eastAsia="en-GB"/>
              </w:rPr>
              <w:drawing>
                <wp:inline distT="0" distB="0" distL="0" distR="0" wp14:anchorId="61B382D2" wp14:editId="3EAEAFCB">
                  <wp:extent cx="4381500" cy="3015663"/>
                  <wp:effectExtent l="0" t="0" r="0" b="0"/>
                  <wp:docPr id="1440673482" name="Picture 7" descr="A graph with numbers and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91616" name="Picture 7" descr="A graph with numbers and a red line&#10;&#10;Description automatically generated"/>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473920" cy="3079273"/>
                          </a:xfrm>
                          <a:prstGeom prst="rect">
                            <a:avLst/>
                          </a:prstGeom>
                          <a:noFill/>
                        </pic:spPr>
                      </pic:pic>
                    </a:graphicData>
                  </a:graphic>
                </wp:inline>
              </w:drawing>
            </w:r>
          </w:p>
          <w:p w14:paraId="57B478DA" w14:textId="77777777" w:rsidR="0024639B" w:rsidRDefault="0024639B" w:rsidP="00C75BB4">
            <w:pPr>
              <w:textAlignment w:val="baseline"/>
              <w:rPr>
                <w:rFonts w:ascii="Calibri" w:eastAsia="Times New Roman" w:hAnsi="Calibri" w:cs="Calibri"/>
                <w:b/>
                <w:bCs/>
                <w:lang w:eastAsia="en-GB"/>
              </w:rPr>
            </w:pPr>
            <w:r w:rsidRPr="000B1E0F">
              <w:rPr>
                <w:rFonts w:ascii="Calibri" w:eastAsia="Times New Roman" w:hAnsi="Calibri" w:cs="Calibri"/>
                <w:bCs/>
                <w:lang w:eastAsia="en-GB"/>
              </w:rPr>
              <w:t> (This graph shows average of employees retiring)</w:t>
            </w:r>
            <w:r>
              <w:rPr>
                <w:rFonts w:ascii="Calibri" w:eastAsia="Times New Roman" w:hAnsi="Calibri" w:cs="Calibri"/>
                <w:bCs/>
                <w:lang w:eastAsia="en-GB"/>
              </w:rPr>
              <w:tab/>
            </w:r>
          </w:p>
        </w:tc>
        <w:tc>
          <w:tcPr>
            <w:tcW w:w="837" w:type="dxa"/>
          </w:tcPr>
          <w:p w14:paraId="418D158B" w14:textId="77777777" w:rsidR="0024639B" w:rsidRPr="001656F0" w:rsidRDefault="0024639B" w:rsidP="00C75BB4">
            <w:pPr>
              <w:keepNext/>
              <w:keepLines/>
              <w:spacing w:before="40" w:line="259" w:lineRule="auto"/>
              <w:outlineLvl w:val="1"/>
              <w:rPr>
                <w:rFonts w:ascii="Calibri" w:eastAsia="Times New Roman" w:hAnsi="Calibri" w:cs="Calibri"/>
                <w:b/>
                <w:bCs/>
                <w:lang w:eastAsia="en-GB"/>
              </w:rPr>
            </w:pPr>
          </w:p>
        </w:tc>
      </w:tr>
    </w:tbl>
    <w:p w14:paraId="778C37DE" w14:textId="77777777" w:rsidR="00C814C8" w:rsidRDefault="00C814C8" w:rsidP="005D1EE3">
      <w:pPr>
        <w:keepNext/>
        <w:keepLines/>
        <w:spacing w:before="40" w:after="0" w:line="259" w:lineRule="auto"/>
        <w:outlineLvl w:val="1"/>
        <w:rPr>
          <w:rFonts w:ascii="Calibri" w:eastAsiaTheme="majorEastAsia" w:hAnsi="Calibri" w:cs="Calibri"/>
          <w:b/>
          <w:color w:val="007DC3"/>
          <w:sz w:val="28"/>
          <w:szCs w:val="28"/>
        </w:rPr>
        <w:sectPr w:rsidR="00C814C8" w:rsidSect="00730B96">
          <w:footerReference w:type="default" r:id="rId57"/>
          <w:pgSz w:w="11906" w:h="16838"/>
          <w:pgMar w:top="993" w:right="1440" w:bottom="1440" w:left="1440" w:header="567" w:footer="708" w:gutter="0"/>
          <w:cols w:space="708"/>
          <w:docGrid w:linePitch="360"/>
        </w:sectPr>
      </w:pPr>
    </w:p>
    <w:p w14:paraId="45582729" w14:textId="00DB5DF3" w:rsidR="009F5DF1" w:rsidRDefault="00C814C8" w:rsidP="005D1EE3">
      <w:pPr>
        <w:keepNext/>
        <w:keepLines/>
        <w:spacing w:before="40" w:after="0" w:line="259" w:lineRule="auto"/>
        <w:outlineLvl w:val="1"/>
        <w:rPr>
          <w:rFonts w:ascii="Calibri" w:eastAsiaTheme="majorEastAsia" w:hAnsi="Calibri" w:cs="Calibri"/>
          <w:b/>
          <w:color w:val="4F81BD" w:themeColor="accent1"/>
          <w:sz w:val="28"/>
          <w:szCs w:val="28"/>
        </w:rPr>
      </w:pPr>
      <w:bookmarkStart w:id="3" w:name="AnnexA"/>
      <w:bookmarkStart w:id="4" w:name="AnnexB"/>
      <w:r>
        <w:rPr>
          <w:rFonts w:ascii="Calibri" w:eastAsia="Times New Roman" w:hAnsi="Calibri" w:cs="Calibri"/>
          <w:b/>
          <w:color w:val="4F81BD" w:themeColor="accent1"/>
          <w:sz w:val="28"/>
          <w:szCs w:val="28"/>
        </w:rPr>
        <w:lastRenderedPageBreak/>
        <w:t>Annex A</w:t>
      </w:r>
      <w:r w:rsidRPr="00665954">
        <w:rPr>
          <w:rFonts w:ascii="Calibri" w:eastAsia="Times New Roman" w:hAnsi="Calibri" w:cs="Calibri"/>
          <w:b/>
          <w:color w:val="4F81BD" w:themeColor="accent1"/>
          <w:sz w:val="28"/>
          <w:szCs w:val="28"/>
        </w:rPr>
        <w:t xml:space="preserve"> – Corporate Risk Register (High </w:t>
      </w:r>
      <w:bookmarkEnd w:id="3"/>
      <w:bookmarkEnd w:id="4"/>
      <w:r>
        <w:rPr>
          <w:rFonts w:ascii="Calibri" w:eastAsia="Times New Roman" w:hAnsi="Calibri" w:cs="Calibri"/>
          <w:b/>
          <w:color w:val="4F81BD" w:themeColor="accent1"/>
          <w:sz w:val="28"/>
          <w:szCs w:val="28"/>
        </w:rPr>
        <w:t>and Very High Risks</w:t>
      </w:r>
      <w:r>
        <w:rPr>
          <w:rFonts w:ascii="Calibri" w:eastAsiaTheme="majorEastAsia" w:hAnsi="Calibri" w:cs="Calibri"/>
          <w:b/>
          <w:color w:val="4F81BD" w:themeColor="accent1"/>
          <w:sz w:val="28"/>
          <w:szCs w:val="28"/>
        </w:rPr>
        <w:t>)</w:t>
      </w:r>
    </w:p>
    <w:tbl>
      <w:tblPr>
        <w:tblStyle w:val="TableGrid"/>
        <w:tblW w:w="15735" w:type="dxa"/>
        <w:tblInd w:w="-318" w:type="dxa"/>
        <w:tblLook w:val="04A0" w:firstRow="1" w:lastRow="0" w:firstColumn="1" w:lastColumn="0" w:noHBand="0" w:noVBand="1"/>
      </w:tblPr>
      <w:tblGrid>
        <w:gridCol w:w="1548"/>
        <w:gridCol w:w="2564"/>
        <w:gridCol w:w="4314"/>
        <w:gridCol w:w="992"/>
        <w:gridCol w:w="849"/>
        <w:gridCol w:w="849"/>
        <w:gridCol w:w="4619"/>
      </w:tblGrid>
      <w:tr w:rsidR="00C200C5" w:rsidRPr="006E4026" w14:paraId="626FE780" w14:textId="77777777" w:rsidTr="00C200C5">
        <w:trPr>
          <w:tblHeader/>
        </w:trPr>
        <w:tc>
          <w:tcPr>
            <w:tcW w:w="1548" w:type="dxa"/>
            <w:shd w:val="clear" w:color="auto" w:fill="244061"/>
          </w:tcPr>
          <w:p w14:paraId="64C419C5"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Risk Title</w:t>
            </w:r>
          </w:p>
        </w:tc>
        <w:tc>
          <w:tcPr>
            <w:tcW w:w="2564" w:type="dxa"/>
            <w:shd w:val="clear" w:color="auto" w:fill="244061"/>
          </w:tcPr>
          <w:p w14:paraId="521D93F3"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DESCRIPTION</w:t>
            </w:r>
          </w:p>
        </w:tc>
        <w:tc>
          <w:tcPr>
            <w:tcW w:w="4314" w:type="dxa"/>
            <w:shd w:val="clear" w:color="auto" w:fill="244061"/>
          </w:tcPr>
          <w:p w14:paraId="53C1B502"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CONTROLS</w:t>
            </w:r>
          </w:p>
        </w:tc>
        <w:tc>
          <w:tcPr>
            <w:tcW w:w="992" w:type="dxa"/>
            <w:shd w:val="clear" w:color="auto" w:fill="244061"/>
          </w:tcPr>
          <w:p w14:paraId="4949DE80"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IMPACT</w:t>
            </w:r>
          </w:p>
        </w:tc>
        <w:tc>
          <w:tcPr>
            <w:tcW w:w="849" w:type="dxa"/>
            <w:shd w:val="clear" w:color="auto" w:fill="244061"/>
          </w:tcPr>
          <w:p w14:paraId="31E9A6FF"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LIKLE-HOOD</w:t>
            </w:r>
          </w:p>
        </w:tc>
        <w:tc>
          <w:tcPr>
            <w:tcW w:w="849" w:type="dxa"/>
            <w:shd w:val="clear" w:color="auto" w:fill="244061"/>
          </w:tcPr>
          <w:p w14:paraId="6BB85DF3"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RISK LEVEL</w:t>
            </w:r>
          </w:p>
        </w:tc>
        <w:tc>
          <w:tcPr>
            <w:tcW w:w="4619" w:type="dxa"/>
            <w:shd w:val="clear" w:color="auto" w:fill="244061"/>
          </w:tcPr>
          <w:p w14:paraId="1AF920E6" w14:textId="77777777" w:rsidR="009F09BE" w:rsidRPr="006E4026" w:rsidRDefault="009F09BE" w:rsidP="000F6FCB">
            <w:pPr>
              <w:rPr>
                <w:rFonts w:cstheme="minorHAnsi"/>
                <w:sz w:val="22"/>
                <w:szCs w:val="20"/>
              </w:rPr>
            </w:pPr>
            <w:r w:rsidRPr="006E4026">
              <w:rPr>
                <w:rFonts w:ascii="Calibri" w:hAnsi="Calibri" w:cs="Calibri"/>
                <w:b/>
                <w:bCs/>
                <w:color w:val="FFFFFF"/>
                <w:sz w:val="22"/>
                <w:szCs w:val="20"/>
              </w:rPr>
              <w:t>Comment</w:t>
            </w:r>
          </w:p>
        </w:tc>
      </w:tr>
      <w:tr w:rsidR="00C200C5" w:rsidRPr="006E4026" w14:paraId="1552B488" w14:textId="77777777" w:rsidTr="00C200C5">
        <w:tc>
          <w:tcPr>
            <w:tcW w:w="1548" w:type="dxa"/>
          </w:tcPr>
          <w:p w14:paraId="7A11126E" w14:textId="77777777" w:rsidR="009F09BE" w:rsidRPr="006E4026" w:rsidRDefault="009F09BE" w:rsidP="000F6FCB">
            <w:pPr>
              <w:rPr>
                <w:rFonts w:cstheme="minorHAnsi"/>
                <w:sz w:val="22"/>
                <w:szCs w:val="20"/>
              </w:rPr>
            </w:pPr>
            <w:r w:rsidRPr="006E4026">
              <w:rPr>
                <w:rFonts w:ascii="Calibri" w:hAnsi="Calibri" w:cs="Calibri"/>
                <w:bCs/>
                <w:sz w:val="22"/>
                <w:szCs w:val="20"/>
              </w:rPr>
              <w:t>47 - Computer Virus/Malware</w:t>
            </w:r>
          </w:p>
        </w:tc>
        <w:tc>
          <w:tcPr>
            <w:tcW w:w="2564" w:type="dxa"/>
          </w:tcPr>
          <w:p w14:paraId="7774D1E2" w14:textId="41F7C2F2" w:rsidR="009F09BE" w:rsidRDefault="009F09BE" w:rsidP="009F09BE">
            <w:pPr>
              <w:rPr>
                <w:rFonts w:ascii="Calibri" w:hAnsi="Calibri" w:cs="Calibri"/>
                <w:sz w:val="22"/>
              </w:rPr>
            </w:pPr>
            <w:r>
              <w:rPr>
                <w:rFonts w:ascii="Calibri" w:hAnsi="Calibri" w:cs="Calibri"/>
                <w:sz w:val="22"/>
              </w:rPr>
              <w:t xml:space="preserve">As a result of inadequate protection, or inappropriate system use, including accidental activation of email links by that lead to malware downloads, there is a risk that NatureScot systems becoming </w:t>
            </w:r>
            <w:r w:rsidR="0020017B">
              <w:rPr>
                <w:rFonts w:ascii="Calibri" w:hAnsi="Calibri" w:cs="Calibri"/>
                <w:sz w:val="22"/>
              </w:rPr>
              <w:t>infected with</w:t>
            </w:r>
            <w:r>
              <w:rPr>
                <w:rFonts w:ascii="Calibri" w:hAnsi="Calibri" w:cs="Calibri"/>
                <w:sz w:val="22"/>
              </w:rPr>
              <w:t xml:space="preserve"> a malware or virus agent, resulting in NatureScot systems and data become unavailable, encrypted or corrupted, significant system downtime and huge operational impacts</w:t>
            </w:r>
          </w:p>
          <w:p w14:paraId="7BFD0C9B" w14:textId="378359A2" w:rsidR="009F09BE" w:rsidRPr="006E4026" w:rsidRDefault="009F09BE" w:rsidP="000F6FCB">
            <w:pPr>
              <w:rPr>
                <w:rFonts w:cstheme="minorHAnsi"/>
                <w:sz w:val="22"/>
                <w:szCs w:val="20"/>
              </w:rPr>
            </w:pPr>
          </w:p>
        </w:tc>
        <w:tc>
          <w:tcPr>
            <w:tcW w:w="4314" w:type="dxa"/>
          </w:tcPr>
          <w:p w14:paraId="0069BC27" w14:textId="3810EFCE" w:rsidR="009F09BE" w:rsidRDefault="009F09BE" w:rsidP="009F09BE">
            <w:pPr>
              <w:rPr>
                <w:rFonts w:ascii="Calibri" w:hAnsi="Calibri" w:cs="Calibri"/>
              </w:rPr>
            </w:pPr>
            <w:r>
              <w:rPr>
                <w:rFonts w:ascii="Calibri" w:hAnsi="Calibri" w:cs="Calibri"/>
                <w:sz w:val="22"/>
              </w:rPr>
              <w:t xml:space="preserve">*All file servers are protected by Sophos </w:t>
            </w:r>
            <w:r w:rsidR="0020017B">
              <w:rPr>
                <w:rFonts w:ascii="Calibri" w:hAnsi="Calibri" w:cs="Calibri"/>
                <w:sz w:val="22"/>
              </w:rPr>
              <w:t>anti-virus</w:t>
            </w:r>
            <w:r>
              <w:rPr>
                <w:rFonts w:ascii="Calibri" w:hAnsi="Calibri" w:cs="Calibri"/>
                <w:sz w:val="22"/>
              </w:rPr>
              <w:t xml:space="preserve"> protection. Upgrades are performed automatically and can also be applied in an ad-hoc manner </w:t>
            </w:r>
          </w:p>
          <w:p w14:paraId="558EA68F" w14:textId="4EB83647" w:rsidR="009F09BE" w:rsidRDefault="009F09BE" w:rsidP="009F09BE">
            <w:pPr>
              <w:rPr>
                <w:rFonts w:ascii="Calibri" w:hAnsi="Calibri" w:cs="Calibri"/>
              </w:rPr>
            </w:pPr>
            <w:r>
              <w:rPr>
                <w:rFonts w:ascii="Calibri" w:hAnsi="Calibri" w:cs="Calibri"/>
                <w:sz w:val="22"/>
              </w:rPr>
              <w:t xml:space="preserve">*All PCs are protected by Sophos </w:t>
            </w:r>
            <w:r w:rsidR="0020017B">
              <w:rPr>
                <w:rFonts w:ascii="Calibri" w:hAnsi="Calibri" w:cs="Calibri"/>
                <w:sz w:val="22"/>
              </w:rPr>
              <w:t>anti-virus</w:t>
            </w:r>
            <w:r>
              <w:rPr>
                <w:rFonts w:ascii="Calibri" w:hAnsi="Calibri" w:cs="Calibri"/>
                <w:sz w:val="22"/>
              </w:rPr>
              <w:t xml:space="preserve"> protection. Upgrades are received on a live basis but can be applied ad-hoc </w:t>
            </w:r>
          </w:p>
          <w:p w14:paraId="6421BEC7" w14:textId="77777777" w:rsidR="009F09BE" w:rsidRDefault="009F09BE" w:rsidP="009F09BE">
            <w:pPr>
              <w:rPr>
                <w:rFonts w:ascii="Calibri" w:hAnsi="Calibri" w:cs="Calibri"/>
              </w:rPr>
            </w:pPr>
            <w:r>
              <w:rPr>
                <w:rFonts w:ascii="Calibri" w:hAnsi="Calibri" w:cs="Calibri"/>
                <w:sz w:val="22"/>
              </w:rPr>
              <w:t xml:space="preserve">*All incoming emails are scanned for viruses. </w:t>
            </w:r>
          </w:p>
          <w:p w14:paraId="1C2BAE01" w14:textId="73F5F386" w:rsidR="009F09BE" w:rsidRDefault="009F09BE" w:rsidP="009F09BE">
            <w:pPr>
              <w:rPr>
                <w:rFonts w:ascii="Calibri" w:hAnsi="Calibri" w:cs="Calibri"/>
              </w:rPr>
            </w:pPr>
            <w:r>
              <w:rPr>
                <w:rFonts w:ascii="Calibri" w:hAnsi="Calibri" w:cs="Calibri"/>
                <w:sz w:val="22"/>
              </w:rPr>
              <w:t>*</w:t>
            </w:r>
            <w:r w:rsidR="0020017B">
              <w:rPr>
                <w:rFonts w:ascii="Calibri" w:hAnsi="Calibri" w:cs="Calibri"/>
                <w:sz w:val="22"/>
              </w:rPr>
              <w:t>All internet access</w:t>
            </w:r>
            <w:r>
              <w:rPr>
                <w:rFonts w:ascii="Calibri" w:hAnsi="Calibri" w:cs="Calibri"/>
                <w:sz w:val="22"/>
              </w:rPr>
              <w:t xml:space="preserve"> </w:t>
            </w:r>
            <w:r w:rsidR="0020017B">
              <w:rPr>
                <w:rFonts w:ascii="Calibri" w:hAnsi="Calibri" w:cs="Calibri"/>
                <w:sz w:val="22"/>
              </w:rPr>
              <w:t>is</w:t>
            </w:r>
            <w:r>
              <w:rPr>
                <w:rFonts w:ascii="Calibri" w:hAnsi="Calibri" w:cs="Calibri"/>
                <w:sz w:val="22"/>
              </w:rPr>
              <w:t xml:space="preserve"> scanned for viruses via Zscaler service. </w:t>
            </w:r>
          </w:p>
          <w:p w14:paraId="092561E2" w14:textId="77777777" w:rsidR="009F09BE" w:rsidRDefault="009F09BE" w:rsidP="009F09BE">
            <w:pPr>
              <w:rPr>
                <w:rFonts w:ascii="Calibri" w:hAnsi="Calibri" w:cs="Calibri"/>
              </w:rPr>
            </w:pPr>
            <w:r>
              <w:rPr>
                <w:rFonts w:ascii="Calibri" w:hAnsi="Calibri" w:cs="Calibri"/>
                <w:sz w:val="22"/>
              </w:rPr>
              <w:t xml:space="preserve">*Raise staff awareness of potential risks relating to email links and infected documents through regular communications. </w:t>
            </w:r>
          </w:p>
          <w:p w14:paraId="087EACFA" w14:textId="77777777" w:rsidR="009F09BE" w:rsidRDefault="009F09BE" w:rsidP="009F09BE">
            <w:pPr>
              <w:rPr>
                <w:rFonts w:ascii="Calibri" w:hAnsi="Calibri" w:cs="Calibri"/>
              </w:rPr>
            </w:pPr>
            <w:r>
              <w:rPr>
                <w:rFonts w:ascii="Calibri" w:hAnsi="Calibri" w:cs="Calibri"/>
                <w:sz w:val="22"/>
              </w:rPr>
              <w:t xml:space="preserve">*Control/restriction of USB devices </w:t>
            </w:r>
          </w:p>
          <w:p w14:paraId="7617DF96" w14:textId="77777777" w:rsidR="009F09BE" w:rsidRDefault="009F09BE" w:rsidP="009F09BE">
            <w:pPr>
              <w:rPr>
                <w:rFonts w:ascii="Calibri" w:hAnsi="Calibri" w:cs="Calibri"/>
              </w:rPr>
            </w:pPr>
            <w:r>
              <w:rPr>
                <w:rFonts w:ascii="Calibri" w:hAnsi="Calibri" w:cs="Calibri"/>
                <w:sz w:val="22"/>
              </w:rPr>
              <w:t xml:space="preserve">*Awareness raising with staff via Blogs and update articles </w:t>
            </w:r>
          </w:p>
          <w:p w14:paraId="70C212DD" w14:textId="77777777" w:rsidR="009F09BE" w:rsidRDefault="009F09BE" w:rsidP="009F09BE">
            <w:pPr>
              <w:rPr>
                <w:rFonts w:ascii="Calibri" w:hAnsi="Calibri" w:cs="Calibri"/>
              </w:rPr>
            </w:pPr>
            <w:r>
              <w:rPr>
                <w:rFonts w:ascii="Calibri" w:hAnsi="Calibri" w:cs="Calibri"/>
                <w:sz w:val="22"/>
              </w:rPr>
              <w:t xml:space="preserve">*Incident Management Group in place </w:t>
            </w:r>
          </w:p>
          <w:p w14:paraId="0CC2E5FE" w14:textId="77777777" w:rsidR="009F09BE" w:rsidRDefault="009F09BE" w:rsidP="009F09BE">
            <w:pPr>
              <w:rPr>
                <w:rFonts w:ascii="Calibri" w:hAnsi="Calibri" w:cs="Calibri"/>
              </w:rPr>
            </w:pPr>
            <w:r>
              <w:rPr>
                <w:rFonts w:ascii="Calibri" w:hAnsi="Calibri" w:cs="Calibri"/>
                <w:sz w:val="22"/>
              </w:rPr>
              <w:t xml:space="preserve">*Corporate data backed up to cloud </w:t>
            </w:r>
          </w:p>
          <w:p w14:paraId="47C5E561" w14:textId="4094580E" w:rsidR="009F09BE" w:rsidRDefault="009F09BE" w:rsidP="009F09BE">
            <w:pPr>
              <w:rPr>
                <w:rFonts w:ascii="Calibri" w:hAnsi="Calibri" w:cs="Calibri"/>
              </w:rPr>
            </w:pPr>
            <w:r>
              <w:rPr>
                <w:rFonts w:ascii="Calibri" w:hAnsi="Calibri" w:cs="Calibri"/>
                <w:sz w:val="22"/>
              </w:rPr>
              <w:t xml:space="preserve">*Zfilter showing us user </w:t>
            </w:r>
            <w:r w:rsidR="00C200C5">
              <w:rPr>
                <w:rFonts w:ascii="Calibri" w:hAnsi="Calibri" w:cs="Calibri"/>
              </w:rPr>
              <w:t>behaviour</w:t>
            </w:r>
            <w:r>
              <w:rPr>
                <w:rFonts w:ascii="Calibri" w:hAnsi="Calibri" w:cs="Calibri"/>
                <w:sz w:val="22"/>
              </w:rPr>
              <w:t xml:space="preserve"> and stopping internet threats </w:t>
            </w:r>
          </w:p>
          <w:p w14:paraId="740BD864" w14:textId="4D29595D" w:rsidR="009F09BE" w:rsidRPr="009F09BE" w:rsidRDefault="009F09BE" w:rsidP="000F6FCB">
            <w:pPr>
              <w:rPr>
                <w:rFonts w:ascii="Calibri" w:hAnsi="Calibri" w:cs="Calibri"/>
                <w:sz w:val="22"/>
              </w:rPr>
            </w:pPr>
            <w:r>
              <w:rPr>
                <w:rFonts w:ascii="Calibri" w:hAnsi="Calibri" w:cs="Calibri"/>
                <w:sz w:val="22"/>
              </w:rPr>
              <w:t xml:space="preserve">* </w:t>
            </w:r>
            <w:r w:rsidR="0020017B">
              <w:rPr>
                <w:rFonts w:ascii="Calibri" w:hAnsi="Calibri" w:cs="Calibri"/>
                <w:sz w:val="22"/>
              </w:rPr>
              <w:t>Regular</w:t>
            </w:r>
            <w:r>
              <w:rPr>
                <w:rFonts w:ascii="Calibri" w:hAnsi="Calibri" w:cs="Calibri"/>
                <w:sz w:val="22"/>
              </w:rPr>
              <w:t xml:space="preserve"> meetings of TDS/ICS to check on patching levels and compliance issues.</w:t>
            </w:r>
          </w:p>
        </w:tc>
        <w:tc>
          <w:tcPr>
            <w:tcW w:w="992" w:type="dxa"/>
          </w:tcPr>
          <w:p w14:paraId="057965A0" w14:textId="77777777" w:rsidR="009F09BE" w:rsidRPr="006E4026" w:rsidRDefault="009F09BE" w:rsidP="000F6FCB">
            <w:pPr>
              <w:rPr>
                <w:rFonts w:cstheme="minorHAnsi"/>
                <w:sz w:val="22"/>
                <w:szCs w:val="20"/>
              </w:rPr>
            </w:pPr>
            <w:r w:rsidRPr="006E4026">
              <w:rPr>
                <w:rFonts w:ascii="Calibri" w:hAnsi="Calibri" w:cs="Calibri"/>
                <w:color w:val="000000"/>
                <w:sz w:val="22"/>
                <w:szCs w:val="20"/>
              </w:rPr>
              <w:t>4</w:t>
            </w:r>
          </w:p>
        </w:tc>
        <w:tc>
          <w:tcPr>
            <w:tcW w:w="849" w:type="dxa"/>
          </w:tcPr>
          <w:p w14:paraId="1D3C50D1" w14:textId="77777777" w:rsidR="009F09BE" w:rsidRPr="006E4026" w:rsidRDefault="009F09BE" w:rsidP="000F6FCB">
            <w:pPr>
              <w:rPr>
                <w:rFonts w:cstheme="minorHAnsi"/>
                <w:sz w:val="22"/>
                <w:szCs w:val="20"/>
              </w:rPr>
            </w:pPr>
            <w:r w:rsidRPr="006E4026">
              <w:rPr>
                <w:rFonts w:ascii="Calibri" w:hAnsi="Calibri" w:cs="Calibri"/>
                <w:color w:val="000000"/>
                <w:sz w:val="22"/>
                <w:szCs w:val="20"/>
              </w:rPr>
              <w:t>3</w:t>
            </w:r>
          </w:p>
        </w:tc>
        <w:tc>
          <w:tcPr>
            <w:tcW w:w="849" w:type="dxa"/>
          </w:tcPr>
          <w:p w14:paraId="2DF5236A" w14:textId="77777777" w:rsidR="009F09BE" w:rsidRPr="006E4026" w:rsidRDefault="009F09BE" w:rsidP="000F6FCB">
            <w:pPr>
              <w:rPr>
                <w:rFonts w:cstheme="minorHAnsi"/>
                <w:sz w:val="22"/>
                <w:szCs w:val="20"/>
              </w:rPr>
            </w:pPr>
            <w:r w:rsidRPr="006E4026">
              <w:rPr>
                <w:rFonts w:ascii="Calibri" w:hAnsi="Calibri" w:cs="Calibri"/>
                <w:b/>
                <w:bCs/>
                <w:color w:val="000000"/>
                <w:sz w:val="22"/>
                <w:szCs w:val="20"/>
              </w:rPr>
              <w:t>High</w:t>
            </w:r>
          </w:p>
        </w:tc>
        <w:tc>
          <w:tcPr>
            <w:tcW w:w="4619" w:type="dxa"/>
          </w:tcPr>
          <w:p w14:paraId="0EE9BA6F" w14:textId="22B8D575" w:rsidR="009F09BE" w:rsidRDefault="009F09BE" w:rsidP="009F09BE">
            <w:pPr>
              <w:rPr>
                <w:rFonts w:ascii="Calibri" w:hAnsi="Calibri" w:cs="Calibri"/>
                <w:sz w:val="22"/>
              </w:rPr>
            </w:pPr>
            <w:r>
              <w:rPr>
                <w:rFonts w:ascii="Calibri" w:hAnsi="Calibri" w:cs="Calibri"/>
                <w:sz w:val="22"/>
              </w:rPr>
              <w:t xml:space="preserve">Our cyber awareness training continues to receive good completion scores (at present 98%) and we are about to embark on some further phishing exercises. We continue to be on exceptionally high alert for malware and virus attack. We are investigating joining the Police Scotland Cyber Alarm scheme in Q1 24/25 which has been recently launched. We continue with the monthly pen testing and are about to embark on an ISO27032 </w:t>
            </w:r>
            <w:r>
              <w:rPr>
                <w:rFonts w:ascii="Calibri" w:hAnsi="Calibri" w:cs="Calibri"/>
              </w:rPr>
              <w:t>review</w:t>
            </w:r>
            <w:r>
              <w:rPr>
                <w:rFonts w:ascii="Calibri" w:hAnsi="Calibri" w:cs="Calibri"/>
                <w:sz w:val="22"/>
              </w:rPr>
              <w:t xml:space="preserve"> with external consultants</w:t>
            </w:r>
            <w:r>
              <w:rPr>
                <w:rFonts w:ascii="Calibri" w:hAnsi="Calibri" w:cs="Calibri"/>
              </w:rPr>
              <w:t>.</w:t>
            </w:r>
          </w:p>
          <w:p w14:paraId="6457BF4C" w14:textId="77777777" w:rsidR="009F09BE" w:rsidRPr="006E4026" w:rsidRDefault="009F09BE" w:rsidP="000F6FCB">
            <w:pPr>
              <w:rPr>
                <w:rFonts w:cstheme="minorHAnsi"/>
                <w:sz w:val="22"/>
                <w:szCs w:val="20"/>
              </w:rPr>
            </w:pPr>
          </w:p>
        </w:tc>
      </w:tr>
      <w:tr w:rsidR="00C200C5" w:rsidRPr="006E4026" w14:paraId="5CBC1CCE" w14:textId="77777777" w:rsidTr="00C200C5">
        <w:tc>
          <w:tcPr>
            <w:tcW w:w="1548" w:type="dxa"/>
          </w:tcPr>
          <w:p w14:paraId="0ADC69C7" w14:textId="79AA44FC" w:rsidR="009F09BE" w:rsidRPr="009F09BE" w:rsidRDefault="009F09BE" w:rsidP="000F6FCB">
            <w:pPr>
              <w:rPr>
                <w:rFonts w:ascii="Calibri" w:hAnsi="Calibri" w:cs="Calibri"/>
                <w:b/>
                <w:sz w:val="22"/>
                <w:szCs w:val="20"/>
              </w:rPr>
            </w:pPr>
            <w:r>
              <w:rPr>
                <w:rFonts w:ascii="Calibri" w:hAnsi="Calibri" w:cs="Calibri"/>
                <w:bCs/>
                <w:szCs w:val="20"/>
              </w:rPr>
              <w:t xml:space="preserve">253 - </w:t>
            </w:r>
            <w:r w:rsidRPr="009F09BE">
              <w:rPr>
                <w:rFonts w:ascii="Calibri" w:hAnsi="Calibri" w:cs="Calibri"/>
                <w:bCs/>
                <w:szCs w:val="20"/>
              </w:rPr>
              <w:t>Peatland restoration target and budget.</w:t>
            </w:r>
          </w:p>
        </w:tc>
        <w:tc>
          <w:tcPr>
            <w:tcW w:w="2564" w:type="dxa"/>
          </w:tcPr>
          <w:p w14:paraId="4967CEE0" w14:textId="77777777" w:rsidR="009F09BE" w:rsidRDefault="009F09BE" w:rsidP="009F09BE">
            <w:pPr>
              <w:rPr>
                <w:rFonts w:ascii="Calibri" w:hAnsi="Calibri" w:cs="Calibri"/>
                <w:color w:val="000000"/>
                <w:sz w:val="22"/>
              </w:rPr>
            </w:pPr>
            <w:r>
              <w:rPr>
                <w:rFonts w:ascii="Calibri" w:hAnsi="Calibri" w:cs="Calibri"/>
                <w:color w:val="000000"/>
                <w:sz w:val="22"/>
              </w:rPr>
              <w:t>As a result of the immature and complex operating environment, there is a risk to: meeting the annual Peatland ACTION restoration hectare target; and spending the annual budget.</w:t>
            </w:r>
          </w:p>
          <w:p w14:paraId="44D2B615" w14:textId="1728357C" w:rsidR="009F09BE" w:rsidRDefault="009F09BE" w:rsidP="009F09BE">
            <w:pPr>
              <w:rPr>
                <w:rFonts w:ascii="Calibri" w:hAnsi="Calibri" w:cs="Calibri"/>
                <w:sz w:val="22"/>
              </w:rPr>
            </w:pPr>
          </w:p>
        </w:tc>
        <w:tc>
          <w:tcPr>
            <w:tcW w:w="4314" w:type="dxa"/>
          </w:tcPr>
          <w:p w14:paraId="62A025B5" w14:textId="19C00D7B" w:rsidR="009F09BE" w:rsidRPr="009F09BE" w:rsidRDefault="009F09BE" w:rsidP="009F09BE">
            <w:pPr>
              <w:rPr>
                <w:rFonts w:ascii="Calibri" w:hAnsi="Calibri" w:cs="Calibri"/>
                <w:color w:val="000000"/>
                <w:sz w:val="22"/>
              </w:rPr>
            </w:pPr>
            <w:r>
              <w:rPr>
                <w:rFonts w:ascii="Calibri" w:hAnsi="Calibri" w:cs="Calibri"/>
                <w:color w:val="000000"/>
                <w:sz w:val="22"/>
              </w:rPr>
              <w:t xml:space="preserve">• Realistic planning </w:t>
            </w:r>
            <w:r>
              <w:rPr>
                <w:rFonts w:ascii="Calibri" w:hAnsi="Calibri" w:cs="Calibri"/>
                <w:color w:val="000000"/>
                <w:sz w:val="22"/>
              </w:rPr>
              <w:br/>
              <w:t xml:space="preserve">• Invigorating demand </w:t>
            </w:r>
            <w:r>
              <w:rPr>
                <w:rFonts w:ascii="Calibri" w:hAnsi="Calibri" w:cs="Calibri"/>
                <w:color w:val="000000"/>
                <w:sz w:val="22"/>
              </w:rPr>
              <w:br/>
              <w:t xml:space="preserve">• Real-time monitoring </w:t>
            </w:r>
            <w:r>
              <w:rPr>
                <w:rFonts w:ascii="Calibri" w:hAnsi="Calibri" w:cs="Calibri"/>
                <w:color w:val="000000"/>
                <w:sz w:val="22"/>
              </w:rPr>
              <w:br/>
              <w:t xml:space="preserve">• Increasing resilience to change in projections </w:t>
            </w:r>
            <w:r>
              <w:rPr>
                <w:rFonts w:ascii="Calibri" w:hAnsi="Calibri" w:cs="Calibri"/>
                <w:color w:val="000000"/>
                <w:sz w:val="22"/>
              </w:rPr>
              <w:br/>
              <w:t xml:space="preserve">• Regular and robust review and control </w:t>
            </w:r>
            <w:r>
              <w:rPr>
                <w:rFonts w:ascii="Calibri" w:hAnsi="Calibri" w:cs="Calibri"/>
                <w:color w:val="000000"/>
                <w:sz w:val="22"/>
              </w:rPr>
              <w:br/>
              <w:t xml:space="preserve">• New Guidance on operating during nesting season being </w:t>
            </w:r>
            <w:r w:rsidR="0020017B">
              <w:rPr>
                <w:rFonts w:ascii="Calibri" w:hAnsi="Calibri" w:cs="Calibri"/>
                <w:color w:val="000000"/>
                <w:sz w:val="22"/>
              </w:rPr>
              <w:t>updated</w:t>
            </w:r>
            <w:r>
              <w:rPr>
                <w:rFonts w:ascii="Calibri" w:hAnsi="Calibri" w:cs="Calibri"/>
                <w:color w:val="000000"/>
                <w:sz w:val="22"/>
              </w:rPr>
              <w:t xml:space="preserve"> to allow risk based approach to operations during that period.</w:t>
            </w:r>
          </w:p>
        </w:tc>
        <w:tc>
          <w:tcPr>
            <w:tcW w:w="992" w:type="dxa"/>
          </w:tcPr>
          <w:p w14:paraId="34D3880A" w14:textId="19D9524A" w:rsidR="009F09BE" w:rsidRPr="006E4026" w:rsidRDefault="009F09BE" w:rsidP="000F6FCB">
            <w:pPr>
              <w:rPr>
                <w:rFonts w:ascii="Calibri" w:hAnsi="Calibri" w:cs="Calibri"/>
                <w:color w:val="000000"/>
                <w:sz w:val="22"/>
                <w:szCs w:val="20"/>
              </w:rPr>
            </w:pPr>
            <w:r>
              <w:rPr>
                <w:rFonts w:ascii="Calibri" w:hAnsi="Calibri" w:cs="Calibri"/>
                <w:color w:val="000000"/>
                <w:szCs w:val="20"/>
              </w:rPr>
              <w:t>4</w:t>
            </w:r>
          </w:p>
        </w:tc>
        <w:tc>
          <w:tcPr>
            <w:tcW w:w="849" w:type="dxa"/>
          </w:tcPr>
          <w:p w14:paraId="3216C811" w14:textId="41369B41" w:rsidR="009F09BE" w:rsidRPr="006E4026" w:rsidRDefault="009F09BE" w:rsidP="000F6FCB">
            <w:pPr>
              <w:rPr>
                <w:rFonts w:ascii="Calibri" w:hAnsi="Calibri" w:cs="Calibri"/>
                <w:color w:val="000000"/>
                <w:sz w:val="22"/>
                <w:szCs w:val="20"/>
              </w:rPr>
            </w:pPr>
            <w:r>
              <w:rPr>
                <w:rFonts w:ascii="Calibri" w:hAnsi="Calibri" w:cs="Calibri"/>
                <w:color w:val="000000"/>
                <w:szCs w:val="20"/>
              </w:rPr>
              <w:t>3</w:t>
            </w:r>
          </w:p>
        </w:tc>
        <w:tc>
          <w:tcPr>
            <w:tcW w:w="849" w:type="dxa"/>
          </w:tcPr>
          <w:p w14:paraId="2F060540" w14:textId="0EE1D7C2" w:rsidR="009F09BE" w:rsidRPr="006E4026" w:rsidRDefault="009F09BE" w:rsidP="000F6FCB">
            <w:pPr>
              <w:rPr>
                <w:rFonts w:ascii="Calibri" w:hAnsi="Calibri" w:cs="Calibri"/>
                <w:b/>
                <w:bCs/>
                <w:color w:val="000000"/>
                <w:sz w:val="22"/>
                <w:szCs w:val="20"/>
              </w:rPr>
            </w:pPr>
            <w:r>
              <w:rPr>
                <w:rFonts w:ascii="Calibri" w:hAnsi="Calibri" w:cs="Calibri"/>
                <w:b/>
                <w:bCs/>
                <w:color w:val="000000"/>
                <w:szCs w:val="20"/>
              </w:rPr>
              <w:t>High</w:t>
            </w:r>
          </w:p>
        </w:tc>
        <w:tc>
          <w:tcPr>
            <w:tcW w:w="4619" w:type="dxa"/>
          </w:tcPr>
          <w:p w14:paraId="15043042" w14:textId="53593807" w:rsidR="009F09BE" w:rsidRDefault="009F09BE" w:rsidP="009F09BE">
            <w:pPr>
              <w:rPr>
                <w:rFonts w:ascii="Calibri" w:hAnsi="Calibri" w:cs="Calibri"/>
                <w:sz w:val="22"/>
              </w:rPr>
            </w:pPr>
            <w:r w:rsidRPr="009F09BE">
              <w:rPr>
                <w:rFonts w:ascii="Calibri" w:hAnsi="Calibri" w:cs="Calibri"/>
              </w:rPr>
              <w:t xml:space="preserve">The controls have been successful in stimulating sufficient demand for peatland restoration to reduce the risk of the 6,100 hectare target not being met. </w:t>
            </w:r>
            <w:r w:rsidR="00C200C5">
              <w:rPr>
                <w:rFonts w:ascii="Calibri" w:hAnsi="Calibri" w:cs="Calibri"/>
              </w:rPr>
              <w:t>T</w:t>
            </w:r>
            <w:r w:rsidRPr="009F09BE">
              <w:rPr>
                <w:rFonts w:ascii="Calibri" w:hAnsi="Calibri" w:cs="Calibri"/>
              </w:rPr>
              <w:t xml:space="preserve">he indications are that we will exceed the target. However, the risk of slippage in spending the annual budget remains.  This is a result of staff churn resulting in less spend on employment costs, reduced capacity to </w:t>
            </w:r>
            <w:r w:rsidRPr="009F09BE">
              <w:rPr>
                <w:rFonts w:ascii="Calibri" w:hAnsi="Calibri" w:cs="Calibri"/>
              </w:rPr>
              <w:lastRenderedPageBreak/>
              <w:t xml:space="preserve">progress feasibility studies/restoration design plans and </w:t>
            </w:r>
            <w:r w:rsidR="00C200C5" w:rsidRPr="009F09BE">
              <w:rPr>
                <w:rFonts w:ascii="Calibri" w:hAnsi="Calibri" w:cs="Calibri"/>
              </w:rPr>
              <w:t>several</w:t>
            </w:r>
            <w:r w:rsidRPr="009F09BE">
              <w:rPr>
                <w:rFonts w:ascii="Calibri" w:hAnsi="Calibri" w:cs="Calibri"/>
              </w:rPr>
              <w:t xml:space="preserve"> projects being deferred to</w:t>
            </w:r>
            <w:r w:rsidR="00C200C5">
              <w:rPr>
                <w:rFonts w:ascii="Calibri" w:hAnsi="Calibri" w:cs="Calibri"/>
              </w:rPr>
              <w:t xml:space="preserve"> 20</w:t>
            </w:r>
            <w:r w:rsidRPr="009F09BE">
              <w:rPr>
                <w:rFonts w:ascii="Calibri" w:hAnsi="Calibri" w:cs="Calibri"/>
              </w:rPr>
              <w:t>2</w:t>
            </w:r>
            <w:r w:rsidR="00C200C5">
              <w:rPr>
                <w:rFonts w:ascii="Calibri" w:hAnsi="Calibri" w:cs="Calibri"/>
              </w:rPr>
              <w:t>4</w:t>
            </w:r>
            <w:r w:rsidRPr="009F09BE">
              <w:rPr>
                <w:rFonts w:ascii="Calibri" w:hAnsi="Calibri" w:cs="Calibri"/>
              </w:rPr>
              <w:t>/25</w:t>
            </w:r>
            <w:r w:rsidR="00C200C5">
              <w:rPr>
                <w:rFonts w:ascii="Calibri" w:hAnsi="Calibri" w:cs="Calibri"/>
              </w:rPr>
              <w:t>.</w:t>
            </w:r>
          </w:p>
        </w:tc>
      </w:tr>
      <w:tr w:rsidR="00C200C5" w:rsidRPr="006E4026" w14:paraId="4A3B074B" w14:textId="77777777" w:rsidTr="00C200C5">
        <w:tc>
          <w:tcPr>
            <w:tcW w:w="1548" w:type="dxa"/>
          </w:tcPr>
          <w:p w14:paraId="33A17CBC" w14:textId="77777777" w:rsidR="009F09BE" w:rsidRDefault="009F09BE" w:rsidP="000F6FCB">
            <w:pPr>
              <w:rPr>
                <w:rFonts w:ascii="Calibri" w:hAnsi="Calibri" w:cs="Calibri"/>
                <w:bCs/>
                <w:szCs w:val="20"/>
              </w:rPr>
            </w:pPr>
            <w:r>
              <w:rPr>
                <w:rFonts w:ascii="Calibri" w:hAnsi="Calibri" w:cs="Calibri"/>
                <w:bCs/>
                <w:szCs w:val="20"/>
              </w:rPr>
              <w:lastRenderedPageBreak/>
              <w:t xml:space="preserve">393 - </w:t>
            </w:r>
          </w:p>
          <w:p w14:paraId="118F3DC7" w14:textId="2FFA39B1" w:rsidR="009F09BE" w:rsidRPr="009F09BE" w:rsidRDefault="009F09BE" w:rsidP="000F6FCB">
            <w:pPr>
              <w:rPr>
                <w:rFonts w:ascii="Calibri" w:hAnsi="Calibri" w:cs="Calibri"/>
                <w:color w:val="000000"/>
              </w:rPr>
            </w:pPr>
            <w:r>
              <w:rPr>
                <w:rFonts w:ascii="Calibri" w:hAnsi="Calibri" w:cs="Calibri"/>
                <w:color w:val="000000"/>
                <w:sz w:val="22"/>
              </w:rPr>
              <w:t>Future Funding of NatureScot</w:t>
            </w:r>
          </w:p>
        </w:tc>
        <w:tc>
          <w:tcPr>
            <w:tcW w:w="2564" w:type="dxa"/>
          </w:tcPr>
          <w:p w14:paraId="3F41BD3B" w14:textId="60C53149" w:rsidR="009F09BE" w:rsidRPr="009F09BE" w:rsidRDefault="009F09BE" w:rsidP="009F09BE">
            <w:pPr>
              <w:rPr>
                <w:rFonts w:ascii="Calibri" w:hAnsi="Calibri" w:cs="Calibri"/>
              </w:rPr>
            </w:pPr>
            <w:r>
              <w:rPr>
                <w:rFonts w:ascii="Calibri" w:hAnsi="Calibri" w:cs="Calibri"/>
                <w:color w:val="000000"/>
                <w:sz w:val="22"/>
              </w:rPr>
              <w:t>As a result of on-going reductions in public expenditure or new cost pressures there is a risk our grant-in-aid settlement may not match statutory and fixed costs as well as corporate plan priorities. Unless other funding sources are secured this could result in an inability to adequately resource delivery of agreed priorities, leading to failed outcomes and reputational damage.</w:t>
            </w:r>
          </w:p>
        </w:tc>
        <w:tc>
          <w:tcPr>
            <w:tcW w:w="4314" w:type="dxa"/>
          </w:tcPr>
          <w:p w14:paraId="58055447" w14:textId="69A4C0B2" w:rsidR="009F09BE" w:rsidRDefault="009F09BE" w:rsidP="009F09BE">
            <w:pPr>
              <w:rPr>
                <w:rFonts w:ascii="Calibri" w:hAnsi="Calibri" w:cs="Calibri"/>
                <w:color w:val="000000"/>
                <w:sz w:val="22"/>
              </w:rPr>
            </w:pPr>
            <w:r>
              <w:rPr>
                <w:rFonts w:ascii="Calibri" w:hAnsi="Calibri" w:cs="Calibri"/>
                <w:color w:val="000000"/>
                <w:sz w:val="22"/>
              </w:rPr>
              <w:t xml:space="preserve">* Ensure that our priorities are aligned with published Programmes for Government and ministerial portfolio priorities, specifically those aligned to the Programme for Government and Bute House Agreement </w:t>
            </w:r>
            <w:r>
              <w:rPr>
                <w:rFonts w:ascii="Calibri" w:hAnsi="Calibri" w:cs="Calibri"/>
                <w:color w:val="000000"/>
                <w:sz w:val="22"/>
              </w:rPr>
              <w:br/>
              <w:t xml:space="preserve">* Provide realistic and evidenced assessment of the impact of possible cuts in our grant-in-aid budget through the annual Spending Review process. </w:t>
            </w:r>
            <w:r>
              <w:rPr>
                <w:rFonts w:ascii="Calibri" w:hAnsi="Calibri" w:cs="Calibri"/>
                <w:color w:val="000000"/>
                <w:sz w:val="22"/>
              </w:rPr>
              <w:br/>
              <w:t xml:space="preserve">* Develop and put forward proposals, through the annual Spending Review process and other avenues with Scottish Government, for delivering more and better outcomes for nature and people through wider Scottish Government funding. </w:t>
            </w:r>
            <w:r>
              <w:rPr>
                <w:rFonts w:ascii="Calibri" w:hAnsi="Calibri" w:cs="Calibri"/>
                <w:color w:val="000000"/>
                <w:sz w:val="22"/>
              </w:rPr>
              <w:br/>
              <w:t xml:space="preserve">*Reduce expenditure in some business areas through budget setting processes aligned to business planning cycle. </w:t>
            </w:r>
            <w:r>
              <w:rPr>
                <w:rFonts w:ascii="Calibri" w:hAnsi="Calibri" w:cs="Calibri"/>
                <w:color w:val="000000"/>
                <w:sz w:val="22"/>
              </w:rPr>
              <w:br/>
              <w:t xml:space="preserve">* Identify efficiencies and savings in our current spending and ways of working to maximise the resources available for front line delivery. </w:t>
            </w:r>
            <w:r>
              <w:rPr>
                <w:rFonts w:ascii="Calibri" w:hAnsi="Calibri" w:cs="Calibri"/>
                <w:color w:val="000000"/>
                <w:sz w:val="22"/>
              </w:rPr>
              <w:br/>
              <w:t xml:space="preserve">* Have an effective communications strategy in place which promotes the added value of our work. </w:t>
            </w:r>
            <w:r>
              <w:rPr>
                <w:rFonts w:ascii="Calibri" w:hAnsi="Calibri" w:cs="Calibri"/>
                <w:color w:val="000000"/>
                <w:sz w:val="22"/>
              </w:rPr>
              <w:br/>
              <w:t xml:space="preserve">* Identify and implement opportunities to generate income from the services we provide. </w:t>
            </w:r>
            <w:r>
              <w:rPr>
                <w:rFonts w:ascii="Calibri" w:hAnsi="Calibri" w:cs="Calibri"/>
                <w:color w:val="000000"/>
                <w:sz w:val="22"/>
              </w:rPr>
              <w:br/>
              <w:t xml:space="preserve">* Identify and implement opportunities for external funding of NatureScot-led work </w:t>
            </w:r>
            <w:r>
              <w:rPr>
                <w:rFonts w:ascii="Calibri" w:hAnsi="Calibri" w:cs="Calibri"/>
                <w:color w:val="000000"/>
                <w:sz w:val="22"/>
              </w:rPr>
              <w:lastRenderedPageBreak/>
              <w:t xml:space="preserve">through the business planning process (including at Outcome and Activity levels) and at the project development stage for significant scale projects. </w:t>
            </w:r>
            <w:r>
              <w:rPr>
                <w:rFonts w:ascii="Calibri" w:hAnsi="Calibri" w:cs="Calibri"/>
                <w:color w:val="000000"/>
                <w:sz w:val="22"/>
              </w:rPr>
              <w:br/>
              <w:t xml:space="preserve">* Develop proposals for new, preventative projects that can help deliver a wider set of SG priorities, and build awareness and support of these. </w:t>
            </w:r>
            <w:r>
              <w:rPr>
                <w:rFonts w:ascii="Calibri" w:hAnsi="Calibri" w:cs="Calibri"/>
                <w:color w:val="000000"/>
                <w:sz w:val="22"/>
              </w:rPr>
              <w:br/>
              <w:t>* Develop and refresh a short, medium and longer term financial plan based on potential financial scenarios.</w:t>
            </w:r>
          </w:p>
        </w:tc>
        <w:tc>
          <w:tcPr>
            <w:tcW w:w="992" w:type="dxa"/>
          </w:tcPr>
          <w:p w14:paraId="5F7F0B72" w14:textId="605FA3FB" w:rsidR="009F09BE" w:rsidRDefault="00C200C5" w:rsidP="000F6FCB">
            <w:pPr>
              <w:rPr>
                <w:rFonts w:ascii="Calibri" w:hAnsi="Calibri" w:cs="Calibri"/>
                <w:color w:val="000000"/>
                <w:szCs w:val="20"/>
              </w:rPr>
            </w:pPr>
            <w:r>
              <w:rPr>
                <w:rFonts w:ascii="Calibri" w:hAnsi="Calibri" w:cs="Calibri"/>
                <w:color w:val="000000"/>
                <w:szCs w:val="20"/>
              </w:rPr>
              <w:lastRenderedPageBreak/>
              <w:t>4</w:t>
            </w:r>
          </w:p>
        </w:tc>
        <w:tc>
          <w:tcPr>
            <w:tcW w:w="849" w:type="dxa"/>
          </w:tcPr>
          <w:p w14:paraId="27E70495" w14:textId="5022BCC8" w:rsidR="009F09BE" w:rsidRDefault="00C200C5" w:rsidP="000F6FCB">
            <w:pPr>
              <w:rPr>
                <w:rFonts w:ascii="Calibri" w:hAnsi="Calibri" w:cs="Calibri"/>
                <w:color w:val="000000"/>
                <w:szCs w:val="20"/>
              </w:rPr>
            </w:pPr>
            <w:r>
              <w:rPr>
                <w:rFonts w:ascii="Calibri" w:hAnsi="Calibri" w:cs="Calibri"/>
                <w:color w:val="000000"/>
                <w:szCs w:val="20"/>
              </w:rPr>
              <w:t>4</w:t>
            </w:r>
          </w:p>
        </w:tc>
        <w:tc>
          <w:tcPr>
            <w:tcW w:w="849" w:type="dxa"/>
          </w:tcPr>
          <w:p w14:paraId="64A79EBE" w14:textId="6E2E8749" w:rsidR="009F09BE" w:rsidRDefault="00C200C5" w:rsidP="000F6FCB">
            <w:pPr>
              <w:rPr>
                <w:rFonts w:ascii="Calibri" w:hAnsi="Calibri" w:cs="Calibri"/>
                <w:b/>
                <w:bCs/>
                <w:color w:val="000000"/>
                <w:szCs w:val="20"/>
              </w:rPr>
            </w:pPr>
            <w:r>
              <w:rPr>
                <w:rFonts w:ascii="Calibri" w:hAnsi="Calibri" w:cs="Calibri"/>
                <w:b/>
                <w:bCs/>
                <w:color w:val="000000"/>
                <w:szCs w:val="20"/>
              </w:rPr>
              <w:t>High</w:t>
            </w:r>
          </w:p>
        </w:tc>
        <w:tc>
          <w:tcPr>
            <w:tcW w:w="4619" w:type="dxa"/>
          </w:tcPr>
          <w:p w14:paraId="0D81DE54" w14:textId="4CD956C4" w:rsidR="009F09BE" w:rsidRPr="009F09BE" w:rsidRDefault="00C200C5" w:rsidP="009F09BE">
            <w:pPr>
              <w:rPr>
                <w:rFonts w:ascii="Calibri" w:hAnsi="Calibri" w:cs="Calibri"/>
              </w:rPr>
            </w:pPr>
            <w:r w:rsidRPr="00C200C5">
              <w:rPr>
                <w:rFonts w:ascii="Calibri" w:hAnsi="Calibri" w:cs="Calibri"/>
              </w:rPr>
              <w:t>For the coming year, NatureScot has received an uplift in recognition of new areas of work linked to wider nature restoration ambition. However, whilst new resources will flow into key areas of focus as noted in our Business Plan, there is an expectation that decisions on resources provide us with headroom in anticipation of a challenging 25/26 settlement. Charging for advice in support of ScotWind is advancing.</w:t>
            </w:r>
          </w:p>
        </w:tc>
      </w:tr>
      <w:tr w:rsidR="00C200C5" w:rsidRPr="006E4026" w14:paraId="4EDFABFE" w14:textId="77777777" w:rsidTr="00C200C5">
        <w:tc>
          <w:tcPr>
            <w:tcW w:w="1548" w:type="dxa"/>
          </w:tcPr>
          <w:p w14:paraId="4D552208" w14:textId="7F04E3FE" w:rsidR="00C200C5" w:rsidRDefault="00C200C5" w:rsidP="000F6FCB">
            <w:pPr>
              <w:rPr>
                <w:rFonts w:ascii="Calibri" w:hAnsi="Calibri" w:cs="Calibri"/>
                <w:bCs/>
                <w:szCs w:val="20"/>
              </w:rPr>
            </w:pPr>
            <w:r>
              <w:rPr>
                <w:rFonts w:ascii="Calibri" w:hAnsi="Calibri" w:cs="Calibri"/>
                <w:bCs/>
                <w:szCs w:val="20"/>
              </w:rPr>
              <w:t>740 – Nature Finance</w:t>
            </w:r>
          </w:p>
        </w:tc>
        <w:tc>
          <w:tcPr>
            <w:tcW w:w="2564" w:type="dxa"/>
          </w:tcPr>
          <w:p w14:paraId="56077BA6" w14:textId="1A42A1B9" w:rsidR="00C200C5" w:rsidRPr="00C200C5" w:rsidRDefault="00C200C5" w:rsidP="009F09BE">
            <w:pPr>
              <w:rPr>
                <w:rFonts w:ascii="Calibri" w:hAnsi="Calibri" w:cs="Calibri"/>
                <w:sz w:val="22"/>
              </w:rPr>
            </w:pPr>
            <w:r>
              <w:rPr>
                <w:rFonts w:ascii="Calibri" w:hAnsi="Calibri" w:cs="Calibri"/>
                <w:sz w:val="22"/>
              </w:rPr>
              <w:t xml:space="preserve">As a result of any or all of poor governance; lack of due diligence; or poor communications, NatureScot’s reputation could be significantly damaged by misjudged or poorly delivered interventions to influence private investment in nature. There is also a risk that, if we do not proceed with the urgency required to stimulate private sector investment into nature, that significant nature restoration will be unachievable. There is therefore a balance of acting with due diligence, versus not acting at all. There are also specific risks attributed to </w:t>
            </w:r>
            <w:r>
              <w:rPr>
                <w:rFonts w:ascii="Calibri" w:hAnsi="Calibri" w:cs="Calibri"/>
                <w:sz w:val="22"/>
              </w:rPr>
              <w:lastRenderedPageBreak/>
              <w:t>individual projects or partnerships which are dealt with at the project level.</w:t>
            </w:r>
          </w:p>
        </w:tc>
        <w:tc>
          <w:tcPr>
            <w:tcW w:w="4314" w:type="dxa"/>
          </w:tcPr>
          <w:p w14:paraId="781F7AF9" w14:textId="77D1E8F1" w:rsidR="00C200C5" w:rsidRDefault="00C200C5" w:rsidP="0020017B">
            <w:pPr>
              <w:rPr>
                <w:rFonts w:ascii="Calibri" w:hAnsi="Calibri" w:cs="Calibri"/>
                <w:color w:val="000000"/>
                <w:sz w:val="22"/>
              </w:rPr>
            </w:pPr>
            <w:r>
              <w:rPr>
                <w:rFonts w:ascii="Calibri" w:hAnsi="Calibri" w:cs="Calibri"/>
                <w:sz w:val="22"/>
              </w:rPr>
              <w:lastRenderedPageBreak/>
              <w:t xml:space="preserve">Our approach to managing this risk is directed by the Azets report (2022) against which there were 15 recommendations. These were discussed and approved by Audit and Risk Committee in a deep dive on 7th Feb 2024 and further refined, before being presented to Board on 13 March 2024. </w:t>
            </w:r>
          </w:p>
        </w:tc>
        <w:tc>
          <w:tcPr>
            <w:tcW w:w="992" w:type="dxa"/>
          </w:tcPr>
          <w:p w14:paraId="6ABDA355" w14:textId="47B21EB6" w:rsidR="00C200C5" w:rsidRDefault="00C200C5" w:rsidP="000F6FCB">
            <w:pPr>
              <w:rPr>
                <w:rFonts w:ascii="Calibri" w:hAnsi="Calibri" w:cs="Calibri"/>
                <w:color w:val="000000"/>
                <w:szCs w:val="20"/>
              </w:rPr>
            </w:pPr>
            <w:r>
              <w:rPr>
                <w:rFonts w:ascii="Calibri" w:hAnsi="Calibri" w:cs="Calibri"/>
                <w:color w:val="000000"/>
                <w:szCs w:val="20"/>
              </w:rPr>
              <w:t>5</w:t>
            </w:r>
          </w:p>
        </w:tc>
        <w:tc>
          <w:tcPr>
            <w:tcW w:w="849" w:type="dxa"/>
          </w:tcPr>
          <w:p w14:paraId="082FDDE8" w14:textId="1750FF5E" w:rsidR="00C200C5" w:rsidRDefault="00C200C5" w:rsidP="000F6FCB">
            <w:pPr>
              <w:rPr>
                <w:rFonts w:ascii="Calibri" w:hAnsi="Calibri" w:cs="Calibri"/>
                <w:color w:val="000000"/>
                <w:szCs w:val="20"/>
              </w:rPr>
            </w:pPr>
            <w:r>
              <w:rPr>
                <w:rFonts w:ascii="Calibri" w:hAnsi="Calibri" w:cs="Calibri"/>
                <w:color w:val="000000"/>
                <w:szCs w:val="20"/>
              </w:rPr>
              <w:t>2</w:t>
            </w:r>
          </w:p>
        </w:tc>
        <w:tc>
          <w:tcPr>
            <w:tcW w:w="849" w:type="dxa"/>
          </w:tcPr>
          <w:p w14:paraId="2F60C195" w14:textId="2CB5B63F" w:rsidR="00C200C5" w:rsidRDefault="00C200C5" w:rsidP="000F6FCB">
            <w:pPr>
              <w:rPr>
                <w:rFonts w:ascii="Calibri" w:hAnsi="Calibri" w:cs="Calibri"/>
                <w:b/>
                <w:bCs/>
                <w:color w:val="000000"/>
                <w:szCs w:val="20"/>
              </w:rPr>
            </w:pPr>
            <w:r>
              <w:rPr>
                <w:rFonts w:ascii="Calibri" w:hAnsi="Calibri" w:cs="Calibri"/>
                <w:b/>
                <w:bCs/>
                <w:color w:val="000000"/>
                <w:szCs w:val="20"/>
              </w:rPr>
              <w:t>High</w:t>
            </w:r>
          </w:p>
        </w:tc>
        <w:tc>
          <w:tcPr>
            <w:tcW w:w="4619" w:type="dxa"/>
          </w:tcPr>
          <w:p w14:paraId="2DEF42BA" w14:textId="0C799BA9" w:rsidR="00C200C5" w:rsidRPr="00C200C5" w:rsidRDefault="00C200C5" w:rsidP="009F09BE">
            <w:pPr>
              <w:rPr>
                <w:rFonts w:ascii="Calibri" w:hAnsi="Calibri" w:cs="Calibri"/>
              </w:rPr>
            </w:pPr>
            <w:r>
              <w:rPr>
                <w:rFonts w:ascii="Calibri" w:hAnsi="Calibri" w:cs="Calibri"/>
              </w:rPr>
              <w:t>This risk has been agreed to be escalated to the corporate risk register by SLT.</w:t>
            </w:r>
          </w:p>
        </w:tc>
      </w:tr>
    </w:tbl>
    <w:p w14:paraId="2E82861C" w14:textId="77777777" w:rsidR="00C200C5" w:rsidRPr="009F09BE" w:rsidRDefault="00C200C5" w:rsidP="002D1A4F">
      <w:pPr>
        <w:keepNext/>
        <w:keepLines/>
        <w:spacing w:before="40" w:after="0" w:line="259" w:lineRule="auto"/>
        <w:outlineLvl w:val="1"/>
        <w:rPr>
          <w:rFonts w:ascii="Calibri" w:eastAsiaTheme="majorEastAsia" w:hAnsi="Calibri" w:cs="Calibri"/>
          <w:b/>
          <w:color w:val="4F81BD" w:themeColor="accent1"/>
          <w:sz w:val="28"/>
          <w:szCs w:val="28"/>
        </w:rPr>
      </w:pPr>
    </w:p>
    <w:sectPr w:rsidR="00C200C5" w:rsidRPr="009F09BE" w:rsidSect="00730B96">
      <w:pgSz w:w="16838" w:h="11906" w:orient="landscape"/>
      <w:pgMar w:top="851"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BEA6A" w14:textId="77777777" w:rsidR="00730B96" w:rsidRDefault="00730B96" w:rsidP="00204D20">
      <w:pPr>
        <w:spacing w:after="0" w:line="240" w:lineRule="auto"/>
      </w:pPr>
      <w:r>
        <w:separator/>
      </w:r>
    </w:p>
  </w:endnote>
  <w:endnote w:type="continuationSeparator" w:id="0">
    <w:p w14:paraId="02582F0B" w14:textId="77777777" w:rsidR="00730B96" w:rsidRDefault="00730B96"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C75BB4" w:rsidRDefault="00C75BB4">
    <w:pPr>
      <w:pStyle w:val="Footer"/>
      <w:jc w:val="center"/>
    </w:pPr>
  </w:p>
  <w:p w14:paraId="20364FD6" w14:textId="77777777" w:rsidR="00C75BB4" w:rsidRDefault="00C75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5A99" w14:textId="77777777" w:rsidR="00730B96" w:rsidRDefault="00730B96" w:rsidP="00204D20">
      <w:pPr>
        <w:spacing w:after="0" w:line="240" w:lineRule="auto"/>
      </w:pPr>
      <w:r>
        <w:separator/>
      </w:r>
    </w:p>
  </w:footnote>
  <w:footnote w:type="continuationSeparator" w:id="0">
    <w:p w14:paraId="4E74A91E" w14:textId="77777777" w:rsidR="00730B96" w:rsidRDefault="00730B96"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9CE3" w14:textId="0F41AABE" w:rsidR="00D43A4F" w:rsidRPr="00D43A4F" w:rsidRDefault="00D43A4F" w:rsidP="00D43A4F">
    <w:pPr>
      <w:pStyle w:val="Header"/>
      <w:jc w:val="right"/>
      <w:rPr>
        <w:b/>
        <w:bCs/>
      </w:rPr>
    </w:pPr>
    <w:r w:rsidRPr="00D43A4F">
      <w:rPr>
        <w:b/>
        <w:bCs/>
      </w:rPr>
      <w:t>BOARD/212/08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7F9"/>
    <w:multiLevelType w:val="hybridMultilevel"/>
    <w:tmpl w:val="154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14DD"/>
    <w:multiLevelType w:val="hybridMultilevel"/>
    <w:tmpl w:val="7F986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0F5E"/>
    <w:multiLevelType w:val="hybridMultilevel"/>
    <w:tmpl w:val="62AA8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82F3D"/>
    <w:multiLevelType w:val="hybridMultilevel"/>
    <w:tmpl w:val="8ADC9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2B543A"/>
    <w:multiLevelType w:val="hybridMultilevel"/>
    <w:tmpl w:val="F0547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237CD"/>
    <w:multiLevelType w:val="hybridMultilevel"/>
    <w:tmpl w:val="C1A6A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353DD"/>
    <w:multiLevelType w:val="hybridMultilevel"/>
    <w:tmpl w:val="D2C6A2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3057E"/>
    <w:multiLevelType w:val="hybridMultilevel"/>
    <w:tmpl w:val="BF384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DD7B05"/>
    <w:multiLevelType w:val="hybridMultilevel"/>
    <w:tmpl w:val="9752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3B4AE5"/>
    <w:multiLevelType w:val="multilevel"/>
    <w:tmpl w:val="07C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B1D0C"/>
    <w:multiLevelType w:val="hybridMultilevel"/>
    <w:tmpl w:val="3C7E0B92"/>
    <w:lvl w:ilvl="0" w:tplc="5E2C4206">
      <w:start w:val="9"/>
      <w:numFmt w:val="decimal"/>
      <w:lvlText w:val="%1."/>
      <w:lvlJc w:val="left"/>
      <w:pPr>
        <w:ind w:left="360" w:hanging="360"/>
      </w:pPr>
      <w:rPr>
        <w:rFonts w:hint="default"/>
        <w:color w:val="auto"/>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8687B"/>
    <w:multiLevelType w:val="hybridMultilevel"/>
    <w:tmpl w:val="F04E6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F756D2"/>
    <w:multiLevelType w:val="hybridMultilevel"/>
    <w:tmpl w:val="2146D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BC3E28"/>
    <w:multiLevelType w:val="hybridMultilevel"/>
    <w:tmpl w:val="BA306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273E6"/>
    <w:multiLevelType w:val="hybridMultilevel"/>
    <w:tmpl w:val="62446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6C45A8"/>
    <w:multiLevelType w:val="hybridMultilevel"/>
    <w:tmpl w:val="FCD2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9C48A4"/>
    <w:multiLevelType w:val="hybridMultilevel"/>
    <w:tmpl w:val="F96082AC"/>
    <w:lvl w:ilvl="0" w:tplc="08090001">
      <w:start w:val="1"/>
      <w:numFmt w:val="bullet"/>
      <w:lvlText w:val=""/>
      <w:lvlJc w:val="left"/>
      <w:pPr>
        <w:ind w:left="720" w:hanging="360"/>
      </w:pPr>
      <w:rPr>
        <w:rFonts w:ascii="Symbol" w:hAnsi="Symbol" w:hint="default"/>
        <w:b w:val="0"/>
        <w:bCs/>
        <w:color w:val="auto"/>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3A344A"/>
    <w:multiLevelType w:val="hybridMultilevel"/>
    <w:tmpl w:val="72A4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22A28"/>
    <w:multiLevelType w:val="hybridMultilevel"/>
    <w:tmpl w:val="E1BED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745497"/>
    <w:multiLevelType w:val="hybridMultilevel"/>
    <w:tmpl w:val="5F747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65459"/>
    <w:multiLevelType w:val="hybridMultilevel"/>
    <w:tmpl w:val="534E4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3F5064"/>
    <w:multiLevelType w:val="hybridMultilevel"/>
    <w:tmpl w:val="77125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1C3D3E"/>
    <w:multiLevelType w:val="hybridMultilevel"/>
    <w:tmpl w:val="C61A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F2211E"/>
    <w:multiLevelType w:val="hybridMultilevel"/>
    <w:tmpl w:val="D660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F5250"/>
    <w:multiLevelType w:val="hybridMultilevel"/>
    <w:tmpl w:val="10C6E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0B4D33"/>
    <w:multiLevelType w:val="hybridMultilevel"/>
    <w:tmpl w:val="2BCCBAF4"/>
    <w:lvl w:ilvl="0" w:tplc="08090001">
      <w:start w:val="1"/>
      <w:numFmt w:val="bullet"/>
      <w:lvlText w:val=""/>
      <w:lvlJc w:val="left"/>
      <w:pPr>
        <w:ind w:left="360" w:hanging="360"/>
      </w:pPr>
      <w:rPr>
        <w:rFonts w:ascii="Symbol" w:hAnsi="Symbol" w:hint="default"/>
      </w:rPr>
    </w:lvl>
    <w:lvl w:ilvl="1" w:tplc="88DE42F0">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8170081"/>
    <w:multiLevelType w:val="hybridMultilevel"/>
    <w:tmpl w:val="F3606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82F62"/>
    <w:multiLevelType w:val="hybridMultilevel"/>
    <w:tmpl w:val="E7F2B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7F6B36"/>
    <w:multiLevelType w:val="hybridMultilevel"/>
    <w:tmpl w:val="2BD2769A"/>
    <w:lvl w:ilvl="0" w:tplc="FFFFFFFF">
      <w:start w:val="1"/>
      <w:numFmt w:val="decimal"/>
      <w:lvlText w:val="%1."/>
      <w:lvlJc w:val="left"/>
      <w:pPr>
        <w:ind w:left="360" w:hanging="360"/>
      </w:pPr>
      <w:rPr>
        <w:b w:val="0"/>
        <w:bCs/>
        <w:color w:val="auto"/>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2F820AF"/>
    <w:multiLevelType w:val="hybridMultilevel"/>
    <w:tmpl w:val="267CDB30"/>
    <w:lvl w:ilvl="0" w:tplc="08090001">
      <w:start w:val="1"/>
      <w:numFmt w:val="bullet"/>
      <w:lvlText w:val=""/>
      <w:lvlJc w:val="left"/>
      <w:pPr>
        <w:ind w:left="720" w:hanging="360"/>
      </w:pPr>
      <w:rPr>
        <w:rFonts w:ascii="Symbol" w:hAnsi="Symbol" w:hint="default"/>
      </w:rPr>
    </w:lvl>
    <w:lvl w:ilvl="1" w:tplc="91A63402">
      <w:start w:val="1"/>
      <w:numFmt w:val="bullet"/>
      <w:lvlText w:val=""/>
      <w:lvlJc w:val="left"/>
      <w:pPr>
        <w:ind w:left="1440" w:hanging="360"/>
      </w:pPr>
      <w:rPr>
        <w:rFonts w:ascii="Symbol" w:hAnsi="Symbol" w:hint="default"/>
        <w:color w:val="auto"/>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856631"/>
    <w:multiLevelType w:val="hybridMultilevel"/>
    <w:tmpl w:val="E3CEE9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93706C"/>
    <w:multiLevelType w:val="hybridMultilevel"/>
    <w:tmpl w:val="4A145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76E46E6"/>
    <w:multiLevelType w:val="hybridMultilevel"/>
    <w:tmpl w:val="64FEE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AA2601"/>
    <w:multiLevelType w:val="hybridMultilevel"/>
    <w:tmpl w:val="2BD2769A"/>
    <w:lvl w:ilvl="0" w:tplc="7716F384">
      <w:start w:val="1"/>
      <w:numFmt w:val="decimal"/>
      <w:lvlText w:val="%1."/>
      <w:lvlJc w:val="left"/>
      <w:pPr>
        <w:ind w:left="360" w:hanging="360"/>
      </w:pPr>
      <w:rPr>
        <w:b w:val="0"/>
        <w:bCs/>
        <w:color w:val="auto"/>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2A7DAA"/>
    <w:multiLevelType w:val="hybridMultilevel"/>
    <w:tmpl w:val="17CC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B36476"/>
    <w:multiLevelType w:val="hybridMultilevel"/>
    <w:tmpl w:val="1D0CB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392054A"/>
    <w:multiLevelType w:val="multilevel"/>
    <w:tmpl w:val="4670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266FC3"/>
    <w:multiLevelType w:val="hybridMultilevel"/>
    <w:tmpl w:val="17CC3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B13CEB"/>
    <w:multiLevelType w:val="hybridMultilevel"/>
    <w:tmpl w:val="593EFF96"/>
    <w:lvl w:ilvl="0" w:tplc="E444BA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997503"/>
    <w:multiLevelType w:val="hybridMultilevel"/>
    <w:tmpl w:val="916C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92633"/>
    <w:multiLevelType w:val="hybridMultilevel"/>
    <w:tmpl w:val="60E246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9E103B"/>
    <w:multiLevelType w:val="hybridMultilevel"/>
    <w:tmpl w:val="AA0A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353806">
    <w:abstractNumId w:val="33"/>
  </w:num>
  <w:num w:numId="2" w16cid:durableId="713237738">
    <w:abstractNumId w:val="6"/>
  </w:num>
  <w:num w:numId="3" w16cid:durableId="43409961">
    <w:abstractNumId w:val="8"/>
  </w:num>
  <w:num w:numId="4" w16cid:durableId="549804878">
    <w:abstractNumId w:val="30"/>
  </w:num>
  <w:num w:numId="5" w16cid:durableId="2110655967">
    <w:abstractNumId w:val="25"/>
  </w:num>
  <w:num w:numId="6" w16cid:durableId="1198740907">
    <w:abstractNumId w:val="11"/>
  </w:num>
  <w:num w:numId="7" w16cid:durableId="1414160332">
    <w:abstractNumId w:val="5"/>
  </w:num>
  <w:num w:numId="8" w16cid:durableId="1727795097">
    <w:abstractNumId w:val="7"/>
  </w:num>
  <w:num w:numId="9" w16cid:durableId="1713921693">
    <w:abstractNumId w:val="19"/>
  </w:num>
  <w:num w:numId="10" w16cid:durableId="1484195771">
    <w:abstractNumId w:val="1"/>
  </w:num>
  <w:num w:numId="11" w16cid:durableId="1795369590">
    <w:abstractNumId w:val="3"/>
  </w:num>
  <w:num w:numId="12" w16cid:durableId="394861015">
    <w:abstractNumId w:val="12"/>
  </w:num>
  <w:num w:numId="13" w16cid:durableId="1531410158">
    <w:abstractNumId w:val="24"/>
  </w:num>
  <w:num w:numId="14" w16cid:durableId="1177306341">
    <w:abstractNumId w:val="20"/>
  </w:num>
  <w:num w:numId="15" w16cid:durableId="1814831514">
    <w:abstractNumId w:val="27"/>
  </w:num>
  <w:num w:numId="16" w16cid:durableId="2064088034">
    <w:abstractNumId w:val="9"/>
  </w:num>
  <w:num w:numId="17" w16cid:durableId="26830636">
    <w:abstractNumId w:val="36"/>
  </w:num>
  <w:num w:numId="18" w16cid:durableId="67458485">
    <w:abstractNumId w:val="40"/>
  </w:num>
  <w:num w:numId="19" w16cid:durableId="1952391748">
    <w:abstractNumId w:val="38"/>
  </w:num>
  <w:num w:numId="20" w16cid:durableId="315037106">
    <w:abstractNumId w:val="32"/>
  </w:num>
  <w:num w:numId="21" w16cid:durableId="800852500">
    <w:abstractNumId w:val="34"/>
  </w:num>
  <w:num w:numId="22" w16cid:durableId="849682681">
    <w:abstractNumId w:val="37"/>
  </w:num>
  <w:num w:numId="23" w16cid:durableId="1510020792">
    <w:abstractNumId w:val="0"/>
  </w:num>
  <w:num w:numId="24" w16cid:durableId="176121601">
    <w:abstractNumId w:val="26"/>
  </w:num>
  <w:num w:numId="25" w16cid:durableId="220530677">
    <w:abstractNumId w:val="23"/>
  </w:num>
  <w:num w:numId="26" w16cid:durableId="1363870010">
    <w:abstractNumId w:val="2"/>
  </w:num>
  <w:num w:numId="27" w16cid:durableId="457261430">
    <w:abstractNumId w:val="22"/>
  </w:num>
  <w:num w:numId="28" w16cid:durableId="300888303">
    <w:abstractNumId w:val="41"/>
  </w:num>
  <w:num w:numId="29" w16cid:durableId="329019643">
    <w:abstractNumId w:val="31"/>
  </w:num>
  <w:num w:numId="30" w16cid:durableId="116459555">
    <w:abstractNumId w:val="21"/>
  </w:num>
  <w:num w:numId="31" w16cid:durableId="1651057758">
    <w:abstractNumId w:val="17"/>
  </w:num>
  <w:num w:numId="32" w16cid:durableId="461965845">
    <w:abstractNumId w:val="4"/>
  </w:num>
  <w:num w:numId="33" w16cid:durableId="2009555831">
    <w:abstractNumId w:val="13"/>
  </w:num>
  <w:num w:numId="34" w16cid:durableId="1867254023">
    <w:abstractNumId w:val="29"/>
  </w:num>
  <w:num w:numId="35" w16cid:durableId="1923487031">
    <w:abstractNumId w:val="14"/>
  </w:num>
  <w:num w:numId="36" w16cid:durableId="1311790048">
    <w:abstractNumId w:val="35"/>
  </w:num>
  <w:num w:numId="37" w16cid:durableId="1871916117">
    <w:abstractNumId w:val="16"/>
  </w:num>
  <w:num w:numId="38" w16cid:durableId="1154420070">
    <w:abstractNumId w:val="28"/>
  </w:num>
  <w:num w:numId="39" w16cid:durableId="1809282247">
    <w:abstractNumId w:val="10"/>
  </w:num>
  <w:num w:numId="40" w16cid:durableId="560561734">
    <w:abstractNumId w:val="18"/>
  </w:num>
  <w:num w:numId="41" w16cid:durableId="1510218993">
    <w:abstractNumId w:val="39"/>
  </w:num>
  <w:num w:numId="42" w16cid:durableId="207842965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20"/>
    <w:rsid w:val="000017AB"/>
    <w:rsid w:val="00002465"/>
    <w:rsid w:val="000048EA"/>
    <w:rsid w:val="00004FEA"/>
    <w:rsid w:val="000075A4"/>
    <w:rsid w:val="00007828"/>
    <w:rsid w:val="00010393"/>
    <w:rsid w:val="00014497"/>
    <w:rsid w:val="00020D88"/>
    <w:rsid w:val="00022898"/>
    <w:rsid w:val="000229E0"/>
    <w:rsid w:val="00023C29"/>
    <w:rsid w:val="00025C49"/>
    <w:rsid w:val="00030D53"/>
    <w:rsid w:val="000402DB"/>
    <w:rsid w:val="00040D72"/>
    <w:rsid w:val="000411A0"/>
    <w:rsid w:val="00041A5C"/>
    <w:rsid w:val="0004428F"/>
    <w:rsid w:val="00044D57"/>
    <w:rsid w:val="0005056A"/>
    <w:rsid w:val="00051324"/>
    <w:rsid w:val="00054BCF"/>
    <w:rsid w:val="00055E59"/>
    <w:rsid w:val="00056670"/>
    <w:rsid w:val="0005795C"/>
    <w:rsid w:val="00057D11"/>
    <w:rsid w:val="000602A3"/>
    <w:rsid w:val="000652E6"/>
    <w:rsid w:val="00070284"/>
    <w:rsid w:val="00075F02"/>
    <w:rsid w:val="0007662F"/>
    <w:rsid w:val="00080412"/>
    <w:rsid w:val="00080862"/>
    <w:rsid w:val="000837C9"/>
    <w:rsid w:val="00087704"/>
    <w:rsid w:val="00091D91"/>
    <w:rsid w:val="00092FC8"/>
    <w:rsid w:val="000936B1"/>
    <w:rsid w:val="000A64A8"/>
    <w:rsid w:val="000B2C17"/>
    <w:rsid w:val="000B4710"/>
    <w:rsid w:val="000C0C63"/>
    <w:rsid w:val="000C2C51"/>
    <w:rsid w:val="000C5A34"/>
    <w:rsid w:val="000C5CB1"/>
    <w:rsid w:val="000D5794"/>
    <w:rsid w:val="000D6138"/>
    <w:rsid w:val="000E2C66"/>
    <w:rsid w:val="000E47B7"/>
    <w:rsid w:val="000F04DD"/>
    <w:rsid w:val="000F4686"/>
    <w:rsid w:val="001033FB"/>
    <w:rsid w:val="001043CE"/>
    <w:rsid w:val="00106424"/>
    <w:rsid w:val="00107243"/>
    <w:rsid w:val="00111B84"/>
    <w:rsid w:val="0011228E"/>
    <w:rsid w:val="001126C6"/>
    <w:rsid w:val="0011387D"/>
    <w:rsid w:val="00114E45"/>
    <w:rsid w:val="00116039"/>
    <w:rsid w:val="001160F9"/>
    <w:rsid w:val="00120B7F"/>
    <w:rsid w:val="00121ACF"/>
    <w:rsid w:val="00124639"/>
    <w:rsid w:val="00135003"/>
    <w:rsid w:val="00136B5E"/>
    <w:rsid w:val="00141636"/>
    <w:rsid w:val="00141C4D"/>
    <w:rsid w:val="00141D2A"/>
    <w:rsid w:val="001428C1"/>
    <w:rsid w:val="0014395C"/>
    <w:rsid w:val="00143C54"/>
    <w:rsid w:val="00146276"/>
    <w:rsid w:val="00152035"/>
    <w:rsid w:val="00152549"/>
    <w:rsid w:val="001541DE"/>
    <w:rsid w:val="00154FDE"/>
    <w:rsid w:val="00157C3B"/>
    <w:rsid w:val="00160596"/>
    <w:rsid w:val="00162DE7"/>
    <w:rsid w:val="00166111"/>
    <w:rsid w:val="00167067"/>
    <w:rsid w:val="00171C80"/>
    <w:rsid w:val="0017275A"/>
    <w:rsid w:val="001743AF"/>
    <w:rsid w:val="00174E38"/>
    <w:rsid w:val="001753AB"/>
    <w:rsid w:val="0017625A"/>
    <w:rsid w:val="00177DAA"/>
    <w:rsid w:val="00180BAC"/>
    <w:rsid w:val="00183C38"/>
    <w:rsid w:val="0019053B"/>
    <w:rsid w:val="001937E0"/>
    <w:rsid w:val="00194645"/>
    <w:rsid w:val="001960D7"/>
    <w:rsid w:val="00197293"/>
    <w:rsid w:val="001A17E0"/>
    <w:rsid w:val="001A5F20"/>
    <w:rsid w:val="001B6867"/>
    <w:rsid w:val="001B7A15"/>
    <w:rsid w:val="001C009C"/>
    <w:rsid w:val="001C722B"/>
    <w:rsid w:val="001D0028"/>
    <w:rsid w:val="001D08B3"/>
    <w:rsid w:val="001D2721"/>
    <w:rsid w:val="001D5309"/>
    <w:rsid w:val="001E0B42"/>
    <w:rsid w:val="001E1AFD"/>
    <w:rsid w:val="001E6923"/>
    <w:rsid w:val="001F21FE"/>
    <w:rsid w:val="001F7397"/>
    <w:rsid w:val="0020017B"/>
    <w:rsid w:val="00202841"/>
    <w:rsid w:val="00204D20"/>
    <w:rsid w:val="0020596F"/>
    <w:rsid w:val="002062E0"/>
    <w:rsid w:val="002069F8"/>
    <w:rsid w:val="00206A8E"/>
    <w:rsid w:val="002109CE"/>
    <w:rsid w:val="00210B4A"/>
    <w:rsid w:val="00212E87"/>
    <w:rsid w:val="00215EA3"/>
    <w:rsid w:val="00217883"/>
    <w:rsid w:val="00217896"/>
    <w:rsid w:val="002243FC"/>
    <w:rsid w:val="00224908"/>
    <w:rsid w:val="0023014F"/>
    <w:rsid w:val="002343E9"/>
    <w:rsid w:val="00236700"/>
    <w:rsid w:val="0024027D"/>
    <w:rsid w:val="0024396F"/>
    <w:rsid w:val="0024639B"/>
    <w:rsid w:val="00246728"/>
    <w:rsid w:val="00247119"/>
    <w:rsid w:val="00250054"/>
    <w:rsid w:val="00252A73"/>
    <w:rsid w:val="00252B00"/>
    <w:rsid w:val="00257A02"/>
    <w:rsid w:val="002628E0"/>
    <w:rsid w:val="00264512"/>
    <w:rsid w:val="00265931"/>
    <w:rsid w:val="002704C0"/>
    <w:rsid w:val="00271AB3"/>
    <w:rsid w:val="002775CA"/>
    <w:rsid w:val="00283F5C"/>
    <w:rsid w:val="00286B98"/>
    <w:rsid w:val="002907ED"/>
    <w:rsid w:val="002929E5"/>
    <w:rsid w:val="00294C71"/>
    <w:rsid w:val="002976DD"/>
    <w:rsid w:val="00297EF0"/>
    <w:rsid w:val="00297FE0"/>
    <w:rsid w:val="002A3C54"/>
    <w:rsid w:val="002A3F0E"/>
    <w:rsid w:val="002A4104"/>
    <w:rsid w:val="002A7A0F"/>
    <w:rsid w:val="002B5C1A"/>
    <w:rsid w:val="002B7ED3"/>
    <w:rsid w:val="002C13BF"/>
    <w:rsid w:val="002C17F9"/>
    <w:rsid w:val="002C1DDB"/>
    <w:rsid w:val="002C4E9F"/>
    <w:rsid w:val="002D0A7D"/>
    <w:rsid w:val="002D1A4F"/>
    <w:rsid w:val="002D1F9B"/>
    <w:rsid w:val="002E3CEA"/>
    <w:rsid w:val="002E6489"/>
    <w:rsid w:val="002E6B3A"/>
    <w:rsid w:val="002F06D7"/>
    <w:rsid w:val="002F1049"/>
    <w:rsid w:val="002F786B"/>
    <w:rsid w:val="00300974"/>
    <w:rsid w:val="003011F1"/>
    <w:rsid w:val="0030356B"/>
    <w:rsid w:val="00304855"/>
    <w:rsid w:val="00313599"/>
    <w:rsid w:val="00314E25"/>
    <w:rsid w:val="00315CF4"/>
    <w:rsid w:val="0031622C"/>
    <w:rsid w:val="003173A9"/>
    <w:rsid w:val="00320CAE"/>
    <w:rsid w:val="00321D8B"/>
    <w:rsid w:val="00321FE8"/>
    <w:rsid w:val="00322D98"/>
    <w:rsid w:val="0032429D"/>
    <w:rsid w:val="003252B4"/>
    <w:rsid w:val="003254E8"/>
    <w:rsid w:val="00330547"/>
    <w:rsid w:val="003318DF"/>
    <w:rsid w:val="003328AC"/>
    <w:rsid w:val="0033297B"/>
    <w:rsid w:val="003344F1"/>
    <w:rsid w:val="00334AFF"/>
    <w:rsid w:val="00336265"/>
    <w:rsid w:val="003363AC"/>
    <w:rsid w:val="00337253"/>
    <w:rsid w:val="0035019C"/>
    <w:rsid w:val="0035101E"/>
    <w:rsid w:val="00351B08"/>
    <w:rsid w:val="00351F31"/>
    <w:rsid w:val="003566CB"/>
    <w:rsid w:val="00356754"/>
    <w:rsid w:val="00357FB8"/>
    <w:rsid w:val="00361A92"/>
    <w:rsid w:val="00366E4B"/>
    <w:rsid w:val="0036767C"/>
    <w:rsid w:val="0037041C"/>
    <w:rsid w:val="00371D9E"/>
    <w:rsid w:val="0037422F"/>
    <w:rsid w:val="003753A7"/>
    <w:rsid w:val="0038302E"/>
    <w:rsid w:val="00387703"/>
    <w:rsid w:val="00387B92"/>
    <w:rsid w:val="00392215"/>
    <w:rsid w:val="00392F0D"/>
    <w:rsid w:val="00395A9F"/>
    <w:rsid w:val="00397DEC"/>
    <w:rsid w:val="003A0BAA"/>
    <w:rsid w:val="003A1445"/>
    <w:rsid w:val="003A5820"/>
    <w:rsid w:val="003A6E93"/>
    <w:rsid w:val="003B04D5"/>
    <w:rsid w:val="003B170D"/>
    <w:rsid w:val="003B1A4C"/>
    <w:rsid w:val="003C0B5D"/>
    <w:rsid w:val="003C3F48"/>
    <w:rsid w:val="003C6C3C"/>
    <w:rsid w:val="003D2471"/>
    <w:rsid w:val="003E0AFA"/>
    <w:rsid w:val="003E22BB"/>
    <w:rsid w:val="003E3649"/>
    <w:rsid w:val="003E509E"/>
    <w:rsid w:val="003E74CD"/>
    <w:rsid w:val="004007E4"/>
    <w:rsid w:val="004058F3"/>
    <w:rsid w:val="004071D4"/>
    <w:rsid w:val="0040792C"/>
    <w:rsid w:val="00407C68"/>
    <w:rsid w:val="004119B4"/>
    <w:rsid w:val="00420463"/>
    <w:rsid w:val="00421502"/>
    <w:rsid w:val="004256C5"/>
    <w:rsid w:val="00425702"/>
    <w:rsid w:val="0043005C"/>
    <w:rsid w:val="0043465F"/>
    <w:rsid w:val="00436099"/>
    <w:rsid w:val="00440662"/>
    <w:rsid w:val="004418B3"/>
    <w:rsid w:val="00441B5A"/>
    <w:rsid w:val="00443CB2"/>
    <w:rsid w:val="00446F16"/>
    <w:rsid w:val="0045169F"/>
    <w:rsid w:val="004524E3"/>
    <w:rsid w:val="00454B23"/>
    <w:rsid w:val="00457967"/>
    <w:rsid w:val="004602D8"/>
    <w:rsid w:val="00460391"/>
    <w:rsid w:val="00460AE0"/>
    <w:rsid w:val="004610B2"/>
    <w:rsid w:val="00464840"/>
    <w:rsid w:val="0046619F"/>
    <w:rsid w:val="004665ED"/>
    <w:rsid w:val="00467896"/>
    <w:rsid w:val="0047415A"/>
    <w:rsid w:val="00474D07"/>
    <w:rsid w:val="00475D56"/>
    <w:rsid w:val="00486CC1"/>
    <w:rsid w:val="00486FF8"/>
    <w:rsid w:val="004872D7"/>
    <w:rsid w:val="004902F4"/>
    <w:rsid w:val="004914EA"/>
    <w:rsid w:val="0049213E"/>
    <w:rsid w:val="004974E7"/>
    <w:rsid w:val="004A018C"/>
    <w:rsid w:val="004A06B1"/>
    <w:rsid w:val="004A3F3A"/>
    <w:rsid w:val="004A4485"/>
    <w:rsid w:val="004A47F9"/>
    <w:rsid w:val="004A66C2"/>
    <w:rsid w:val="004A7104"/>
    <w:rsid w:val="004B0300"/>
    <w:rsid w:val="004C035F"/>
    <w:rsid w:val="004C0C54"/>
    <w:rsid w:val="004C16F3"/>
    <w:rsid w:val="004C2A4B"/>
    <w:rsid w:val="004C6304"/>
    <w:rsid w:val="004D3D42"/>
    <w:rsid w:val="004D6590"/>
    <w:rsid w:val="004E09A3"/>
    <w:rsid w:val="004E33E8"/>
    <w:rsid w:val="004E3E96"/>
    <w:rsid w:val="004E4A88"/>
    <w:rsid w:val="004F1BBD"/>
    <w:rsid w:val="004F3330"/>
    <w:rsid w:val="004F3D8D"/>
    <w:rsid w:val="004F7386"/>
    <w:rsid w:val="00501026"/>
    <w:rsid w:val="00505153"/>
    <w:rsid w:val="00505836"/>
    <w:rsid w:val="00505A57"/>
    <w:rsid w:val="00505CE5"/>
    <w:rsid w:val="005065DC"/>
    <w:rsid w:val="00506AFE"/>
    <w:rsid w:val="00506E5C"/>
    <w:rsid w:val="00512D3E"/>
    <w:rsid w:val="0051324F"/>
    <w:rsid w:val="00513659"/>
    <w:rsid w:val="00517412"/>
    <w:rsid w:val="005261AF"/>
    <w:rsid w:val="005265DA"/>
    <w:rsid w:val="00530421"/>
    <w:rsid w:val="0053560F"/>
    <w:rsid w:val="00540A77"/>
    <w:rsid w:val="005410A1"/>
    <w:rsid w:val="00544B54"/>
    <w:rsid w:val="005455BF"/>
    <w:rsid w:val="00545A1C"/>
    <w:rsid w:val="00546D2A"/>
    <w:rsid w:val="00555BEF"/>
    <w:rsid w:val="00562F2F"/>
    <w:rsid w:val="00566916"/>
    <w:rsid w:val="005670F5"/>
    <w:rsid w:val="00567227"/>
    <w:rsid w:val="00567986"/>
    <w:rsid w:val="005724EC"/>
    <w:rsid w:val="00582D93"/>
    <w:rsid w:val="00586F3D"/>
    <w:rsid w:val="00590A16"/>
    <w:rsid w:val="005926A8"/>
    <w:rsid w:val="00593337"/>
    <w:rsid w:val="0059527D"/>
    <w:rsid w:val="0059721F"/>
    <w:rsid w:val="00597951"/>
    <w:rsid w:val="005A2359"/>
    <w:rsid w:val="005B22E3"/>
    <w:rsid w:val="005B4B54"/>
    <w:rsid w:val="005C07E3"/>
    <w:rsid w:val="005C5C59"/>
    <w:rsid w:val="005C611D"/>
    <w:rsid w:val="005C6F3F"/>
    <w:rsid w:val="005D0309"/>
    <w:rsid w:val="005D0456"/>
    <w:rsid w:val="005D0E4E"/>
    <w:rsid w:val="005D1EE3"/>
    <w:rsid w:val="005D432B"/>
    <w:rsid w:val="005D6C8D"/>
    <w:rsid w:val="005D7863"/>
    <w:rsid w:val="005D7C88"/>
    <w:rsid w:val="005D7D03"/>
    <w:rsid w:val="005E05B0"/>
    <w:rsid w:val="005E05D0"/>
    <w:rsid w:val="005E184D"/>
    <w:rsid w:val="005E5068"/>
    <w:rsid w:val="005E5B60"/>
    <w:rsid w:val="005F2537"/>
    <w:rsid w:val="005F53C1"/>
    <w:rsid w:val="005F67B3"/>
    <w:rsid w:val="006007B3"/>
    <w:rsid w:val="00600E8F"/>
    <w:rsid w:val="00602F51"/>
    <w:rsid w:val="00604DB9"/>
    <w:rsid w:val="006055E6"/>
    <w:rsid w:val="00606286"/>
    <w:rsid w:val="006072FA"/>
    <w:rsid w:val="00611CD6"/>
    <w:rsid w:val="0061200E"/>
    <w:rsid w:val="00613357"/>
    <w:rsid w:val="00617BA8"/>
    <w:rsid w:val="00622B93"/>
    <w:rsid w:val="00631734"/>
    <w:rsid w:val="00631DE5"/>
    <w:rsid w:val="00633F28"/>
    <w:rsid w:val="00637E3C"/>
    <w:rsid w:val="0064058F"/>
    <w:rsid w:val="006433B8"/>
    <w:rsid w:val="00644AF5"/>
    <w:rsid w:val="006454B5"/>
    <w:rsid w:val="00650F9D"/>
    <w:rsid w:val="00651E96"/>
    <w:rsid w:val="0065545A"/>
    <w:rsid w:val="00663359"/>
    <w:rsid w:val="00663C83"/>
    <w:rsid w:val="00664378"/>
    <w:rsid w:val="0066509B"/>
    <w:rsid w:val="0066536B"/>
    <w:rsid w:val="0066648F"/>
    <w:rsid w:val="006671CD"/>
    <w:rsid w:val="006705ED"/>
    <w:rsid w:val="006734F2"/>
    <w:rsid w:val="00683DAA"/>
    <w:rsid w:val="00690252"/>
    <w:rsid w:val="00690D20"/>
    <w:rsid w:val="00693734"/>
    <w:rsid w:val="00695208"/>
    <w:rsid w:val="006A0541"/>
    <w:rsid w:val="006A44C2"/>
    <w:rsid w:val="006B521F"/>
    <w:rsid w:val="006B70EE"/>
    <w:rsid w:val="006C605A"/>
    <w:rsid w:val="006D042E"/>
    <w:rsid w:val="006D3FA5"/>
    <w:rsid w:val="006D5E49"/>
    <w:rsid w:val="006E0251"/>
    <w:rsid w:val="006E075C"/>
    <w:rsid w:val="006E319D"/>
    <w:rsid w:val="006E336B"/>
    <w:rsid w:val="006E3BED"/>
    <w:rsid w:val="006E60EF"/>
    <w:rsid w:val="006F2B19"/>
    <w:rsid w:val="006F3730"/>
    <w:rsid w:val="006F4A92"/>
    <w:rsid w:val="00701143"/>
    <w:rsid w:val="00701FAD"/>
    <w:rsid w:val="0070585B"/>
    <w:rsid w:val="0070632F"/>
    <w:rsid w:val="00714CD3"/>
    <w:rsid w:val="0071534C"/>
    <w:rsid w:val="00717EC9"/>
    <w:rsid w:val="0072052F"/>
    <w:rsid w:val="0072304F"/>
    <w:rsid w:val="00724E48"/>
    <w:rsid w:val="00724FBF"/>
    <w:rsid w:val="00730B96"/>
    <w:rsid w:val="00734EB1"/>
    <w:rsid w:val="007361D3"/>
    <w:rsid w:val="00742F67"/>
    <w:rsid w:val="007465B0"/>
    <w:rsid w:val="00746A04"/>
    <w:rsid w:val="00751947"/>
    <w:rsid w:val="007525DF"/>
    <w:rsid w:val="00756BCF"/>
    <w:rsid w:val="00760F0F"/>
    <w:rsid w:val="00763688"/>
    <w:rsid w:val="007646BB"/>
    <w:rsid w:val="007652CA"/>
    <w:rsid w:val="007712ED"/>
    <w:rsid w:val="00771336"/>
    <w:rsid w:val="00774B23"/>
    <w:rsid w:val="007759C3"/>
    <w:rsid w:val="00776A18"/>
    <w:rsid w:val="007807A0"/>
    <w:rsid w:val="007830D1"/>
    <w:rsid w:val="00787269"/>
    <w:rsid w:val="007931BF"/>
    <w:rsid w:val="007938DE"/>
    <w:rsid w:val="00794997"/>
    <w:rsid w:val="00795749"/>
    <w:rsid w:val="007A05EA"/>
    <w:rsid w:val="007A0E92"/>
    <w:rsid w:val="007B03C3"/>
    <w:rsid w:val="007B190E"/>
    <w:rsid w:val="007B45DB"/>
    <w:rsid w:val="007B4C13"/>
    <w:rsid w:val="007C25A0"/>
    <w:rsid w:val="007C290D"/>
    <w:rsid w:val="007C375E"/>
    <w:rsid w:val="007C5167"/>
    <w:rsid w:val="007D246C"/>
    <w:rsid w:val="007D33E1"/>
    <w:rsid w:val="007D4236"/>
    <w:rsid w:val="007D5F0B"/>
    <w:rsid w:val="007E34CA"/>
    <w:rsid w:val="007F04DD"/>
    <w:rsid w:val="007F6B98"/>
    <w:rsid w:val="008019F4"/>
    <w:rsid w:val="00802211"/>
    <w:rsid w:val="00803E97"/>
    <w:rsid w:val="00804D5C"/>
    <w:rsid w:val="0080571D"/>
    <w:rsid w:val="00806C3E"/>
    <w:rsid w:val="008070E2"/>
    <w:rsid w:val="00812B99"/>
    <w:rsid w:val="0081582B"/>
    <w:rsid w:val="0081699B"/>
    <w:rsid w:val="0082067A"/>
    <w:rsid w:val="0082236E"/>
    <w:rsid w:val="00825C31"/>
    <w:rsid w:val="00826032"/>
    <w:rsid w:val="00826C82"/>
    <w:rsid w:val="00830896"/>
    <w:rsid w:val="0083328C"/>
    <w:rsid w:val="00834565"/>
    <w:rsid w:val="00836C51"/>
    <w:rsid w:val="00842174"/>
    <w:rsid w:val="00844CBE"/>
    <w:rsid w:val="00846FF4"/>
    <w:rsid w:val="00852C00"/>
    <w:rsid w:val="00853EA6"/>
    <w:rsid w:val="00854600"/>
    <w:rsid w:val="008558A8"/>
    <w:rsid w:val="00860A66"/>
    <w:rsid w:val="0086120C"/>
    <w:rsid w:val="00861272"/>
    <w:rsid w:val="008625A3"/>
    <w:rsid w:val="00866908"/>
    <w:rsid w:val="00871EC6"/>
    <w:rsid w:val="00872198"/>
    <w:rsid w:val="00873638"/>
    <w:rsid w:val="00874C56"/>
    <w:rsid w:val="0087617D"/>
    <w:rsid w:val="00876455"/>
    <w:rsid w:val="00895786"/>
    <w:rsid w:val="0089687F"/>
    <w:rsid w:val="00897B62"/>
    <w:rsid w:val="008A5585"/>
    <w:rsid w:val="008B1732"/>
    <w:rsid w:val="008B68CC"/>
    <w:rsid w:val="008B6E5C"/>
    <w:rsid w:val="008B6F6E"/>
    <w:rsid w:val="008C26C6"/>
    <w:rsid w:val="008C68B1"/>
    <w:rsid w:val="008D20BE"/>
    <w:rsid w:val="008D323E"/>
    <w:rsid w:val="008D507C"/>
    <w:rsid w:val="008E250C"/>
    <w:rsid w:val="008F329B"/>
    <w:rsid w:val="008F3AA0"/>
    <w:rsid w:val="008F6296"/>
    <w:rsid w:val="00901043"/>
    <w:rsid w:val="00912C08"/>
    <w:rsid w:val="0091555A"/>
    <w:rsid w:val="00920D08"/>
    <w:rsid w:val="009239A1"/>
    <w:rsid w:val="0092739C"/>
    <w:rsid w:val="009276B1"/>
    <w:rsid w:val="00930102"/>
    <w:rsid w:val="00930721"/>
    <w:rsid w:val="009318A0"/>
    <w:rsid w:val="0093190C"/>
    <w:rsid w:val="009328DC"/>
    <w:rsid w:val="00940A53"/>
    <w:rsid w:val="00940CAA"/>
    <w:rsid w:val="009427AE"/>
    <w:rsid w:val="00945709"/>
    <w:rsid w:val="00946309"/>
    <w:rsid w:val="00947D93"/>
    <w:rsid w:val="00950626"/>
    <w:rsid w:val="00951E50"/>
    <w:rsid w:val="00952709"/>
    <w:rsid w:val="0095308B"/>
    <w:rsid w:val="00956ED4"/>
    <w:rsid w:val="009617CA"/>
    <w:rsid w:val="009619B1"/>
    <w:rsid w:val="009644AB"/>
    <w:rsid w:val="00971091"/>
    <w:rsid w:val="00974AA0"/>
    <w:rsid w:val="00976B38"/>
    <w:rsid w:val="0097760D"/>
    <w:rsid w:val="00985ED0"/>
    <w:rsid w:val="00986997"/>
    <w:rsid w:val="00987414"/>
    <w:rsid w:val="00987B70"/>
    <w:rsid w:val="009A0129"/>
    <w:rsid w:val="009A53B5"/>
    <w:rsid w:val="009A549A"/>
    <w:rsid w:val="009B16C1"/>
    <w:rsid w:val="009B1972"/>
    <w:rsid w:val="009B467A"/>
    <w:rsid w:val="009B4A5C"/>
    <w:rsid w:val="009B6B14"/>
    <w:rsid w:val="009B6F67"/>
    <w:rsid w:val="009B7BA2"/>
    <w:rsid w:val="009C109E"/>
    <w:rsid w:val="009C4CAD"/>
    <w:rsid w:val="009D7558"/>
    <w:rsid w:val="009E599C"/>
    <w:rsid w:val="009E619F"/>
    <w:rsid w:val="009F09BE"/>
    <w:rsid w:val="009F127F"/>
    <w:rsid w:val="009F23AE"/>
    <w:rsid w:val="009F5DF1"/>
    <w:rsid w:val="009F5E37"/>
    <w:rsid w:val="009F63AF"/>
    <w:rsid w:val="00A04497"/>
    <w:rsid w:val="00A06BFC"/>
    <w:rsid w:val="00A11704"/>
    <w:rsid w:val="00A149CC"/>
    <w:rsid w:val="00A15D6F"/>
    <w:rsid w:val="00A1782C"/>
    <w:rsid w:val="00A22254"/>
    <w:rsid w:val="00A25A27"/>
    <w:rsid w:val="00A26E66"/>
    <w:rsid w:val="00A30242"/>
    <w:rsid w:val="00A30604"/>
    <w:rsid w:val="00A33EEE"/>
    <w:rsid w:val="00A350FF"/>
    <w:rsid w:val="00A37A2A"/>
    <w:rsid w:val="00A37DD2"/>
    <w:rsid w:val="00A40E46"/>
    <w:rsid w:val="00A41161"/>
    <w:rsid w:val="00A4300C"/>
    <w:rsid w:val="00A45D71"/>
    <w:rsid w:val="00A51117"/>
    <w:rsid w:val="00A73B69"/>
    <w:rsid w:val="00A7484C"/>
    <w:rsid w:val="00A80762"/>
    <w:rsid w:val="00A81585"/>
    <w:rsid w:val="00A817A3"/>
    <w:rsid w:val="00A8260F"/>
    <w:rsid w:val="00A85879"/>
    <w:rsid w:val="00A87436"/>
    <w:rsid w:val="00A907C9"/>
    <w:rsid w:val="00A92711"/>
    <w:rsid w:val="00A932B9"/>
    <w:rsid w:val="00A93654"/>
    <w:rsid w:val="00A93657"/>
    <w:rsid w:val="00A94043"/>
    <w:rsid w:val="00A94A51"/>
    <w:rsid w:val="00AA05B4"/>
    <w:rsid w:val="00AA1277"/>
    <w:rsid w:val="00AA6419"/>
    <w:rsid w:val="00AA762D"/>
    <w:rsid w:val="00AB59AE"/>
    <w:rsid w:val="00AB736C"/>
    <w:rsid w:val="00AC3A90"/>
    <w:rsid w:val="00AC4A70"/>
    <w:rsid w:val="00AC53B1"/>
    <w:rsid w:val="00AC6E72"/>
    <w:rsid w:val="00AE1100"/>
    <w:rsid w:val="00AE216C"/>
    <w:rsid w:val="00AE2DD4"/>
    <w:rsid w:val="00AF02F6"/>
    <w:rsid w:val="00AF0F13"/>
    <w:rsid w:val="00AF334F"/>
    <w:rsid w:val="00AF457C"/>
    <w:rsid w:val="00B01A3B"/>
    <w:rsid w:val="00B01B70"/>
    <w:rsid w:val="00B02915"/>
    <w:rsid w:val="00B033ED"/>
    <w:rsid w:val="00B048CB"/>
    <w:rsid w:val="00B06790"/>
    <w:rsid w:val="00B10D94"/>
    <w:rsid w:val="00B12352"/>
    <w:rsid w:val="00B13FF8"/>
    <w:rsid w:val="00B15516"/>
    <w:rsid w:val="00B175FD"/>
    <w:rsid w:val="00B17F58"/>
    <w:rsid w:val="00B20645"/>
    <w:rsid w:val="00B20BE7"/>
    <w:rsid w:val="00B22AC9"/>
    <w:rsid w:val="00B2331C"/>
    <w:rsid w:val="00B23486"/>
    <w:rsid w:val="00B24CA5"/>
    <w:rsid w:val="00B36869"/>
    <w:rsid w:val="00B36D9B"/>
    <w:rsid w:val="00B44C93"/>
    <w:rsid w:val="00B45254"/>
    <w:rsid w:val="00B45716"/>
    <w:rsid w:val="00B4733C"/>
    <w:rsid w:val="00B50354"/>
    <w:rsid w:val="00B60441"/>
    <w:rsid w:val="00B63545"/>
    <w:rsid w:val="00B63DD2"/>
    <w:rsid w:val="00B63F5B"/>
    <w:rsid w:val="00B65223"/>
    <w:rsid w:val="00B6537E"/>
    <w:rsid w:val="00B7164A"/>
    <w:rsid w:val="00B71A8F"/>
    <w:rsid w:val="00B74D4C"/>
    <w:rsid w:val="00B7627D"/>
    <w:rsid w:val="00B7631C"/>
    <w:rsid w:val="00B8035B"/>
    <w:rsid w:val="00B80F36"/>
    <w:rsid w:val="00B837E7"/>
    <w:rsid w:val="00B847C5"/>
    <w:rsid w:val="00B94786"/>
    <w:rsid w:val="00B9554C"/>
    <w:rsid w:val="00B95587"/>
    <w:rsid w:val="00B957EC"/>
    <w:rsid w:val="00BB2AFD"/>
    <w:rsid w:val="00BC0167"/>
    <w:rsid w:val="00BC105A"/>
    <w:rsid w:val="00BC1ED8"/>
    <w:rsid w:val="00BC2772"/>
    <w:rsid w:val="00BC3DA1"/>
    <w:rsid w:val="00BC58D8"/>
    <w:rsid w:val="00BC5E6A"/>
    <w:rsid w:val="00BC6B69"/>
    <w:rsid w:val="00BD49FA"/>
    <w:rsid w:val="00BD5E53"/>
    <w:rsid w:val="00BD781C"/>
    <w:rsid w:val="00BE0D91"/>
    <w:rsid w:val="00BF0D15"/>
    <w:rsid w:val="00BF46B8"/>
    <w:rsid w:val="00BF5C04"/>
    <w:rsid w:val="00BF70B3"/>
    <w:rsid w:val="00C02B9D"/>
    <w:rsid w:val="00C04412"/>
    <w:rsid w:val="00C05B81"/>
    <w:rsid w:val="00C0781B"/>
    <w:rsid w:val="00C200C5"/>
    <w:rsid w:val="00C20267"/>
    <w:rsid w:val="00C20BBB"/>
    <w:rsid w:val="00C23A43"/>
    <w:rsid w:val="00C25C54"/>
    <w:rsid w:val="00C3117B"/>
    <w:rsid w:val="00C33B3F"/>
    <w:rsid w:val="00C34985"/>
    <w:rsid w:val="00C3696B"/>
    <w:rsid w:val="00C36F76"/>
    <w:rsid w:val="00C41796"/>
    <w:rsid w:val="00C44379"/>
    <w:rsid w:val="00C45D92"/>
    <w:rsid w:val="00C4657C"/>
    <w:rsid w:val="00C46E96"/>
    <w:rsid w:val="00C54AF8"/>
    <w:rsid w:val="00C5576F"/>
    <w:rsid w:val="00C57899"/>
    <w:rsid w:val="00C57AF3"/>
    <w:rsid w:val="00C65BFF"/>
    <w:rsid w:val="00C70AC5"/>
    <w:rsid w:val="00C7153E"/>
    <w:rsid w:val="00C75BB4"/>
    <w:rsid w:val="00C760AA"/>
    <w:rsid w:val="00C814C8"/>
    <w:rsid w:val="00C82B75"/>
    <w:rsid w:val="00C83C5D"/>
    <w:rsid w:val="00C854DD"/>
    <w:rsid w:val="00C90221"/>
    <w:rsid w:val="00C90668"/>
    <w:rsid w:val="00C97C1C"/>
    <w:rsid w:val="00CA47FF"/>
    <w:rsid w:val="00CA6CA5"/>
    <w:rsid w:val="00CB2814"/>
    <w:rsid w:val="00CC23E9"/>
    <w:rsid w:val="00CC4495"/>
    <w:rsid w:val="00CD4F31"/>
    <w:rsid w:val="00CD613D"/>
    <w:rsid w:val="00CD7E05"/>
    <w:rsid w:val="00CE19EA"/>
    <w:rsid w:val="00CE1B3F"/>
    <w:rsid w:val="00CE5508"/>
    <w:rsid w:val="00CE5BE1"/>
    <w:rsid w:val="00CF000B"/>
    <w:rsid w:val="00CF3AFE"/>
    <w:rsid w:val="00CF5775"/>
    <w:rsid w:val="00CF705E"/>
    <w:rsid w:val="00D01124"/>
    <w:rsid w:val="00D01C85"/>
    <w:rsid w:val="00D01F8A"/>
    <w:rsid w:val="00D05C40"/>
    <w:rsid w:val="00D067E9"/>
    <w:rsid w:val="00D12D43"/>
    <w:rsid w:val="00D15E53"/>
    <w:rsid w:val="00D26D65"/>
    <w:rsid w:val="00D3004F"/>
    <w:rsid w:val="00D35778"/>
    <w:rsid w:val="00D36033"/>
    <w:rsid w:val="00D40788"/>
    <w:rsid w:val="00D43A4F"/>
    <w:rsid w:val="00D44333"/>
    <w:rsid w:val="00D453EF"/>
    <w:rsid w:val="00D51F4A"/>
    <w:rsid w:val="00D52184"/>
    <w:rsid w:val="00D52B21"/>
    <w:rsid w:val="00D533D1"/>
    <w:rsid w:val="00D54219"/>
    <w:rsid w:val="00D56D87"/>
    <w:rsid w:val="00D57026"/>
    <w:rsid w:val="00D62CA6"/>
    <w:rsid w:val="00D63C79"/>
    <w:rsid w:val="00D71742"/>
    <w:rsid w:val="00D71E80"/>
    <w:rsid w:val="00D723DF"/>
    <w:rsid w:val="00D771D0"/>
    <w:rsid w:val="00D824A2"/>
    <w:rsid w:val="00D85A63"/>
    <w:rsid w:val="00D86C60"/>
    <w:rsid w:val="00D90A6D"/>
    <w:rsid w:val="00D9176A"/>
    <w:rsid w:val="00D928BC"/>
    <w:rsid w:val="00D93A28"/>
    <w:rsid w:val="00D9473C"/>
    <w:rsid w:val="00D963E1"/>
    <w:rsid w:val="00D97D31"/>
    <w:rsid w:val="00D97F4D"/>
    <w:rsid w:val="00DA125A"/>
    <w:rsid w:val="00DA6B4D"/>
    <w:rsid w:val="00DA7CB5"/>
    <w:rsid w:val="00DC17EB"/>
    <w:rsid w:val="00DC1933"/>
    <w:rsid w:val="00DC3685"/>
    <w:rsid w:val="00DC3AF4"/>
    <w:rsid w:val="00DC3DFD"/>
    <w:rsid w:val="00DD1243"/>
    <w:rsid w:val="00DD4A1A"/>
    <w:rsid w:val="00DD7D36"/>
    <w:rsid w:val="00DE1AD1"/>
    <w:rsid w:val="00DE2370"/>
    <w:rsid w:val="00DE3F09"/>
    <w:rsid w:val="00DE6935"/>
    <w:rsid w:val="00DE6BD1"/>
    <w:rsid w:val="00DF0FA7"/>
    <w:rsid w:val="00DF299F"/>
    <w:rsid w:val="00DF3056"/>
    <w:rsid w:val="00DF345A"/>
    <w:rsid w:val="00E00AF1"/>
    <w:rsid w:val="00E04F18"/>
    <w:rsid w:val="00E1234E"/>
    <w:rsid w:val="00E1294D"/>
    <w:rsid w:val="00E13C13"/>
    <w:rsid w:val="00E174CA"/>
    <w:rsid w:val="00E20FD6"/>
    <w:rsid w:val="00E22A05"/>
    <w:rsid w:val="00E22BCA"/>
    <w:rsid w:val="00E241B1"/>
    <w:rsid w:val="00E2430A"/>
    <w:rsid w:val="00E31FF8"/>
    <w:rsid w:val="00E32417"/>
    <w:rsid w:val="00E34596"/>
    <w:rsid w:val="00E34DD3"/>
    <w:rsid w:val="00E37F70"/>
    <w:rsid w:val="00E403E3"/>
    <w:rsid w:val="00E4247E"/>
    <w:rsid w:val="00E45DF2"/>
    <w:rsid w:val="00E46449"/>
    <w:rsid w:val="00E5108B"/>
    <w:rsid w:val="00E544EE"/>
    <w:rsid w:val="00E54CA4"/>
    <w:rsid w:val="00E552BC"/>
    <w:rsid w:val="00E55539"/>
    <w:rsid w:val="00E565BF"/>
    <w:rsid w:val="00E6050F"/>
    <w:rsid w:val="00E6506A"/>
    <w:rsid w:val="00E66D39"/>
    <w:rsid w:val="00E66F6C"/>
    <w:rsid w:val="00E728B0"/>
    <w:rsid w:val="00E7594C"/>
    <w:rsid w:val="00E75BB0"/>
    <w:rsid w:val="00E768CD"/>
    <w:rsid w:val="00E76BCB"/>
    <w:rsid w:val="00E76E19"/>
    <w:rsid w:val="00E800B3"/>
    <w:rsid w:val="00E80188"/>
    <w:rsid w:val="00E83BDD"/>
    <w:rsid w:val="00E85199"/>
    <w:rsid w:val="00E85B18"/>
    <w:rsid w:val="00E872AB"/>
    <w:rsid w:val="00E94DDE"/>
    <w:rsid w:val="00E95950"/>
    <w:rsid w:val="00EA05DF"/>
    <w:rsid w:val="00EA1751"/>
    <w:rsid w:val="00EA266B"/>
    <w:rsid w:val="00EA39B7"/>
    <w:rsid w:val="00EB29A2"/>
    <w:rsid w:val="00EB4F42"/>
    <w:rsid w:val="00EB6E7C"/>
    <w:rsid w:val="00EB7DD9"/>
    <w:rsid w:val="00EC1C3C"/>
    <w:rsid w:val="00EC6878"/>
    <w:rsid w:val="00EC6C50"/>
    <w:rsid w:val="00ED496A"/>
    <w:rsid w:val="00ED602F"/>
    <w:rsid w:val="00ED7021"/>
    <w:rsid w:val="00EE21BE"/>
    <w:rsid w:val="00EE480A"/>
    <w:rsid w:val="00EE4A2E"/>
    <w:rsid w:val="00EE6C3D"/>
    <w:rsid w:val="00EF1487"/>
    <w:rsid w:val="00EF3A3C"/>
    <w:rsid w:val="00EF3E44"/>
    <w:rsid w:val="00EF7B7F"/>
    <w:rsid w:val="00F02194"/>
    <w:rsid w:val="00F02530"/>
    <w:rsid w:val="00F02BF2"/>
    <w:rsid w:val="00F0315A"/>
    <w:rsid w:val="00F0579D"/>
    <w:rsid w:val="00F15554"/>
    <w:rsid w:val="00F24063"/>
    <w:rsid w:val="00F24BC1"/>
    <w:rsid w:val="00F251D5"/>
    <w:rsid w:val="00F25445"/>
    <w:rsid w:val="00F25B05"/>
    <w:rsid w:val="00F2676C"/>
    <w:rsid w:val="00F35A8A"/>
    <w:rsid w:val="00F37072"/>
    <w:rsid w:val="00F42D68"/>
    <w:rsid w:val="00F50321"/>
    <w:rsid w:val="00F50CA3"/>
    <w:rsid w:val="00F544EB"/>
    <w:rsid w:val="00F5797F"/>
    <w:rsid w:val="00F63AD7"/>
    <w:rsid w:val="00F657C5"/>
    <w:rsid w:val="00F660FF"/>
    <w:rsid w:val="00F66BD0"/>
    <w:rsid w:val="00F716A1"/>
    <w:rsid w:val="00F72B32"/>
    <w:rsid w:val="00F754D9"/>
    <w:rsid w:val="00F75FDF"/>
    <w:rsid w:val="00F7794C"/>
    <w:rsid w:val="00F8261A"/>
    <w:rsid w:val="00F85732"/>
    <w:rsid w:val="00F86C9B"/>
    <w:rsid w:val="00F927B7"/>
    <w:rsid w:val="00F94446"/>
    <w:rsid w:val="00F9474F"/>
    <w:rsid w:val="00F9525D"/>
    <w:rsid w:val="00F96EF0"/>
    <w:rsid w:val="00F97438"/>
    <w:rsid w:val="00F976E6"/>
    <w:rsid w:val="00F97A11"/>
    <w:rsid w:val="00FA0E12"/>
    <w:rsid w:val="00FA1AA0"/>
    <w:rsid w:val="00FA2E89"/>
    <w:rsid w:val="00FA4C43"/>
    <w:rsid w:val="00FA4C91"/>
    <w:rsid w:val="00FA63F1"/>
    <w:rsid w:val="00FA77ED"/>
    <w:rsid w:val="00FA7CF2"/>
    <w:rsid w:val="00FB279C"/>
    <w:rsid w:val="00FB7B0A"/>
    <w:rsid w:val="00FC0B8A"/>
    <w:rsid w:val="00FC10B6"/>
    <w:rsid w:val="00FC222E"/>
    <w:rsid w:val="00FC32ED"/>
    <w:rsid w:val="00FC3437"/>
    <w:rsid w:val="00FC461B"/>
    <w:rsid w:val="00FC4847"/>
    <w:rsid w:val="00FD1525"/>
    <w:rsid w:val="00FD177B"/>
    <w:rsid w:val="00FE2CAF"/>
    <w:rsid w:val="00FE5082"/>
    <w:rsid w:val="00FE6EF2"/>
    <w:rsid w:val="00FE78AA"/>
    <w:rsid w:val="00FF0414"/>
    <w:rsid w:val="00FF0554"/>
    <w:rsid w:val="00FF18BB"/>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EFE36DA5-57D1-4177-A14F-A489FAEE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styleId="UnresolvedMention">
    <w:name w:val="Unresolved Mention"/>
    <w:basedOn w:val="DefaultParagraphFont"/>
    <w:uiPriority w:val="99"/>
    <w:semiHidden/>
    <w:unhideWhenUsed/>
    <w:rsid w:val="0079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6872865">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59582235">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68727182">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86607808">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19643836">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90409962">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4595772">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3620903">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1795035">
      <w:bodyDiv w:val="1"/>
      <w:marLeft w:val="0"/>
      <w:marRight w:val="0"/>
      <w:marTop w:val="0"/>
      <w:marBottom w:val="0"/>
      <w:divBdr>
        <w:top w:val="none" w:sz="0" w:space="0" w:color="auto"/>
        <w:left w:val="none" w:sz="0" w:space="0" w:color="auto"/>
        <w:bottom w:val="none" w:sz="0" w:space="0" w:color="auto"/>
        <w:right w:val="none" w:sz="0" w:space="0" w:color="auto"/>
      </w:divBdr>
    </w:div>
    <w:div w:id="1521309522">
      <w:bodyDiv w:val="1"/>
      <w:marLeft w:val="0"/>
      <w:marRight w:val="0"/>
      <w:marTop w:val="0"/>
      <w:marBottom w:val="0"/>
      <w:divBdr>
        <w:top w:val="none" w:sz="0" w:space="0" w:color="auto"/>
        <w:left w:val="none" w:sz="0" w:space="0" w:color="auto"/>
        <w:bottom w:val="none" w:sz="0" w:space="0" w:color="auto"/>
        <w:right w:val="none" w:sz="0" w:space="0" w:color="auto"/>
      </w:divBdr>
    </w:div>
    <w:div w:id="1595359274">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89932912">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27085616">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5653525">
      <w:bodyDiv w:val="1"/>
      <w:marLeft w:val="0"/>
      <w:marRight w:val="0"/>
      <w:marTop w:val="0"/>
      <w:marBottom w:val="0"/>
      <w:divBdr>
        <w:top w:val="none" w:sz="0" w:space="0" w:color="auto"/>
        <w:left w:val="none" w:sz="0" w:space="0" w:color="auto"/>
        <w:bottom w:val="none" w:sz="0" w:space="0" w:color="auto"/>
        <w:right w:val="none" w:sz="0" w:space="0" w:color="auto"/>
      </w:divBdr>
    </w:div>
    <w:div w:id="1898936724">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9848718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178772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22798739">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naturescot.nexus.objective.co.uk/documents/A3920275/details" TargetMode="External"/><Relationship Id="rId26" Type="http://schemas.openxmlformats.org/officeDocument/2006/relationships/hyperlink" Target="https://naturescot.nexus.objective.co.uk/documents/A4124199/details" TargetMode="External"/><Relationship Id="rId39" Type="http://schemas.openxmlformats.org/officeDocument/2006/relationships/hyperlink" Target="https://naturescot.nexus.objective.co.uk/documents/A3955829/details" TargetMode="External"/><Relationship Id="rId21" Type="http://schemas.openxmlformats.org/officeDocument/2006/relationships/image" Target="media/image6.png"/><Relationship Id="rId34" Type="http://schemas.openxmlformats.org/officeDocument/2006/relationships/hyperlink" Target="https://naturescot.nexus.objective.co.uk/documents/A3919298/details" TargetMode="External"/><Relationship Id="rId42" Type="http://schemas.openxmlformats.org/officeDocument/2006/relationships/image" Target="media/image16.png"/><Relationship Id="rId47" Type="http://schemas.openxmlformats.org/officeDocument/2006/relationships/image" Target="media/image20.png"/><Relationship Id="rId50" Type="http://schemas.openxmlformats.org/officeDocument/2006/relationships/image" Target="media/image23.emf"/><Relationship Id="rId55" Type="http://schemas.openxmlformats.org/officeDocument/2006/relationships/image" Target="media/image28.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aturescot.nexus.objective.co.uk/documents/A3972998/details" TargetMode="External"/><Relationship Id="rId29" Type="http://schemas.openxmlformats.org/officeDocument/2006/relationships/image" Target="media/image10.png"/><Relationship Id="rId11" Type="http://schemas.openxmlformats.org/officeDocument/2006/relationships/footer" Target="footer1.xml"/><Relationship Id="rId24" Type="http://schemas.openxmlformats.org/officeDocument/2006/relationships/hyperlink" Target="https://naturescot.nexus.objective.co.uk/documents/A3920434/details" TargetMode="External"/><Relationship Id="rId32" Type="http://schemas.openxmlformats.org/officeDocument/2006/relationships/hyperlink" Target="https://naturescot.nexus.objective.co.uk/documents/A3920259/details" TargetMode="External"/><Relationship Id="rId37" Type="http://schemas.openxmlformats.org/officeDocument/2006/relationships/hyperlink" Target="https://naturescot.nexus.objective.co.uk/documents/A3736345/details" TargetMode="External"/><Relationship Id="rId40" Type="http://schemas.openxmlformats.org/officeDocument/2006/relationships/image" Target="media/image15.png"/><Relationship Id="rId45" Type="http://schemas.openxmlformats.org/officeDocument/2006/relationships/hyperlink" Target="https://naturescot.nexus.objective.co.uk/documents/A3920956/details" TargetMode="External"/><Relationship Id="rId53" Type="http://schemas.openxmlformats.org/officeDocument/2006/relationships/image" Target="media/image26.pn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aturescot.nexus.objective.co.uk/documents/A3938660/details" TargetMode="External"/><Relationship Id="rId22" Type="http://schemas.openxmlformats.org/officeDocument/2006/relationships/hyperlink" Target="https://naturescot.nexus.objective.co.uk/documents/A3920272/details" TargetMode="External"/><Relationship Id="rId27" Type="http://schemas.openxmlformats.org/officeDocument/2006/relationships/image" Target="media/image9.png"/><Relationship Id="rId30" Type="http://schemas.openxmlformats.org/officeDocument/2006/relationships/hyperlink" Target="https://naturescot.nexus.objective.co.uk/documents/A3736343/details" TargetMode="External"/><Relationship Id="rId35" Type="http://schemas.openxmlformats.org/officeDocument/2006/relationships/hyperlink" Target="https://naturescot.nexus.objective.co.uk/documents/A3736341/details" TargetMode="External"/><Relationship Id="rId43" Type="http://schemas.openxmlformats.org/officeDocument/2006/relationships/image" Target="media/image17.png"/><Relationship Id="rId48" Type="http://schemas.openxmlformats.org/officeDocument/2006/relationships/image" Target="media/image21.png"/><Relationship Id="rId56" Type="http://schemas.openxmlformats.org/officeDocument/2006/relationships/image" Target="media/image29.png"/><Relationship Id="rId8" Type="http://schemas.openxmlformats.org/officeDocument/2006/relationships/endnotes" Target="endnotes.xml"/><Relationship Id="rId51" Type="http://schemas.openxmlformats.org/officeDocument/2006/relationships/image" Target="media/image24.png"/><Relationship Id="rId3" Type="http://schemas.openxmlformats.org/officeDocument/2006/relationships/numbering" Target="numbering.xml"/><Relationship Id="rId12" Type="http://schemas.openxmlformats.org/officeDocument/2006/relationships/hyperlink" Target="https://naturescot.nexus.objective.co.uk/documents/A3962324/details"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media/image14.png"/><Relationship Id="rId46" Type="http://schemas.openxmlformats.org/officeDocument/2006/relationships/image" Target="media/image19.png"/><Relationship Id="rId59" Type="http://schemas.openxmlformats.org/officeDocument/2006/relationships/theme" Target="theme/theme1.xml"/><Relationship Id="rId20" Type="http://schemas.openxmlformats.org/officeDocument/2006/relationships/hyperlink" Target="https://naturescot.nexus.objective.co.uk/documents/A3918504/details" TargetMode="External"/><Relationship Id="rId41" Type="http://schemas.openxmlformats.org/officeDocument/2006/relationships/hyperlink" Target="https://naturescot.nexus.objective.co.uk/documents/A3724366/details" TargetMode="External"/><Relationship Id="rId54"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s://naturescot.nexus.objective.co.uk/documents/A3736347/details" TargetMode="External"/><Relationship Id="rId36" Type="http://schemas.openxmlformats.org/officeDocument/2006/relationships/image" Target="media/image13.png"/><Relationship Id="rId49" Type="http://schemas.openxmlformats.org/officeDocument/2006/relationships/image" Target="media/image22.png"/><Relationship Id="rId57" Type="http://schemas.openxmlformats.org/officeDocument/2006/relationships/footer" Target="footer2.xml"/><Relationship Id="rId10" Type="http://schemas.openxmlformats.org/officeDocument/2006/relationships/header" Target="header1.xml"/><Relationship Id="rId31" Type="http://schemas.openxmlformats.org/officeDocument/2006/relationships/image" Target="media/image11.png"/><Relationship Id="rId44" Type="http://schemas.openxmlformats.org/officeDocument/2006/relationships/image" Target="media/image18.png"/><Relationship Id="rId52"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A4558306</value>
    </field>
    <field name="Objective-Title">
      <value order="0">E.08i Board of NatureScot Meeting - 14 May 2024 - Q4 2023-24 Performance Report - Web version</value>
    </field>
    <field name="Objective-Description">
      <value order="0"/>
    </field>
    <field name="Objective-CreationStamp">
      <value order="0">2024-05-08T11:16:56Z</value>
    </field>
    <field name="Objective-IsApproved">
      <value order="0">false</value>
    </field>
    <field name="Objective-IsPublished">
      <value order="0">true</value>
    </field>
    <field name="Objective-DatePublished">
      <value order="0">2024-05-08T11:17:01Z</value>
    </field>
    <field name="Objective-ModificationStamp">
      <value order="0">2024-05-08T11:17:38Z</value>
    </field>
    <field name="Objective-Owner">
      <value order="0">Mary-Anne Thomson</value>
    </field>
    <field name="Objective-Path">
      <value order="0">Objective Global Folder:NatureScot Fileplan:MAN - Management:EO - Executive Office:BD - Board:SNH Board - Meetings:Board of NatureScot Meetings - 2024:212 - Board of NatureScot - 14 May 2024</value>
    </field>
    <field name="Objective-Parent">
      <value order="0">212 - Board of NatureScot - 14 May 2024</value>
    </field>
    <field name="Objective-State">
      <value order="0">Published</value>
    </field>
    <field name="Objective-VersionId">
      <value order="0">vA7996983</value>
    </field>
    <field name="Objective-Version">
      <value order="0">1.0</value>
    </field>
    <field name="Objective-VersionNumber">
      <value order="0">1</value>
    </field>
    <field name="Objective-VersionComment">
      <value order="0"/>
    </field>
    <field name="Objective-FileNumber">
      <value order="0">qA183245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08419304-F2BC-4739-AFBA-06B7B75E5C2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7233</Words>
  <Characters>41232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2024-05-09T10:30:00Z</dcterms:created>
  <dcterms:modified xsi:type="dcterms:W3CDTF">2024-05-09T10:30:00Z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A4558306</vt:lpwstr>
  </property>
  <property fmtid="{D5CDD505-2E9C-101B-9397-08002B2CF9AE}" pid="18" name="Objective-Title">
    <vt:lpwstr>E.08i Board of NatureScot Meeting - 14 May 2024 - Q4 2023-24 Performance Report - Web version</vt:lpwstr>
  </property>
  <property fmtid="{D5CDD505-2E9C-101B-9397-08002B2CF9AE}" pid="19" name="Objective-Description">
    <vt:lpwstr/>
  </property>
  <property fmtid="{D5CDD505-2E9C-101B-9397-08002B2CF9AE}" pid="20" name="Objective-CreationStamp">
    <vt:filetime>2024-05-08T11:16:56Z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2024-05-08T11:17:01Z</vt:filetime>
  </property>
  <property fmtid="{D5CDD505-2E9C-101B-9397-08002B2CF9AE}" pid="24" name="Objective-ModificationStamp">
    <vt:filetime>2024-05-08T11:17:38Z</vt:filetime>
  </property>
  <property fmtid="{D5CDD505-2E9C-101B-9397-08002B2CF9AE}" pid="25" name="Objective-Owner">
    <vt:lpwstr>Mary-Anne Thomson</vt:lpwstr>
  </property>
  <property fmtid="{D5CDD505-2E9C-101B-9397-08002B2CF9AE}" pid="26" name="Objective-Path">
    <vt:lpwstr>Objective Global Folder:NatureScot Fileplan:MAN - Management:EO - Executive Office:BD - Board:SNH Board - Meetings:Board of NatureScot Meetings - 2024:212 - Board of NatureScot - 14 May 2024</vt:lpwstr>
  </property>
  <property fmtid="{D5CDD505-2E9C-101B-9397-08002B2CF9AE}" pid="27" name="Objective-Parent">
    <vt:lpwstr>212 - Board of NatureScot - 14 May 2024</vt:lpwstr>
  </property>
  <property fmtid="{D5CDD505-2E9C-101B-9397-08002B2CF9AE}" pid="28" name="Objective-State">
    <vt:lpwstr>Published</vt:lpwstr>
  </property>
  <property fmtid="{D5CDD505-2E9C-101B-9397-08002B2CF9AE}" pid="29" name="Objective-VersionId">
    <vt:lpwstr>vA7996983</vt:lpwstr>
  </property>
  <property fmtid="{D5CDD505-2E9C-101B-9397-08002B2CF9AE}" pid="30" name="Objective-Version">
    <vt:lpwstr>1.0</vt:lpwstr>
  </property>
  <property fmtid="{D5CDD505-2E9C-101B-9397-08002B2CF9AE}" pid="31" name="Objective-VersionNumber">
    <vt:r8>1</vt:r8>
  </property>
  <property fmtid="{D5CDD505-2E9C-101B-9397-08002B2CF9AE}" pid="32" name="Objective-VersionComment">
    <vt:lpwstr/>
  </property>
  <property fmtid="{D5CDD505-2E9C-101B-9397-08002B2CF9AE}" pid="33" name="Objective-FileNumber">
    <vt:lpwstr>qA183245</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ies>
</file>