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FC18" w14:textId="71FE71FA" w:rsidR="00506E5C" w:rsidRPr="008D20BE" w:rsidRDefault="003A0BAA" w:rsidP="008D20B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4DD0750E"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8D20BE">
        <w:rPr>
          <w:rFonts w:ascii="Calibri" w:hAnsi="Calibri" w:cs="Calibri"/>
          <w:sz w:val="24"/>
          <w:szCs w:val="24"/>
        </w:rPr>
        <w:t>Q</w:t>
      </w:r>
      <w:r w:rsidR="00AB59AE">
        <w:rPr>
          <w:rFonts w:ascii="Calibri" w:hAnsi="Calibri" w:cs="Calibri"/>
          <w:sz w:val="24"/>
          <w:szCs w:val="24"/>
        </w:rPr>
        <w:t>3</w:t>
      </w:r>
      <w:r w:rsidR="008D20BE">
        <w:rPr>
          <w:rFonts w:ascii="Calibri" w:hAnsi="Calibri" w:cs="Calibri"/>
          <w:sz w:val="24"/>
          <w:szCs w:val="24"/>
        </w:rPr>
        <w:t xml:space="preserve"> Performance Report 2023/24</w:t>
      </w:r>
      <w:r w:rsidRPr="003E22BB">
        <w:rPr>
          <w:rFonts w:ascii="Calibri" w:hAnsi="Calibri" w:cs="Calibri"/>
          <w:sz w:val="24"/>
          <w:szCs w:val="24"/>
        </w:rPr>
        <w:tab/>
      </w:r>
    </w:p>
    <w:p w14:paraId="3B0061CC" w14:textId="5EC42E64" w:rsidR="00FB472A"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1D34C7">
        <w:rPr>
          <w:rFonts w:cstheme="minorHAnsi"/>
          <w:b/>
          <w:color w:val="000000" w:themeColor="text1"/>
        </w:rPr>
        <w:t>7</w:t>
      </w:r>
      <w:r w:rsidR="001D34C7" w:rsidRPr="001D34C7">
        <w:rPr>
          <w:rFonts w:cstheme="minorHAnsi"/>
          <w:b/>
          <w:color w:val="000000" w:themeColor="text1"/>
          <w:vertAlign w:val="superscript"/>
        </w:rPr>
        <w:t>th</w:t>
      </w:r>
      <w:r w:rsidR="001D34C7">
        <w:rPr>
          <w:rFonts w:cstheme="minorHAnsi"/>
          <w:b/>
          <w:color w:val="000000" w:themeColor="text1"/>
        </w:rPr>
        <w:t xml:space="preserve"> February</w:t>
      </w:r>
      <w:r w:rsidR="00334AFF">
        <w:rPr>
          <w:rFonts w:cstheme="minorHAnsi"/>
          <w:b/>
          <w:color w:val="000000" w:themeColor="text1"/>
        </w:rPr>
        <w:t xml:space="preserve"> </w:t>
      </w:r>
      <w:r w:rsidR="008D20BE">
        <w:rPr>
          <w:rFonts w:cstheme="minorHAnsi"/>
          <w:b/>
          <w:color w:val="000000" w:themeColor="text1"/>
        </w:rPr>
        <w:t>202</w:t>
      </w:r>
      <w:r w:rsidR="00334AFF">
        <w:rPr>
          <w:rFonts w:cstheme="minorHAnsi"/>
          <w:b/>
          <w:color w:val="000000" w:themeColor="text1"/>
        </w:rPr>
        <w:t>4</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469"/>
      </w:tblGrid>
      <w:tr w:rsidR="005D0E4E" w:rsidRPr="005D0E4E" w14:paraId="20BAAF19" w14:textId="77777777" w:rsidTr="001428C1">
        <w:trPr>
          <w:tblHeader/>
        </w:trPr>
        <w:tc>
          <w:tcPr>
            <w:tcW w:w="2694" w:type="dxa"/>
          </w:tcPr>
          <w:p w14:paraId="36567900" w14:textId="4E40470D" w:rsidR="005D0E4E" w:rsidRPr="005D0E4E" w:rsidRDefault="005D0E4E" w:rsidP="001428C1">
            <w:pPr>
              <w:spacing w:after="0" w:line="240" w:lineRule="auto"/>
              <w:rPr>
                <w:szCs w:val="24"/>
              </w:rPr>
            </w:pPr>
            <w:r w:rsidRPr="005D0E4E">
              <w:rPr>
                <w:rStyle w:val="Heading3Char"/>
                <w:rFonts w:ascii="Calibri" w:hAnsi="Calibri" w:cs="Calibri"/>
                <w:b/>
                <w:color w:val="auto"/>
              </w:rPr>
              <w:t>Purpose:</w:t>
            </w:r>
          </w:p>
        </w:tc>
        <w:tc>
          <w:tcPr>
            <w:tcW w:w="6469" w:type="dxa"/>
          </w:tcPr>
          <w:p w14:paraId="2E6CD882" w14:textId="352CF8FF" w:rsidR="005D0E4E" w:rsidRPr="00C04412" w:rsidRDefault="0032429D" w:rsidP="001428C1">
            <w:pPr>
              <w:spacing w:after="0" w:line="240" w:lineRule="auto"/>
              <w:contextualSpacing/>
              <w:rPr>
                <w:rFonts w:ascii="Calibri" w:eastAsia="Arial" w:hAnsi="Calibri" w:cs="Times New Roman"/>
                <w:szCs w:val="24"/>
              </w:rPr>
            </w:pPr>
            <w:r w:rsidRPr="00C04412">
              <w:rPr>
                <w:rFonts w:ascii="Calibri" w:eastAsia="Arial" w:hAnsi="Calibri" w:cs="Times New Roman"/>
                <w:szCs w:val="24"/>
              </w:rPr>
              <w:t>Decision</w:t>
            </w:r>
          </w:p>
        </w:tc>
      </w:tr>
      <w:tr w:rsidR="005D0E4E" w:rsidRPr="005D0E4E" w14:paraId="13CE33D4" w14:textId="77777777" w:rsidTr="001428C1">
        <w:tc>
          <w:tcPr>
            <w:tcW w:w="2694" w:type="dxa"/>
          </w:tcPr>
          <w:p w14:paraId="34DC0A94" w14:textId="1FAE133F" w:rsidR="005D0E4E" w:rsidRPr="005D0E4E" w:rsidRDefault="005D0E4E" w:rsidP="001428C1">
            <w:pPr>
              <w:spacing w:after="0" w:line="240" w:lineRule="auto"/>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6DC33AD2" w:rsidR="005D0E4E" w:rsidRPr="00C04412" w:rsidRDefault="008D20BE" w:rsidP="001428C1">
            <w:pPr>
              <w:spacing w:after="0" w:line="240" w:lineRule="auto"/>
              <w:contextualSpacing/>
              <w:rPr>
                <w:rFonts w:ascii="Calibri" w:eastAsia="Arial" w:hAnsi="Calibri" w:cs="Times New Roman"/>
                <w:szCs w:val="24"/>
              </w:rPr>
            </w:pPr>
            <w:r>
              <w:rPr>
                <w:rFonts w:ascii="Calibri" w:eastAsia="Arial" w:hAnsi="Calibri" w:cs="Times New Roman"/>
                <w:szCs w:val="24"/>
              </w:rPr>
              <w:t>This paper presents Q</w:t>
            </w:r>
            <w:r w:rsidR="0011387D">
              <w:rPr>
                <w:rFonts w:ascii="Calibri" w:eastAsia="Arial" w:hAnsi="Calibri" w:cs="Times New Roman"/>
                <w:szCs w:val="24"/>
              </w:rPr>
              <w:t>3</w:t>
            </w:r>
            <w:r w:rsidRPr="008D20BE">
              <w:rPr>
                <w:rFonts w:ascii="Calibri" w:eastAsia="Arial" w:hAnsi="Calibri" w:cs="Times New Roman"/>
                <w:szCs w:val="24"/>
              </w:rPr>
              <w:t xml:space="preserve"> progress towards delivery of our corporate priorities as laid out in our Business Plan, A Nature-rich future for all: Year 2.</w:t>
            </w:r>
          </w:p>
        </w:tc>
      </w:tr>
      <w:tr w:rsidR="005D0E4E" w:rsidRPr="005D0E4E" w14:paraId="5F6879B4" w14:textId="77777777" w:rsidTr="001428C1">
        <w:tc>
          <w:tcPr>
            <w:tcW w:w="2694" w:type="dxa"/>
          </w:tcPr>
          <w:p w14:paraId="278D0DA3" w14:textId="3D465FF9" w:rsidR="005D0E4E" w:rsidRPr="005D0E4E" w:rsidRDefault="005D0E4E" w:rsidP="00790D99">
            <w:pPr>
              <w:spacing w:after="0" w:line="240" w:lineRule="auto"/>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51EAA42B" w:rsidR="005D0E4E" w:rsidRPr="00D533D1" w:rsidRDefault="008D20BE" w:rsidP="00790D99">
            <w:pPr>
              <w:spacing w:after="0"/>
            </w:pPr>
            <w:r>
              <w:rPr>
                <w:rFonts w:ascii="Calibri" w:eastAsia="Arial" w:hAnsi="Calibri" w:cs="Times New Roman"/>
                <w:szCs w:val="24"/>
              </w:rPr>
              <w:t>At the end of Q</w:t>
            </w:r>
            <w:r w:rsidR="00475D56">
              <w:rPr>
                <w:rFonts w:ascii="Calibri" w:eastAsia="Arial" w:hAnsi="Calibri" w:cs="Times New Roman"/>
                <w:szCs w:val="24"/>
              </w:rPr>
              <w:t>3</w:t>
            </w:r>
            <w:r w:rsidRPr="008D20BE">
              <w:rPr>
                <w:rFonts w:ascii="Calibri" w:eastAsia="Arial" w:hAnsi="Calibri" w:cs="Times New Roman"/>
                <w:szCs w:val="24"/>
              </w:rPr>
              <w:t xml:space="preserve">, performance for </w:t>
            </w:r>
            <w:r w:rsidR="00D533D1">
              <w:rPr>
                <w:rFonts w:ascii="Calibri" w:eastAsia="Arial" w:hAnsi="Calibri" w:cs="Times New Roman"/>
                <w:szCs w:val="24"/>
              </w:rPr>
              <w:t>1</w:t>
            </w:r>
            <w:r w:rsidR="00EB4AD1">
              <w:rPr>
                <w:rFonts w:ascii="Calibri" w:eastAsia="Arial" w:hAnsi="Calibri" w:cs="Times New Roman"/>
                <w:szCs w:val="24"/>
              </w:rPr>
              <w:t>3</w:t>
            </w:r>
            <w:r w:rsidRPr="00A15D6F">
              <w:rPr>
                <w:rFonts w:ascii="Calibri" w:eastAsia="Arial" w:hAnsi="Calibri" w:cs="Times New Roman"/>
                <w:szCs w:val="24"/>
              </w:rPr>
              <w:t xml:space="preserve"> </w:t>
            </w:r>
            <w:r w:rsidRPr="008D20BE">
              <w:rPr>
                <w:rFonts w:ascii="Calibri" w:eastAsia="Arial" w:hAnsi="Calibri" w:cs="Times New Roman"/>
                <w:szCs w:val="24"/>
              </w:rPr>
              <w:t xml:space="preserve">of our 15 Corporate plan objectives </w:t>
            </w:r>
            <w:r w:rsidR="00756BCF">
              <w:rPr>
                <w:rFonts w:ascii="Calibri" w:eastAsia="Arial" w:hAnsi="Calibri" w:cs="Times New Roman"/>
                <w:szCs w:val="24"/>
              </w:rPr>
              <w:t>is</w:t>
            </w:r>
            <w:r w:rsidRPr="008D20BE">
              <w:rPr>
                <w:rFonts w:ascii="Calibri" w:eastAsia="Arial" w:hAnsi="Calibri" w:cs="Times New Roman"/>
                <w:szCs w:val="24"/>
              </w:rPr>
              <w:t xml:space="preserve"> rated as ‘on track’. </w:t>
            </w:r>
            <w:r w:rsidR="00030D53" w:rsidRPr="00283F5C">
              <w:rPr>
                <w:rFonts w:ascii="Calibri" w:eastAsia="Arial" w:hAnsi="Calibri" w:cs="Times New Roman"/>
                <w:szCs w:val="24"/>
              </w:rPr>
              <w:t>O</w:t>
            </w:r>
            <w:r w:rsidR="00030D53" w:rsidRPr="00283F5C">
              <w:rPr>
                <w:rStyle w:val="ui-provider"/>
              </w:rPr>
              <w:t>ur Resource and Capital budgets are currently expected to outturn within tolerance at year end</w:t>
            </w:r>
            <w:r w:rsidR="00283F5C" w:rsidRPr="00283F5C">
              <w:rPr>
                <w:rStyle w:val="ui-provider"/>
              </w:rPr>
              <w:t xml:space="preserve">.  </w:t>
            </w:r>
            <w:r w:rsidR="00E2430A" w:rsidRPr="00E2430A">
              <w:rPr>
                <w:rStyle w:val="ui-provider"/>
              </w:rPr>
              <w:t>There is minor slippage on</w:t>
            </w:r>
            <w:r w:rsidR="004A47F9">
              <w:rPr>
                <w:rStyle w:val="ui-provider"/>
              </w:rPr>
              <w:t xml:space="preserve"> overall</w:t>
            </w:r>
            <w:r w:rsidR="00E2430A" w:rsidRPr="00E2430A">
              <w:rPr>
                <w:rStyle w:val="ui-provider"/>
              </w:rPr>
              <w:t xml:space="preserve"> </w:t>
            </w:r>
            <w:r w:rsidR="00E2430A">
              <w:rPr>
                <w:rStyle w:val="ui-provider"/>
              </w:rPr>
              <w:t>I</w:t>
            </w:r>
            <w:r w:rsidR="00E2430A" w:rsidRPr="00E2430A">
              <w:rPr>
                <w:rStyle w:val="ui-provider"/>
              </w:rPr>
              <w:t xml:space="preserve">ndirect </w:t>
            </w:r>
            <w:r w:rsidR="00E2430A">
              <w:rPr>
                <w:rStyle w:val="ui-provider"/>
              </w:rPr>
              <w:t>C</w:t>
            </w:r>
            <w:r w:rsidR="00E2430A" w:rsidRPr="00E2430A">
              <w:rPr>
                <w:rStyle w:val="ui-provider"/>
              </w:rPr>
              <w:t>apital and we are continuing to manage and monitor the larger programmes to ensure that full budget spend is achieved</w:t>
            </w:r>
            <w:r w:rsidR="00030D53" w:rsidRPr="00283F5C">
              <w:rPr>
                <w:rStyle w:val="ui-provider"/>
              </w:rPr>
              <w:t xml:space="preserve">.  </w:t>
            </w:r>
            <w:r w:rsidR="00D533D1" w:rsidRPr="00D533D1">
              <w:rPr>
                <w:rFonts w:ascii="Calibri" w:eastAsia="Arial" w:hAnsi="Calibri" w:cs="Times New Roman"/>
                <w:szCs w:val="24"/>
              </w:rPr>
              <w:t xml:space="preserve">There </w:t>
            </w:r>
            <w:r w:rsidR="006B742B">
              <w:rPr>
                <w:rFonts w:ascii="Calibri" w:eastAsia="Arial" w:hAnsi="Calibri" w:cs="Times New Roman"/>
                <w:szCs w:val="24"/>
              </w:rPr>
              <w:t>was some movement in our</w:t>
            </w:r>
            <w:r w:rsidR="00D533D1" w:rsidRPr="00D533D1">
              <w:rPr>
                <w:rFonts w:ascii="Calibri" w:eastAsia="Arial" w:hAnsi="Calibri" w:cs="Times New Roman"/>
                <w:szCs w:val="24"/>
              </w:rPr>
              <w:t xml:space="preserve"> corporate risk scores </w:t>
            </w:r>
            <w:r w:rsidR="006B742B">
              <w:rPr>
                <w:rFonts w:ascii="Calibri" w:eastAsia="Arial" w:hAnsi="Calibri" w:cs="Times New Roman"/>
                <w:szCs w:val="24"/>
              </w:rPr>
              <w:t>during the</w:t>
            </w:r>
            <w:r w:rsidR="00D533D1" w:rsidRPr="00D533D1">
              <w:rPr>
                <w:rFonts w:ascii="Calibri" w:eastAsia="Arial" w:hAnsi="Calibri" w:cs="Times New Roman"/>
                <w:szCs w:val="24"/>
              </w:rPr>
              <w:t xml:space="preserve"> quarter</w:t>
            </w:r>
            <w:r w:rsidR="006B742B">
              <w:rPr>
                <w:rFonts w:ascii="Calibri" w:eastAsia="Arial" w:hAnsi="Calibri" w:cs="Times New Roman"/>
                <w:szCs w:val="24"/>
              </w:rPr>
              <w:t xml:space="preserve">. </w:t>
            </w:r>
            <w:r w:rsidR="00D533D1" w:rsidRPr="00D533D1">
              <w:rPr>
                <w:rFonts w:ascii="Calibri" w:eastAsia="Arial" w:hAnsi="Calibri" w:cs="Times New Roman"/>
                <w:szCs w:val="24"/>
              </w:rPr>
              <w:t>Risk “393 – Future Funding of NatureScot” increased from high to very high</w:t>
            </w:r>
            <w:r w:rsidR="004A47F9">
              <w:rPr>
                <w:rFonts w:ascii="Calibri" w:eastAsia="Arial" w:hAnsi="Calibri" w:cs="Times New Roman"/>
                <w:szCs w:val="24"/>
              </w:rPr>
              <w:t xml:space="preserve"> given uncertainty of outlook</w:t>
            </w:r>
            <w:r w:rsidR="006B742B">
              <w:rPr>
                <w:rFonts w:ascii="Calibri" w:eastAsia="Arial" w:hAnsi="Calibri" w:cs="Times New Roman"/>
                <w:szCs w:val="24"/>
              </w:rPr>
              <w:t xml:space="preserve"> during November</w:t>
            </w:r>
            <w:r w:rsidR="004A47F9">
              <w:rPr>
                <w:rFonts w:ascii="Calibri" w:eastAsia="Arial" w:hAnsi="Calibri" w:cs="Times New Roman"/>
                <w:szCs w:val="24"/>
              </w:rPr>
              <w:t xml:space="preserve"> </w:t>
            </w:r>
            <w:r w:rsidR="00EB4AD1">
              <w:rPr>
                <w:rFonts w:ascii="Calibri" w:eastAsia="Arial" w:hAnsi="Calibri" w:cs="Times New Roman"/>
                <w:szCs w:val="24"/>
              </w:rPr>
              <w:t>but this has now reverted to high following the Budget announcement</w:t>
            </w:r>
            <w:r w:rsidR="004A47F9">
              <w:rPr>
                <w:rFonts w:ascii="Calibri" w:eastAsia="Arial" w:hAnsi="Calibri" w:cs="Times New Roman"/>
                <w:szCs w:val="24"/>
              </w:rPr>
              <w:t>.</w:t>
            </w:r>
            <w:r w:rsidR="00D533D1">
              <w:t xml:space="preserve"> </w:t>
            </w:r>
            <w:r w:rsidRPr="000402DB">
              <w:rPr>
                <w:rFonts w:ascii="Calibri" w:eastAsia="Arial" w:hAnsi="Calibri" w:cs="Times New Roman"/>
                <w:szCs w:val="24"/>
              </w:rPr>
              <w:t xml:space="preserve">In the People Report, </w:t>
            </w:r>
            <w:r w:rsidR="000402DB" w:rsidRPr="000402DB">
              <w:rPr>
                <w:rFonts w:ascii="Calibri" w:eastAsia="Arial" w:hAnsi="Calibri" w:cs="Times New Roman"/>
                <w:szCs w:val="24"/>
              </w:rPr>
              <w:t>three</w:t>
            </w:r>
            <w:r w:rsidRPr="000402DB">
              <w:rPr>
                <w:rFonts w:ascii="Calibri" w:eastAsia="Arial" w:hAnsi="Calibri" w:cs="Times New Roman"/>
                <w:szCs w:val="24"/>
              </w:rPr>
              <w:t xml:space="preserve"> of the </w:t>
            </w:r>
            <w:r w:rsidR="00A4300C" w:rsidRPr="000402DB">
              <w:rPr>
                <w:rFonts w:ascii="Calibri" w:eastAsia="Arial" w:hAnsi="Calibri" w:cs="Times New Roman"/>
                <w:szCs w:val="24"/>
              </w:rPr>
              <w:t>seven</w:t>
            </w:r>
            <w:r w:rsidRPr="000402DB">
              <w:rPr>
                <w:rFonts w:ascii="Calibri" w:eastAsia="Arial" w:hAnsi="Calibri" w:cs="Times New Roman"/>
                <w:szCs w:val="24"/>
              </w:rPr>
              <w:t xml:space="preserve"> indicators are green and </w:t>
            </w:r>
            <w:r w:rsidR="000402DB" w:rsidRPr="000402DB">
              <w:rPr>
                <w:rFonts w:ascii="Calibri" w:eastAsia="Arial" w:hAnsi="Calibri" w:cs="Times New Roman"/>
                <w:szCs w:val="24"/>
              </w:rPr>
              <w:t>four</w:t>
            </w:r>
            <w:r w:rsidRPr="000402DB">
              <w:rPr>
                <w:rFonts w:ascii="Calibri" w:eastAsia="Arial" w:hAnsi="Calibri" w:cs="Times New Roman"/>
                <w:szCs w:val="24"/>
              </w:rPr>
              <w:t xml:space="preserve"> </w:t>
            </w:r>
            <w:r w:rsidR="00A4300C" w:rsidRPr="000402DB">
              <w:rPr>
                <w:rFonts w:ascii="Calibri" w:eastAsia="Arial" w:hAnsi="Calibri" w:cs="Times New Roman"/>
                <w:szCs w:val="24"/>
              </w:rPr>
              <w:t>are</w:t>
            </w:r>
            <w:r w:rsidRPr="000402DB">
              <w:rPr>
                <w:rFonts w:ascii="Calibri" w:eastAsia="Arial" w:hAnsi="Calibri" w:cs="Times New Roman"/>
                <w:szCs w:val="24"/>
              </w:rPr>
              <w:t xml:space="preserve"> amber.</w:t>
            </w:r>
          </w:p>
        </w:tc>
      </w:tr>
      <w:tr w:rsidR="005D0E4E" w:rsidRPr="005D0E4E" w14:paraId="54B0CF3D" w14:textId="77777777" w:rsidTr="001428C1">
        <w:tc>
          <w:tcPr>
            <w:tcW w:w="2694" w:type="dxa"/>
          </w:tcPr>
          <w:p w14:paraId="2D2BC4B2" w14:textId="6D6BB7EC" w:rsidR="005D0E4E" w:rsidRPr="005D0E4E" w:rsidRDefault="005D0E4E" w:rsidP="001428C1">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03259AD0" w14:textId="5B44ADB0" w:rsidR="005D0E4E" w:rsidRPr="00C04412"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To agree the recommendations below</w:t>
            </w:r>
          </w:p>
        </w:tc>
      </w:tr>
      <w:tr w:rsidR="005D0E4E" w:rsidRPr="005D0E4E" w14:paraId="187A143B" w14:textId="77777777" w:rsidTr="001428C1">
        <w:tc>
          <w:tcPr>
            <w:tcW w:w="2694" w:type="dxa"/>
          </w:tcPr>
          <w:p w14:paraId="1E0B416A" w14:textId="5808D500" w:rsidR="005D0E4E" w:rsidRPr="005D0E4E" w:rsidRDefault="005D0E4E" w:rsidP="001428C1">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91134C2" w14:textId="71122DF0" w:rsidR="002D5461" w:rsidRPr="008D20BE" w:rsidRDefault="00881E02" w:rsidP="002D5461">
            <w:pPr>
              <w:spacing w:after="0" w:line="240" w:lineRule="auto"/>
              <w:rPr>
                <w:rFonts w:ascii="Calibri" w:eastAsia="Arial" w:hAnsi="Calibri" w:cs="Times New Roman"/>
                <w:i/>
                <w:szCs w:val="24"/>
              </w:rPr>
            </w:pPr>
            <w:r>
              <w:rPr>
                <w:rFonts w:ascii="Calibri" w:eastAsia="Arial" w:hAnsi="Calibri" w:cs="Times New Roman"/>
                <w:szCs w:val="24"/>
              </w:rPr>
              <w:t xml:space="preserve">The </w:t>
            </w:r>
            <w:r w:rsidR="002D5461">
              <w:rPr>
                <w:rFonts w:ascii="Calibri" w:eastAsia="Arial" w:hAnsi="Calibri" w:cs="Times New Roman"/>
                <w:szCs w:val="24"/>
              </w:rPr>
              <w:t>Board</w:t>
            </w:r>
            <w:r w:rsidR="002D5461" w:rsidRPr="008D20BE">
              <w:rPr>
                <w:rFonts w:ascii="Calibri" w:eastAsia="Arial" w:hAnsi="Calibri" w:cs="Times New Roman"/>
                <w:szCs w:val="24"/>
              </w:rPr>
              <w:t xml:space="preserve"> </w:t>
            </w:r>
            <w:r>
              <w:rPr>
                <w:rFonts w:ascii="Calibri" w:eastAsia="Arial" w:hAnsi="Calibri" w:cs="Times New Roman"/>
                <w:szCs w:val="24"/>
              </w:rPr>
              <w:t>is</w:t>
            </w:r>
            <w:r w:rsidR="002D5461" w:rsidRPr="008D20BE">
              <w:rPr>
                <w:rFonts w:ascii="Calibri" w:eastAsia="Arial" w:hAnsi="Calibri" w:cs="Times New Roman"/>
                <w:szCs w:val="24"/>
              </w:rPr>
              <w:t xml:space="preserve"> asked to</w:t>
            </w:r>
            <w:r w:rsidR="002D5461">
              <w:rPr>
                <w:rFonts w:ascii="Calibri" w:eastAsia="Arial" w:hAnsi="Calibri" w:cs="Times New Roman"/>
                <w:szCs w:val="24"/>
              </w:rPr>
              <w:t xml:space="preserve"> </w:t>
            </w:r>
            <w:r>
              <w:rPr>
                <w:rFonts w:ascii="Calibri" w:eastAsia="Arial" w:hAnsi="Calibri" w:cs="Times New Roman"/>
                <w:szCs w:val="24"/>
              </w:rPr>
              <w:t>approve</w:t>
            </w:r>
            <w:r w:rsidR="002D5461" w:rsidRPr="008D20BE">
              <w:rPr>
                <w:rFonts w:ascii="Calibri" w:eastAsia="Arial" w:hAnsi="Calibri" w:cs="Times New Roman"/>
                <w:szCs w:val="24"/>
              </w:rPr>
              <w:t>:</w:t>
            </w:r>
          </w:p>
          <w:p w14:paraId="6421C839" w14:textId="77777777" w:rsidR="002D5461" w:rsidRPr="008D20BE" w:rsidRDefault="002D5461" w:rsidP="002D5461">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Pr="008D20BE">
              <w:rPr>
                <w:rFonts w:ascii="Calibri" w:eastAsia="Arial" w:hAnsi="Calibri" w:cs="Times New Roman"/>
                <w:szCs w:val="24"/>
              </w:rPr>
              <w:t>he overall performance of the Corporate Plan objectives (Performance Report)</w:t>
            </w:r>
          </w:p>
          <w:p w14:paraId="7F0B1310" w14:textId="77777777" w:rsidR="002D5461" w:rsidRPr="008D20BE" w:rsidRDefault="002D5461" w:rsidP="002D5461">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Pr="008D20BE">
              <w:rPr>
                <w:rFonts w:ascii="Calibri" w:eastAsia="Arial" w:hAnsi="Calibri" w:cs="Times New Roman"/>
                <w:szCs w:val="24"/>
              </w:rPr>
              <w:t xml:space="preserve">he position of the </w:t>
            </w:r>
            <w:r>
              <w:rPr>
                <w:rFonts w:ascii="Calibri" w:eastAsia="Arial" w:hAnsi="Calibri" w:cs="Times New Roman"/>
                <w:szCs w:val="24"/>
              </w:rPr>
              <w:t>resource</w:t>
            </w:r>
            <w:r w:rsidRPr="008D20BE">
              <w:rPr>
                <w:rFonts w:ascii="Calibri" w:eastAsia="Arial" w:hAnsi="Calibri" w:cs="Times New Roman"/>
                <w:szCs w:val="24"/>
              </w:rPr>
              <w:t xml:space="preserve"> and capital budgets (Finance Report)</w:t>
            </w:r>
          </w:p>
          <w:p w14:paraId="66E73D47" w14:textId="77777777" w:rsidR="002D5461" w:rsidRDefault="002D5461" w:rsidP="002D5461">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Pr="008D20BE">
              <w:rPr>
                <w:rFonts w:ascii="Calibri" w:eastAsia="Arial" w:hAnsi="Calibri" w:cs="Times New Roman"/>
                <w:szCs w:val="24"/>
              </w:rPr>
              <w:t>he performance of the corporate risks (Risk Report)</w:t>
            </w:r>
          </w:p>
          <w:p w14:paraId="30D9395B" w14:textId="5026BF5C" w:rsidR="005D0E4E" w:rsidRPr="008D20BE" w:rsidRDefault="002D5461" w:rsidP="002D5461">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Pr="008D20BE">
              <w:rPr>
                <w:rFonts w:ascii="Calibri" w:eastAsia="Arial" w:hAnsi="Calibri" w:cs="Times New Roman"/>
                <w:szCs w:val="24"/>
              </w:rPr>
              <w:t>he overall performance of the People Measures (People Report)</w:t>
            </w:r>
          </w:p>
        </w:tc>
      </w:tr>
      <w:tr w:rsidR="005D0E4E" w:rsidRPr="005D0E4E" w14:paraId="1611D4CD" w14:textId="77777777" w:rsidTr="001428C1">
        <w:tc>
          <w:tcPr>
            <w:tcW w:w="2694" w:type="dxa"/>
          </w:tcPr>
          <w:p w14:paraId="1E66C971" w14:textId="77777777" w:rsidR="005D0E4E" w:rsidRPr="005D0E4E" w:rsidRDefault="005D0E4E" w:rsidP="001428C1">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7E1E97E6" w:rsidR="005D0E4E" w:rsidRPr="005D0E4E"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Authors – Directors, Deputy Directors, Outcomes Managers, Finance, Planning &amp; Performance Team, People &amp; OD Team</w:t>
            </w:r>
          </w:p>
        </w:tc>
      </w:tr>
      <w:tr w:rsidR="005D0E4E" w:rsidRPr="005D0E4E" w14:paraId="28B18A8B" w14:textId="77777777" w:rsidTr="001428C1">
        <w:tc>
          <w:tcPr>
            <w:tcW w:w="2694" w:type="dxa"/>
          </w:tcPr>
          <w:p w14:paraId="451D6F59" w14:textId="77777777" w:rsidR="005D0E4E" w:rsidRPr="005D0E4E" w:rsidRDefault="005D0E4E" w:rsidP="001428C1">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2704D64A" w:rsidR="005D0E4E" w:rsidRPr="005D0E4E"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Stuart MacQuarrie, Jane Macdonald</w:t>
            </w:r>
          </w:p>
        </w:tc>
      </w:tr>
      <w:tr w:rsidR="00A4300C" w:rsidRPr="00A4300C" w14:paraId="7ECAF5B7" w14:textId="77777777" w:rsidTr="001428C1">
        <w:tc>
          <w:tcPr>
            <w:tcW w:w="2694" w:type="dxa"/>
          </w:tcPr>
          <w:p w14:paraId="3E1CC1B9" w14:textId="66C78079" w:rsidR="005D0E4E" w:rsidRPr="00A4300C" w:rsidRDefault="005D0E4E" w:rsidP="001428C1">
            <w:pPr>
              <w:spacing w:after="0" w:line="240" w:lineRule="auto"/>
              <w:contextualSpacing/>
              <w:rPr>
                <w:rFonts w:ascii="Calibri" w:eastAsia="Arial" w:hAnsi="Calibri" w:cs="Times New Roman"/>
                <w:szCs w:val="24"/>
              </w:rPr>
            </w:pPr>
            <w:r w:rsidRPr="00A4300C">
              <w:rPr>
                <w:rFonts w:ascii="Calibri" w:eastAsia="Arial" w:hAnsi="Calibri" w:cs="Times New Roman"/>
                <w:b/>
                <w:szCs w:val="24"/>
              </w:rPr>
              <w:t>Appendices</w:t>
            </w:r>
            <w:r w:rsidRPr="00A4300C">
              <w:rPr>
                <w:rFonts w:ascii="Calibri" w:eastAsia="Arial" w:hAnsi="Calibri" w:cs="Times New Roman"/>
                <w:szCs w:val="24"/>
              </w:rPr>
              <w:t>: Please note all appendices.</w:t>
            </w:r>
          </w:p>
        </w:tc>
        <w:tc>
          <w:tcPr>
            <w:tcW w:w="6469" w:type="dxa"/>
          </w:tcPr>
          <w:p w14:paraId="7040BE21" w14:textId="478F47D9" w:rsidR="005D0E4E" w:rsidRPr="00A4300C" w:rsidRDefault="002D5461" w:rsidP="002D5461">
            <w:pPr>
              <w:spacing w:after="0" w:line="240" w:lineRule="auto"/>
              <w:contextualSpacing/>
              <w:rPr>
                <w:rFonts w:ascii="Calibri" w:eastAsia="Arial" w:hAnsi="Calibri" w:cs="Times New Roman"/>
                <w:szCs w:val="24"/>
              </w:rPr>
            </w:pPr>
            <w:r>
              <w:rPr>
                <w:rFonts w:ascii="Calibri" w:eastAsia="Arial" w:hAnsi="Calibri" w:cs="Times New Roman"/>
                <w:szCs w:val="24"/>
              </w:rPr>
              <w:t>Annex A – Corporate Risk Register (High Risks)</w:t>
            </w:r>
          </w:p>
        </w:tc>
      </w:tr>
    </w:tbl>
    <w:p w14:paraId="7C66D4DB" w14:textId="1120E314" w:rsidR="003B170D" w:rsidRDefault="003B170D" w:rsidP="003B170D"/>
    <w:p w14:paraId="520FCC13" w14:textId="02374512" w:rsidR="00943F54" w:rsidRDefault="00943F54">
      <w:pPr>
        <w:rPr>
          <w:rFonts w:ascii="Calibri" w:eastAsia="Times New Roman" w:hAnsi="Calibri" w:cs="Calibri"/>
          <w:b/>
          <w:szCs w:val="24"/>
        </w:rPr>
      </w:pPr>
    </w:p>
    <w:p w14:paraId="0382B476" w14:textId="69DCAE18" w:rsidR="008D20BE" w:rsidRPr="00B6615A" w:rsidRDefault="008D20BE" w:rsidP="008D20BE">
      <w:pPr>
        <w:pStyle w:val="Heading2"/>
        <w:rPr>
          <w:rFonts w:ascii="Calibri" w:eastAsia="Times New Roman" w:hAnsi="Calibri" w:cs="Calibri"/>
          <w:szCs w:val="24"/>
        </w:rPr>
      </w:pPr>
      <w:r w:rsidRPr="00B6615A">
        <w:rPr>
          <w:rFonts w:ascii="Calibri" w:eastAsia="Times New Roman" w:hAnsi="Calibri" w:cs="Calibri"/>
          <w:szCs w:val="24"/>
        </w:rPr>
        <w:lastRenderedPageBreak/>
        <w:t xml:space="preserve">Purpose </w:t>
      </w:r>
    </w:p>
    <w:p w14:paraId="4851BC74" w14:textId="6DD391DA" w:rsidR="008D20BE" w:rsidRPr="00CD5336" w:rsidRDefault="008D20BE" w:rsidP="00025C49">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 xml:space="preserve">This paper presents NatureScot’s performance for the </w:t>
      </w:r>
      <w:r w:rsidR="00475D56">
        <w:rPr>
          <w:rFonts w:ascii="Calibri" w:eastAsia="Calibri" w:hAnsi="Calibri" w:cs="Calibri"/>
          <w:szCs w:val="24"/>
        </w:rPr>
        <w:t>third</w:t>
      </w:r>
      <w:r w:rsidRPr="00B6615A">
        <w:rPr>
          <w:rFonts w:ascii="Calibri" w:eastAsia="Calibri" w:hAnsi="Calibri" w:cs="Calibri"/>
          <w:szCs w:val="24"/>
        </w:rPr>
        <w:t xml:space="preserve"> quarter of 20</w:t>
      </w:r>
      <w:r>
        <w:rPr>
          <w:rFonts w:ascii="Calibri" w:eastAsia="Calibri" w:hAnsi="Calibri" w:cs="Calibri"/>
          <w:szCs w:val="24"/>
        </w:rPr>
        <w:t xml:space="preserve">23/24. </w:t>
      </w:r>
      <w:r w:rsidRPr="00B6615A">
        <w:rPr>
          <w:rFonts w:ascii="Calibri" w:eastAsia="Calibri" w:hAnsi="Calibri" w:cs="Calibri"/>
          <w:szCs w:val="24"/>
        </w:rPr>
        <w:t>It addresses delivery of our corporate priorities by reviewing</w:t>
      </w:r>
      <w:r>
        <w:rPr>
          <w:rFonts w:ascii="Calibri" w:eastAsia="Calibri" w:hAnsi="Calibri" w:cs="Calibri"/>
          <w:szCs w:val="24"/>
        </w:rPr>
        <w:t>;</w:t>
      </w:r>
      <w:r w:rsidRPr="00B6615A">
        <w:rPr>
          <w:rFonts w:ascii="Calibri" w:eastAsia="Calibri" w:hAnsi="Calibri" w:cs="Calibri"/>
          <w:szCs w:val="24"/>
        </w:rPr>
        <w:t xml:space="preserve"> the alignment of performance against our Business Plan, </w:t>
      </w:r>
      <w:r>
        <w:rPr>
          <w:rFonts w:ascii="Calibri" w:eastAsia="Calibri" w:hAnsi="Calibri" w:cs="Calibri"/>
          <w:szCs w:val="24"/>
        </w:rPr>
        <w:t>a Nature-rich future for all: Year 2;</w:t>
      </w:r>
      <w:r w:rsidRPr="00B6615A">
        <w:rPr>
          <w:rFonts w:ascii="Calibri" w:eastAsia="Calibri" w:hAnsi="Calibri" w:cs="Calibri"/>
          <w:szCs w:val="24"/>
        </w:rPr>
        <w:t xml:space="preserve"> progress towards </w:t>
      </w:r>
      <w:r>
        <w:rPr>
          <w:rFonts w:ascii="Calibri" w:eastAsia="Calibri" w:hAnsi="Calibri" w:cs="Calibri"/>
          <w:szCs w:val="24"/>
        </w:rPr>
        <w:t>maximising our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and people information </w:t>
      </w:r>
      <w:r w:rsidRPr="00CD5336">
        <w:rPr>
          <w:rFonts w:ascii="Calibri" w:eastAsia="Calibri" w:hAnsi="Calibri" w:cs="Calibri"/>
          <w:color w:val="000000" w:themeColor="text1"/>
          <w:szCs w:val="24"/>
        </w:rPr>
        <w:t>supporting the resourcing of our work.  These</w:t>
      </w:r>
      <w:r w:rsidR="009644AB">
        <w:rPr>
          <w:rFonts w:ascii="Calibri" w:eastAsia="Calibri" w:hAnsi="Calibri" w:cs="Calibri"/>
          <w:color w:val="000000" w:themeColor="text1"/>
          <w:szCs w:val="24"/>
        </w:rPr>
        <w:t xml:space="preserve"> all</w:t>
      </w:r>
      <w:r w:rsidRPr="00CD5336">
        <w:rPr>
          <w:rFonts w:ascii="Calibri" w:eastAsia="Calibri" w:hAnsi="Calibri" w:cs="Calibri"/>
          <w:color w:val="000000" w:themeColor="text1"/>
          <w:szCs w:val="24"/>
        </w:rPr>
        <w:t xml:space="preserve"> support </w:t>
      </w:r>
      <w:r w:rsidR="00EB4AD1">
        <w:rPr>
          <w:rFonts w:ascii="Calibri" w:eastAsia="Calibri" w:hAnsi="Calibri" w:cs="Calibri"/>
          <w:color w:val="000000" w:themeColor="text1"/>
          <w:szCs w:val="24"/>
        </w:rPr>
        <w:t xml:space="preserve">the </w:t>
      </w:r>
      <w:r w:rsidRPr="00CD5336">
        <w:rPr>
          <w:rFonts w:ascii="Calibri" w:eastAsia="Calibri" w:hAnsi="Calibri" w:cs="Calibri"/>
          <w:color w:val="000000" w:themeColor="text1"/>
          <w:szCs w:val="24"/>
        </w:rPr>
        <w:t>delive</w:t>
      </w:r>
      <w:r>
        <w:rPr>
          <w:rFonts w:ascii="Calibri" w:eastAsia="Calibri" w:hAnsi="Calibri" w:cs="Calibri"/>
          <w:color w:val="000000" w:themeColor="text1"/>
          <w:szCs w:val="24"/>
        </w:rPr>
        <w:t>ry of our Corporate Plan 2022-26</w:t>
      </w:r>
      <w:r w:rsidRPr="00CD5336">
        <w:rPr>
          <w:rFonts w:ascii="Calibri" w:eastAsia="Calibri" w:hAnsi="Calibri" w:cs="Calibri"/>
          <w:color w:val="000000" w:themeColor="text1"/>
          <w:szCs w:val="24"/>
        </w:rPr>
        <w:t>, A Nature-rich future for all.</w:t>
      </w:r>
    </w:p>
    <w:p w14:paraId="206CCEE3" w14:textId="213CBBF8" w:rsidR="008D20BE" w:rsidRDefault="008D20BE" w:rsidP="00A4300C">
      <w:pPr>
        <w:pStyle w:val="Heading2"/>
        <w:spacing w:line="276" w:lineRule="auto"/>
        <w:rPr>
          <w:rFonts w:ascii="Calibri" w:eastAsia="Times New Roman" w:hAnsi="Calibri" w:cs="Calibri"/>
          <w:color w:val="000000" w:themeColor="text1"/>
          <w:szCs w:val="24"/>
        </w:rPr>
      </w:pPr>
      <w:r w:rsidRPr="00CD5336">
        <w:rPr>
          <w:rFonts w:ascii="Calibri" w:eastAsia="Times New Roman" w:hAnsi="Calibri" w:cs="Calibri"/>
          <w:color w:val="000000" w:themeColor="text1"/>
          <w:szCs w:val="24"/>
        </w:rPr>
        <w:t>Summary</w:t>
      </w:r>
      <w:r>
        <w:rPr>
          <w:rFonts w:ascii="Calibri" w:eastAsia="Times New Roman" w:hAnsi="Calibri" w:cs="Calibri"/>
          <w:color w:val="000000" w:themeColor="text1"/>
          <w:szCs w:val="24"/>
        </w:rPr>
        <w:t xml:space="preserve"> </w:t>
      </w:r>
    </w:p>
    <w:p w14:paraId="55A8CFA9" w14:textId="22C6B011" w:rsidR="00CD7E05" w:rsidRPr="00F25B05" w:rsidRDefault="00CD7E05" w:rsidP="00F25B05">
      <w:r>
        <w:t>Q3 highlights:</w:t>
      </w:r>
    </w:p>
    <w:p w14:paraId="7895FBC0" w14:textId="31A8ECA6" w:rsidR="00EB4AD1" w:rsidRPr="00DF3056" w:rsidRDefault="00EB4AD1" w:rsidP="00EB4AD1">
      <w:pPr>
        <w:pStyle w:val="ListParagraph"/>
        <w:numPr>
          <w:ilvl w:val="0"/>
          <w:numId w:val="1"/>
        </w:numPr>
        <w:rPr>
          <w:rFonts w:ascii="Calibri" w:hAnsi="Calibri" w:cs="Calibri"/>
        </w:rPr>
      </w:pPr>
      <w:r w:rsidRPr="00DF3056">
        <w:rPr>
          <w:rFonts w:ascii="Calibri" w:hAnsi="Calibri" w:cs="Calibri"/>
        </w:rPr>
        <w:t>We assessed 148 cases</w:t>
      </w:r>
      <w:r>
        <w:rPr>
          <w:rFonts w:ascii="Calibri" w:hAnsi="Calibri" w:cs="Calibri"/>
        </w:rPr>
        <w:t xml:space="preserve"> through the </w:t>
      </w:r>
      <w:r w:rsidRPr="00DF3056">
        <w:rPr>
          <w:rFonts w:ascii="Calibri" w:hAnsi="Calibri" w:cs="Calibri"/>
        </w:rPr>
        <w:t>Agri-Environment Climate Scheme (AECS)</w:t>
      </w:r>
      <w:r>
        <w:rPr>
          <w:rFonts w:ascii="Calibri" w:hAnsi="Calibri" w:cs="Calibri"/>
        </w:rPr>
        <w:t>. The total area of the cases recommended for approval</w:t>
      </w:r>
      <w:r w:rsidRPr="00DF3056">
        <w:rPr>
          <w:rFonts w:ascii="Calibri" w:hAnsi="Calibri" w:cs="Calibri"/>
        </w:rPr>
        <w:t xml:space="preserve"> is approx</w:t>
      </w:r>
      <w:r>
        <w:rPr>
          <w:rFonts w:ascii="Calibri" w:hAnsi="Calibri" w:cs="Calibri"/>
        </w:rPr>
        <w:t>imately</w:t>
      </w:r>
      <w:r w:rsidRPr="00DF3056">
        <w:rPr>
          <w:rFonts w:ascii="Calibri" w:hAnsi="Calibri" w:cs="Calibri"/>
        </w:rPr>
        <w:t xml:space="preserve"> 129k hectares</w:t>
      </w:r>
      <w:r>
        <w:rPr>
          <w:rFonts w:ascii="Calibri" w:hAnsi="Calibri" w:cs="Calibri"/>
        </w:rPr>
        <w:t xml:space="preserve"> which represents around 2% of the total land area of Scotland</w:t>
      </w:r>
      <w:r w:rsidRPr="00DF3056">
        <w:rPr>
          <w:rFonts w:ascii="Calibri" w:hAnsi="Calibri" w:cs="Calibri"/>
        </w:rPr>
        <w:t>. Their value is £6,051,837 if approved in full</w:t>
      </w:r>
      <w:r>
        <w:rPr>
          <w:rFonts w:ascii="Calibri" w:hAnsi="Calibri" w:cs="Calibri"/>
        </w:rPr>
        <w:t xml:space="preserve"> which would represent an excellent investment.</w:t>
      </w:r>
      <w:r w:rsidRPr="00DF3056">
        <w:rPr>
          <w:rFonts w:ascii="Calibri" w:hAnsi="Calibri" w:cs="Calibri"/>
        </w:rPr>
        <w:t xml:space="preserve"> 117 cases are recommended for approval pending SG funding decision</w:t>
      </w:r>
      <w:r>
        <w:rPr>
          <w:rFonts w:ascii="Calibri" w:hAnsi="Calibri" w:cs="Calibri"/>
        </w:rPr>
        <w:t xml:space="preserve"> and cases</w:t>
      </w:r>
      <w:r w:rsidRPr="00DF3056">
        <w:rPr>
          <w:rFonts w:ascii="Calibri" w:hAnsi="Calibri" w:cs="Calibri"/>
        </w:rPr>
        <w:t xml:space="preserve"> that end up below </w:t>
      </w:r>
      <w:r>
        <w:rPr>
          <w:rFonts w:ascii="Calibri" w:hAnsi="Calibri" w:cs="Calibri"/>
        </w:rPr>
        <w:t xml:space="preserve">the </w:t>
      </w:r>
      <w:r w:rsidRPr="00DF3056">
        <w:rPr>
          <w:rFonts w:ascii="Calibri" w:hAnsi="Calibri" w:cs="Calibri"/>
        </w:rPr>
        <w:t xml:space="preserve">threshold score will only get approval for designated site elements. </w:t>
      </w:r>
    </w:p>
    <w:p w14:paraId="12C35DFB" w14:textId="57D8EB47" w:rsidR="00ED496A" w:rsidRPr="00ED496A" w:rsidRDefault="00EB4AD1" w:rsidP="00ED496A">
      <w:pPr>
        <w:pStyle w:val="ListParagraph"/>
        <w:numPr>
          <w:ilvl w:val="0"/>
          <w:numId w:val="1"/>
        </w:numPr>
        <w:spacing w:after="0"/>
        <w:rPr>
          <w:rFonts w:ascii="Calibri" w:eastAsia="Calibri" w:hAnsi="Calibri" w:cs="Calibri"/>
          <w:color w:val="000000" w:themeColor="text1"/>
        </w:rPr>
      </w:pPr>
      <w:r>
        <w:rPr>
          <w:rFonts w:ascii="Calibri" w:eastAsia="Calibri" w:hAnsi="Calibri" w:cs="Calibri"/>
          <w:color w:val="000000" w:themeColor="text1"/>
        </w:rPr>
        <w:t>W</w:t>
      </w:r>
      <w:r w:rsidR="00ED496A">
        <w:rPr>
          <w:rFonts w:ascii="Calibri" w:eastAsia="Calibri" w:hAnsi="Calibri" w:cs="Calibri"/>
          <w:color w:val="000000" w:themeColor="text1"/>
        </w:rPr>
        <w:t>e worked with Scottish Government to launch a m</w:t>
      </w:r>
      <w:r w:rsidR="00ED496A" w:rsidRPr="00ED496A">
        <w:rPr>
          <w:rFonts w:ascii="Calibri" w:eastAsia="Calibri" w:hAnsi="Calibri" w:cs="Calibri"/>
          <w:color w:val="000000" w:themeColor="text1"/>
        </w:rPr>
        <w:t>ajor consultation on</w:t>
      </w:r>
      <w:r w:rsidR="00CD7E05">
        <w:rPr>
          <w:rFonts w:ascii="Calibri" w:eastAsia="Calibri" w:hAnsi="Calibri" w:cs="Calibri"/>
          <w:color w:val="000000" w:themeColor="text1"/>
        </w:rPr>
        <w:t xml:space="preserve"> the</w:t>
      </w:r>
      <w:r w:rsidR="00ED496A" w:rsidRPr="00ED496A">
        <w:rPr>
          <w:rFonts w:ascii="Calibri" w:eastAsia="Calibri" w:hAnsi="Calibri" w:cs="Calibri"/>
          <w:color w:val="000000" w:themeColor="text1"/>
        </w:rPr>
        <w:t xml:space="preserve"> Strategic Biodiversity Framework </w:t>
      </w:r>
      <w:r>
        <w:rPr>
          <w:rFonts w:ascii="Calibri" w:eastAsia="Calibri" w:hAnsi="Calibri" w:cs="Calibri"/>
          <w:color w:val="000000" w:themeColor="text1"/>
        </w:rPr>
        <w:t xml:space="preserve">opening on the </w:t>
      </w:r>
      <w:r w:rsidR="00ED496A" w:rsidRPr="00ED496A">
        <w:rPr>
          <w:rFonts w:ascii="Calibri" w:eastAsia="Calibri" w:hAnsi="Calibri" w:cs="Calibri"/>
          <w:color w:val="000000" w:themeColor="text1"/>
        </w:rPr>
        <w:t>7th September</w:t>
      </w:r>
      <w:r w:rsidR="00ED496A">
        <w:rPr>
          <w:rFonts w:ascii="Calibri" w:eastAsia="Calibri" w:hAnsi="Calibri" w:cs="Calibri"/>
          <w:color w:val="000000" w:themeColor="text1"/>
        </w:rPr>
        <w:t xml:space="preserve"> </w:t>
      </w:r>
      <w:r>
        <w:rPr>
          <w:rFonts w:ascii="Calibri" w:eastAsia="Calibri" w:hAnsi="Calibri" w:cs="Calibri"/>
          <w:color w:val="000000" w:themeColor="text1"/>
        </w:rPr>
        <w:t xml:space="preserve">with a </w:t>
      </w:r>
      <w:r w:rsidR="00ED496A">
        <w:rPr>
          <w:rFonts w:ascii="Calibri" w:eastAsia="Calibri" w:hAnsi="Calibri" w:cs="Calibri"/>
          <w:color w:val="000000" w:themeColor="text1"/>
        </w:rPr>
        <w:t xml:space="preserve">closing date </w:t>
      </w:r>
      <w:r>
        <w:rPr>
          <w:rFonts w:ascii="Calibri" w:eastAsia="Calibri" w:hAnsi="Calibri" w:cs="Calibri"/>
          <w:color w:val="000000" w:themeColor="text1"/>
        </w:rPr>
        <w:t xml:space="preserve">of </w:t>
      </w:r>
      <w:r w:rsidR="00ED496A">
        <w:rPr>
          <w:rFonts w:ascii="Calibri" w:eastAsia="Calibri" w:hAnsi="Calibri" w:cs="Calibri"/>
          <w:color w:val="000000" w:themeColor="text1"/>
        </w:rPr>
        <w:t>14th December</w:t>
      </w:r>
      <w:r w:rsidR="006B742B">
        <w:rPr>
          <w:rFonts w:ascii="Calibri" w:eastAsia="Calibri" w:hAnsi="Calibri" w:cs="Calibri"/>
          <w:color w:val="000000" w:themeColor="text1"/>
        </w:rPr>
        <w:t>,</w:t>
      </w:r>
      <w:r w:rsidR="00ED496A">
        <w:rPr>
          <w:rFonts w:ascii="Calibri" w:eastAsia="Calibri" w:hAnsi="Calibri" w:cs="Calibri"/>
          <w:color w:val="000000" w:themeColor="text1"/>
        </w:rPr>
        <w:t xml:space="preserve"> </w:t>
      </w:r>
      <w:r w:rsidR="00CD7E05">
        <w:rPr>
          <w:rFonts w:ascii="Calibri" w:eastAsia="Calibri" w:hAnsi="Calibri" w:cs="Calibri"/>
          <w:color w:val="000000" w:themeColor="text1"/>
        </w:rPr>
        <w:t>this included:</w:t>
      </w:r>
    </w:p>
    <w:p w14:paraId="6BF923D9" w14:textId="3011B4E8" w:rsidR="00ED496A" w:rsidRPr="00ED496A" w:rsidRDefault="004A47F9" w:rsidP="00ED496A">
      <w:pPr>
        <w:pStyle w:val="ListParagraph"/>
        <w:numPr>
          <w:ilvl w:val="1"/>
          <w:numId w:val="36"/>
        </w:numPr>
        <w:spacing w:after="0"/>
        <w:rPr>
          <w:rFonts w:ascii="Calibri" w:eastAsia="Calibri" w:hAnsi="Calibri" w:cs="Calibri"/>
          <w:color w:val="000000" w:themeColor="text1"/>
        </w:rPr>
      </w:pPr>
      <w:r>
        <w:rPr>
          <w:rFonts w:ascii="Calibri" w:eastAsia="Calibri" w:hAnsi="Calibri" w:cs="Calibri"/>
          <w:color w:val="000000" w:themeColor="text1"/>
        </w:rPr>
        <w:t xml:space="preserve">The </w:t>
      </w:r>
      <w:r w:rsidR="00ED496A" w:rsidRPr="00ED496A">
        <w:rPr>
          <w:rFonts w:ascii="Calibri" w:eastAsia="Calibri" w:hAnsi="Calibri" w:cs="Calibri"/>
          <w:color w:val="000000" w:themeColor="text1"/>
        </w:rPr>
        <w:t>Scottish Biodiversity Strategy, setting out our vision to halt and reverse biodiversity loss;</w:t>
      </w:r>
    </w:p>
    <w:p w14:paraId="4FE1287A" w14:textId="77777777" w:rsidR="00ED496A" w:rsidRPr="00ED496A" w:rsidRDefault="00ED496A" w:rsidP="00ED496A">
      <w:pPr>
        <w:pStyle w:val="ListParagraph"/>
        <w:numPr>
          <w:ilvl w:val="1"/>
          <w:numId w:val="36"/>
        </w:numPr>
        <w:spacing w:after="0"/>
        <w:rPr>
          <w:rFonts w:ascii="Calibri" w:eastAsia="Calibri" w:hAnsi="Calibri" w:cs="Calibri"/>
          <w:color w:val="000000" w:themeColor="text1"/>
        </w:rPr>
      </w:pPr>
      <w:r w:rsidRPr="00ED496A">
        <w:rPr>
          <w:rFonts w:ascii="Calibri" w:eastAsia="Calibri" w:hAnsi="Calibri" w:cs="Calibri"/>
          <w:color w:val="000000" w:themeColor="text1"/>
        </w:rPr>
        <w:t>First five-year Delivery Plan, containing the 150 actions to deliver the vision; and</w:t>
      </w:r>
    </w:p>
    <w:p w14:paraId="0BDAB8D9" w14:textId="6868EE24" w:rsidR="00ED496A" w:rsidRDefault="00ED496A" w:rsidP="00ED496A">
      <w:pPr>
        <w:pStyle w:val="ListParagraph"/>
        <w:numPr>
          <w:ilvl w:val="1"/>
          <w:numId w:val="36"/>
        </w:numPr>
        <w:spacing w:after="0"/>
        <w:rPr>
          <w:rFonts w:ascii="Calibri" w:eastAsia="Calibri" w:hAnsi="Calibri" w:cs="Calibri"/>
          <w:color w:val="000000" w:themeColor="text1"/>
        </w:rPr>
      </w:pPr>
      <w:r w:rsidRPr="00ED496A">
        <w:rPr>
          <w:rFonts w:ascii="Calibri" w:eastAsia="Calibri" w:hAnsi="Calibri" w:cs="Calibri"/>
          <w:color w:val="000000" w:themeColor="text1"/>
        </w:rPr>
        <w:t>Proposed Natural Environment Bill, providing a framework for establishing statutory nature targets to drive delivery and the transformational change we need.</w:t>
      </w:r>
    </w:p>
    <w:p w14:paraId="73DEAE6F" w14:textId="1BB45A74" w:rsidR="0082236E" w:rsidRPr="0082236E" w:rsidRDefault="0082236E" w:rsidP="00D36033">
      <w:pPr>
        <w:pStyle w:val="ListParagraph"/>
        <w:numPr>
          <w:ilvl w:val="0"/>
          <w:numId w:val="1"/>
        </w:numPr>
        <w:spacing w:after="0"/>
        <w:rPr>
          <w:rFonts w:ascii="Calibri" w:eastAsia="Calibri" w:hAnsi="Calibri" w:cs="Calibri"/>
          <w:color w:val="000000" w:themeColor="text1"/>
        </w:rPr>
      </w:pPr>
      <w:r>
        <w:rPr>
          <w:rFonts w:ascii="Calibri" w:eastAsia="Calibri" w:hAnsi="Calibri" w:cs="Calibri"/>
          <w:color w:val="000000" w:themeColor="text1"/>
        </w:rPr>
        <w:t>Looking ahead, a m</w:t>
      </w:r>
      <w:r w:rsidRPr="0082236E">
        <w:rPr>
          <w:rFonts w:ascii="Calibri" w:eastAsia="Calibri" w:hAnsi="Calibri" w:cs="Calibri"/>
          <w:color w:val="000000" w:themeColor="text1"/>
        </w:rPr>
        <w:t>ajor analysis of SBS Consultation responses</w:t>
      </w:r>
      <w:r>
        <w:rPr>
          <w:rFonts w:ascii="Calibri" w:eastAsia="Calibri" w:hAnsi="Calibri" w:cs="Calibri"/>
          <w:color w:val="000000" w:themeColor="text1"/>
        </w:rPr>
        <w:t xml:space="preserve"> will be</w:t>
      </w:r>
      <w:r w:rsidRPr="0082236E">
        <w:rPr>
          <w:rFonts w:ascii="Calibri" w:eastAsia="Calibri" w:hAnsi="Calibri" w:cs="Calibri"/>
          <w:color w:val="000000" w:themeColor="text1"/>
        </w:rPr>
        <w:t xml:space="preserve"> contracted out, but NatureScot will be sighted on and advise on</w:t>
      </w:r>
      <w:r w:rsidR="00CD7E05">
        <w:rPr>
          <w:rFonts w:ascii="Calibri" w:eastAsia="Calibri" w:hAnsi="Calibri" w:cs="Calibri"/>
          <w:color w:val="000000" w:themeColor="text1"/>
        </w:rPr>
        <w:t xml:space="preserve"> the</w:t>
      </w:r>
      <w:r w:rsidRPr="0082236E">
        <w:rPr>
          <w:rFonts w:ascii="Calibri" w:eastAsia="Calibri" w:hAnsi="Calibri" w:cs="Calibri"/>
          <w:color w:val="000000" w:themeColor="text1"/>
        </w:rPr>
        <w:t xml:space="preserve"> detail.  The final SBS and Delivery Plan </w:t>
      </w:r>
      <w:r w:rsidR="00116039">
        <w:rPr>
          <w:rFonts w:ascii="Calibri" w:eastAsia="Calibri" w:hAnsi="Calibri" w:cs="Calibri"/>
          <w:color w:val="000000" w:themeColor="text1"/>
        </w:rPr>
        <w:t xml:space="preserve">is </w:t>
      </w:r>
      <w:r w:rsidRPr="0082236E">
        <w:rPr>
          <w:rFonts w:ascii="Calibri" w:eastAsia="Calibri" w:hAnsi="Calibri" w:cs="Calibri"/>
          <w:color w:val="000000" w:themeColor="text1"/>
        </w:rPr>
        <w:t>earmarked for publication in ‘late spring’.</w:t>
      </w:r>
      <w:r>
        <w:rPr>
          <w:rFonts w:ascii="Calibri" w:eastAsia="Calibri" w:hAnsi="Calibri" w:cs="Calibri"/>
          <w:color w:val="000000" w:themeColor="text1"/>
        </w:rPr>
        <w:t xml:space="preserve"> Further post-consultation engagement is planned to reinforce the links between the climate</w:t>
      </w:r>
      <w:r w:rsidR="009644AB">
        <w:rPr>
          <w:rFonts w:ascii="Calibri" w:eastAsia="Calibri" w:hAnsi="Calibri" w:cs="Calibri"/>
          <w:color w:val="000000" w:themeColor="text1"/>
        </w:rPr>
        <w:t xml:space="preserve"> and </w:t>
      </w:r>
      <w:r>
        <w:rPr>
          <w:rFonts w:ascii="Calibri" w:eastAsia="Calibri" w:hAnsi="Calibri" w:cs="Calibri"/>
          <w:color w:val="000000" w:themeColor="text1"/>
        </w:rPr>
        <w:t>nature cris</w:t>
      </w:r>
      <w:r w:rsidR="009644AB">
        <w:rPr>
          <w:rFonts w:ascii="Calibri" w:eastAsia="Calibri" w:hAnsi="Calibri" w:cs="Calibri"/>
          <w:color w:val="000000" w:themeColor="text1"/>
        </w:rPr>
        <w:t>e</w:t>
      </w:r>
      <w:r>
        <w:rPr>
          <w:rFonts w:ascii="Calibri" w:eastAsia="Calibri" w:hAnsi="Calibri" w:cs="Calibri"/>
          <w:color w:val="000000" w:themeColor="text1"/>
        </w:rPr>
        <w:t>s, follow-up on key issues</w:t>
      </w:r>
      <w:r w:rsidR="00D36033">
        <w:rPr>
          <w:rFonts w:ascii="Calibri" w:eastAsia="Calibri" w:hAnsi="Calibri" w:cs="Calibri"/>
          <w:color w:val="000000" w:themeColor="text1"/>
        </w:rPr>
        <w:t>, reach out to voices we haven’t heard much from and identify lead delivery partners.</w:t>
      </w:r>
    </w:p>
    <w:p w14:paraId="49780F75" w14:textId="2B3BDE54" w:rsidR="00912C08" w:rsidRDefault="00ED496A" w:rsidP="00025C49">
      <w:pPr>
        <w:pStyle w:val="ListParagraph"/>
        <w:numPr>
          <w:ilvl w:val="0"/>
          <w:numId w:val="1"/>
        </w:numPr>
        <w:spacing w:after="0"/>
        <w:rPr>
          <w:rFonts w:ascii="Calibri" w:eastAsia="Calibri" w:hAnsi="Calibri" w:cs="Calibri"/>
          <w:color w:val="000000" w:themeColor="text1"/>
        </w:rPr>
      </w:pPr>
      <w:r>
        <w:rPr>
          <w:rFonts w:ascii="Calibri" w:eastAsia="Calibri" w:hAnsi="Calibri" w:cs="Calibri"/>
          <w:color w:val="000000" w:themeColor="text1"/>
        </w:rPr>
        <w:t xml:space="preserve">National Parks – </w:t>
      </w:r>
      <w:r w:rsidR="00CD7E05">
        <w:rPr>
          <w:rFonts w:ascii="Calibri" w:eastAsia="Calibri" w:hAnsi="Calibri" w:cs="Calibri"/>
          <w:color w:val="000000" w:themeColor="text1"/>
        </w:rPr>
        <w:t xml:space="preserve">we </w:t>
      </w:r>
      <w:r>
        <w:rPr>
          <w:rFonts w:ascii="Calibri" w:eastAsia="Calibri" w:hAnsi="Calibri" w:cs="Calibri"/>
          <w:color w:val="000000" w:themeColor="text1"/>
        </w:rPr>
        <w:t>assisted Scottish Government with the o</w:t>
      </w:r>
      <w:r w:rsidRPr="00ED496A">
        <w:rPr>
          <w:rFonts w:ascii="Calibri" w:eastAsia="Calibri" w:hAnsi="Calibri" w:cs="Calibri"/>
          <w:color w:val="000000" w:themeColor="text1"/>
        </w:rPr>
        <w:t xml:space="preserve">rganisation and delivery </w:t>
      </w:r>
      <w:r>
        <w:rPr>
          <w:rFonts w:ascii="Calibri" w:eastAsia="Calibri" w:hAnsi="Calibri" w:cs="Calibri"/>
          <w:color w:val="000000" w:themeColor="text1"/>
        </w:rPr>
        <w:t>o</w:t>
      </w:r>
      <w:r w:rsidRPr="00ED496A">
        <w:rPr>
          <w:rFonts w:ascii="Calibri" w:eastAsia="Calibri" w:hAnsi="Calibri" w:cs="Calibri"/>
          <w:color w:val="000000" w:themeColor="text1"/>
        </w:rPr>
        <w:t xml:space="preserve">f a technical workshop attended by over 60 </w:t>
      </w:r>
      <w:r w:rsidR="009644AB">
        <w:rPr>
          <w:rFonts w:ascii="Calibri" w:eastAsia="Calibri" w:hAnsi="Calibri" w:cs="Calibri"/>
          <w:color w:val="000000" w:themeColor="text1"/>
        </w:rPr>
        <w:t>people</w:t>
      </w:r>
      <w:r w:rsidR="009644AB" w:rsidRPr="00ED496A">
        <w:rPr>
          <w:rFonts w:ascii="Calibri" w:eastAsia="Calibri" w:hAnsi="Calibri" w:cs="Calibri"/>
          <w:color w:val="000000" w:themeColor="text1"/>
        </w:rPr>
        <w:t xml:space="preserve"> </w:t>
      </w:r>
      <w:r w:rsidRPr="00ED496A">
        <w:rPr>
          <w:rFonts w:ascii="Calibri" w:eastAsia="Calibri" w:hAnsi="Calibri" w:cs="Calibri"/>
          <w:color w:val="000000" w:themeColor="text1"/>
        </w:rPr>
        <w:t xml:space="preserve">from </w:t>
      </w:r>
      <w:r>
        <w:rPr>
          <w:rFonts w:ascii="Calibri" w:eastAsia="Calibri" w:hAnsi="Calibri" w:cs="Calibri"/>
          <w:color w:val="000000" w:themeColor="text1"/>
        </w:rPr>
        <w:t>over 10</w:t>
      </w:r>
      <w:r w:rsidRPr="00ED496A">
        <w:rPr>
          <w:rFonts w:ascii="Calibri" w:eastAsia="Calibri" w:hAnsi="Calibri" w:cs="Calibri"/>
          <w:color w:val="000000" w:themeColor="text1"/>
        </w:rPr>
        <w:t xml:space="preserve"> nominating groups and relevant public bodies</w:t>
      </w:r>
      <w:r>
        <w:rPr>
          <w:rFonts w:ascii="Calibri" w:eastAsia="Calibri" w:hAnsi="Calibri" w:cs="Calibri"/>
          <w:color w:val="000000" w:themeColor="text1"/>
        </w:rPr>
        <w:t xml:space="preserve">. Next quarter </w:t>
      </w:r>
      <w:r w:rsidR="009644AB">
        <w:rPr>
          <w:rFonts w:ascii="Calibri" w:eastAsia="Calibri" w:hAnsi="Calibri" w:cs="Calibri"/>
          <w:color w:val="000000" w:themeColor="text1"/>
        </w:rPr>
        <w:t xml:space="preserve">we </w:t>
      </w:r>
      <w:r>
        <w:rPr>
          <w:rFonts w:ascii="Calibri" w:eastAsia="Calibri" w:hAnsi="Calibri" w:cs="Calibri"/>
          <w:color w:val="000000" w:themeColor="text1"/>
        </w:rPr>
        <w:t>will focus on assisting with appraising the nominations.</w:t>
      </w:r>
    </w:p>
    <w:p w14:paraId="136C6725" w14:textId="661528FF" w:rsidR="00ED496A" w:rsidRPr="0082236E" w:rsidRDefault="00ED496A" w:rsidP="0082236E">
      <w:pPr>
        <w:pStyle w:val="ListParagraph"/>
        <w:numPr>
          <w:ilvl w:val="0"/>
          <w:numId w:val="1"/>
        </w:numPr>
        <w:spacing w:after="0"/>
        <w:rPr>
          <w:rFonts w:ascii="Calibri" w:eastAsia="Calibri" w:hAnsi="Calibri" w:cs="Calibri"/>
          <w:color w:val="000000" w:themeColor="text1"/>
        </w:rPr>
      </w:pPr>
      <w:r w:rsidRPr="0082236E">
        <w:rPr>
          <w:rFonts w:ascii="Calibri" w:eastAsia="Calibri" w:hAnsi="Calibri" w:cs="Calibri"/>
          <w:color w:val="000000" w:themeColor="text1"/>
        </w:rPr>
        <w:t>Nature Restoration Fund</w:t>
      </w:r>
      <w:r w:rsidR="0082236E" w:rsidRPr="0082236E">
        <w:rPr>
          <w:rFonts w:ascii="Calibri" w:eastAsia="Calibri" w:hAnsi="Calibri" w:cs="Calibri"/>
          <w:color w:val="000000" w:themeColor="text1"/>
        </w:rPr>
        <w:t xml:space="preserve"> - </w:t>
      </w:r>
      <w:r w:rsidRPr="0082236E">
        <w:rPr>
          <w:rFonts w:ascii="Calibri" w:eastAsia="Calibri" w:hAnsi="Calibri" w:cs="Calibri"/>
          <w:color w:val="000000" w:themeColor="text1"/>
        </w:rPr>
        <w:t xml:space="preserve">Transforming Nature </w:t>
      </w:r>
      <w:r w:rsidR="0089687F" w:rsidRPr="0082236E">
        <w:rPr>
          <w:rFonts w:ascii="Calibri" w:eastAsia="Calibri" w:hAnsi="Calibri" w:cs="Calibri"/>
          <w:color w:val="000000" w:themeColor="text1"/>
        </w:rPr>
        <w:t>projects offered</w:t>
      </w:r>
      <w:r w:rsidR="00B74D4C">
        <w:rPr>
          <w:rFonts w:ascii="Calibri" w:eastAsia="Calibri" w:hAnsi="Calibri" w:cs="Calibri"/>
          <w:color w:val="000000" w:themeColor="text1"/>
        </w:rPr>
        <w:t xml:space="preserve"> for assessment</w:t>
      </w:r>
      <w:r w:rsidR="0089687F" w:rsidRPr="0082236E">
        <w:rPr>
          <w:rFonts w:ascii="Calibri" w:eastAsia="Calibri" w:hAnsi="Calibri" w:cs="Calibri"/>
          <w:color w:val="000000" w:themeColor="text1"/>
        </w:rPr>
        <w:t xml:space="preserve"> included </w:t>
      </w:r>
      <w:r w:rsidRPr="0082236E">
        <w:rPr>
          <w:rFonts w:ascii="Calibri" w:eastAsia="Calibri" w:hAnsi="Calibri" w:cs="Calibri"/>
          <w:color w:val="000000" w:themeColor="text1"/>
        </w:rPr>
        <w:t>multi-year projects</w:t>
      </w:r>
      <w:r w:rsidR="0082236E" w:rsidRPr="0082236E">
        <w:rPr>
          <w:rFonts w:ascii="Calibri" w:eastAsia="Calibri" w:hAnsi="Calibri" w:cs="Calibri"/>
          <w:color w:val="000000" w:themeColor="text1"/>
        </w:rPr>
        <w:t xml:space="preserve"> on the Peffery catchment near Dingwall and on the Aline catchment in Wester Ross including restoration of the oyster beds in Loch Aline. </w:t>
      </w:r>
      <w:bookmarkStart w:id="0" w:name="_Hlk155879326"/>
      <w:r w:rsidR="0082236E" w:rsidRPr="0082236E">
        <w:rPr>
          <w:rFonts w:ascii="Calibri" w:eastAsia="Calibri" w:hAnsi="Calibri" w:cs="Calibri"/>
          <w:color w:val="000000" w:themeColor="text1"/>
        </w:rPr>
        <w:t>O</w:t>
      </w:r>
      <w:r w:rsidR="0089687F" w:rsidRPr="0082236E">
        <w:rPr>
          <w:rFonts w:ascii="Calibri" w:eastAsia="Calibri" w:hAnsi="Calibri" w:cs="Calibri"/>
          <w:color w:val="000000" w:themeColor="text1"/>
        </w:rPr>
        <w:t>ther projects being finalised</w:t>
      </w:r>
      <w:r w:rsidRPr="0082236E">
        <w:rPr>
          <w:rFonts w:ascii="Calibri" w:eastAsia="Calibri" w:hAnsi="Calibri" w:cs="Calibri"/>
          <w:color w:val="000000" w:themeColor="text1"/>
        </w:rPr>
        <w:t xml:space="preserve"> include large Atlantic rainforest project and upland landscape scale habitat restoration</w:t>
      </w:r>
      <w:bookmarkEnd w:id="0"/>
      <w:r w:rsidRPr="0082236E">
        <w:rPr>
          <w:rFonts w:ascii="Calibri" w:eastAsia="Calibri" w:hAnsi="Calibri" w:cs="Calibri"/>
          <w:color w:val="000000" w:themeColor="text1"/>
        </w:rPr>
        <w:t>.</w:t>
      </w:r>
      <w:r w:rsidR="0082236E">
        <w:rPr>
          <w:rFonts w:ascii="Calibri" w:eastAsia="Calibri" w:hAnsi="Calibri" w:cs="Calibri"/>
          <w:color w:val="000000" w:themeColor="text1"/>
        </w:rPr>
        <w:t xml:space="preserve"> H</w:t>
      </w:r>
      <w:r w:rsidRPr="0082236E">
        <w:rPr>
          <w:rFonts w:ascii="Calibri" w:eastAsia="Calibri" w:hAnsi="Calibri" w:cs="Calibri"/>
          <w:color w:val="000000" w:themeColor="text1"/>
        </w:rPr>
        <w:t xml:space="preserve">alf of the winners and highly commended projects </w:t>
      </w:r>
      <w:r w:rsidR="0082236E">
        <w:rPr>
          <w:rFonts w:ascii="Calibri" w:eastAsia="Calibri" w:hAnsi="Calibri" w:cs="Calibri"/>
          <w:color w:val="000000" w:themeColor="text1"/>
        </w:rPr>
        <w:t>a</w:t>
      </w:r>
      <w:r w:rsidR="0082236E" w:rsidRPr="0082236E">
        <w:rPr>
          <w:rFonts w:ascii="Calibri" w:eastAsia="Calibri" w:hAnsi="Calibri" w:cs="Calibri"/>
          <w:color w:val="000000" w:themeColor="text1"/>
        </w:rPr>
        <w:t xml:space="preserve">t the Nature of Scotland awards in </w:t>
      </w:r>
      <w:r w:rsidR="0082236E">
        <w:rPr>
          <w:rFonts w:ascii="Calibri" w:eastAsia="Calibri" w:hAnsi="Calibri" w:cs="Calibri"/>
          <w:color w:val="000000" w:themeColor="text1"/>
        </w:rPr>
        <w:t xml:space="preserve">November </w:t>
      </w:r>
      <w:r w:rsidRPr="0082236E">
        <w:rPr>
          <w:rFonts w:ascii="Calibri" w:eastAsia="Calibri" w:hAnsi="Calibri" w:cs="Calibri"/>
          <w:color w:val="000000" w:themeColor="text1"/>
        </w:rPr>
        <w:t>received funding f</w:t>
      </w:r>
      <w:r w:rsidR="0089687F" w:rsidRPr="0082236E">
        <w:rPr>
          <w:rFonts w:ascii="Calibri" w:eastAsia="Calibri" w:hAnsi="Calibri" w:cs="Calibri"/>
          <w:color w:val="000000" w:themeColor="text1"/>
        </w:rPr>
        <w:t xml:space="preserve">rom </w:t>
      </w:r>
      <w:r w:rsidR="0082236E">
        <w:rPr>
          <w:rFonts w:ascii="Calibri" w:eastAsia="Calibri" w:hAnsi="Calibri" w:cs="Calibri"/>
          <w:color w:val="000000" w:themeColor="text1"/>
        </w:rPr>
        <w:t>the</w:t>
      </w:r>
      <w:r w:rsidR="0089687F" w:rsidRPr="0082236E">
        <w:rPr>
          <w:rFonts w:ascii="Calibri" w:eastAsia="Calibri" w:hAnsi="Calibri" w:cs="Calibri"/>
          <w:color w:val="000000" w:themeColor="text1"/>
        </w:rPr>
        <w:t xml:space="preserve"> Nature Restoration Fund</w:t>
      </w:r>
      <w:r w:rsidRPr="0082236E">
        <w:rPr>
          <w:rFonts w:ascii="Calibri" w:eastAsia="Calibri" w:hAnsi="Calibri" w:cs="Calibri"/>
          <w:color w:val="000000" w:themeColor="text1"/>
        </w:rPr>
        <w:t>.</w:t>
      </w:r>
    </w:p>
    <w:p w14:paraId="362E31B9" w14:textId="440923F3" w:rsidR="00DF3056" w:rsidRPr="00DF3056" w:rsidRDefault="00EB4AD1" w:rsidP="00DF3056">
      <w:pPr>
        <w:pStyle w:val="ListParagraph"/>
        <w:numPr>
          <w:ilvl w:val="0"/>
          <w:numId w:val="1"/>
        </w:numPr>
        <w:rPr>
          <w:rFonts w:ascii="Calibri" w:hAnsi="Calibri" w:cs="Calibri"/>
          <w:sz w:val="22"/>
        </w:rPr>
      </w:pPr>
      <w:r>
        <w:rPr>
          <w:rFonts w:ascii="Calibri" w:hAnsi="Calibri" w:cs="Calibri"/>
        </w:rPr>
        <w:lastRenderedPageBreak/>
        <w:t>We have been working closely</w:t>
      </w:r>
      <w:r w:rsidR="00DF3056" w:rsidRPr="00DF3056">
        <w:rPr>
          <w:rFonts w:ascii="Calibri" w:hAnsi="Calibri" w:cs="Calibri"/>
        </w:rPr>
        <w:t xml:space="preserve"> with </w:t>
      </w:r>
      <w:r>
        <w:rPr>
          <w:rFonts w:ascii="Calibri" w:hAnsi="Calibri" w:cs="Calibri"/>
        </w:rPr>
        <w:t xml:space="preserve">the </w:t>
      </w:r>
      <w:r w:rsidR="00DF3056" w:rsidRPr="00DF3056">
        <w:rPr>
          <w:rFonts w:ascii="Calibri" w:hAnsi="Calibri" w:cs="Calibri"/>
        </w:rPr>
        <w:t xml:space="preserve">Scottish Government Wildlife Policy and Bill team leads </w:t>
      </w:r>
      <w:r w:rsidR="00B74D4C">
        <w:rPr>
          <w:rFonts w:ascii="Calibri" w:hAnsi="Calibri" w:cs="Calibri"/>
        </w:rPr>
        <w:t>to take</w:t>
      </w:r>
      <w:r w:rsidR="00DF3056" w:rsidRPr="00DF3056">
        <w:rPr>
          <w:rFonts w:ascii="Calibri" w:hAnsi="Calibri" w:cs="Calibri"/>
        </w:rPr>
        <w:t xml:space="preserve"> forward secondary legislative provisions on changes to </w:t>
      </w:r>
      <w:r w:rsidR="00B74D4C">
        <w:rPr>
          <w:rFonts w:ascii="Calibri" w:hAnsi="Calibri" w:cs="Calibri"/>
        </w:rPr>
        <w:t xml:space="preserve">the </w:t>
      </w:r>
      <w:r w:rsidR="00DF3056" w:rsidRPr="00DF3056">
        <w:rPr>
          <w:rFonts w:ascii="Calibri" w:hAnsi="Calibri" w:cs="Calibri"/>
        </w:rPr>
        <w:t xml:space="preserve">deer male close season order </w:t>
      </w:r>
      <w:r w:rsidR="00B74D4C">
        <w:rPr>
          <w:rFonts w:ascii="Calibri" w:hAnsi="Calibri" w:cs="Calibri"/>
        </w:rPr>
        <w:t xml:space="preserve">provisions </w:t>
      </w:r>
      <w:r w:rsidR="00DF3056" w:rsidRPr="00DF3056">
        <w:rPr>
          <w:rFonts w:ascii="Calibri" w:hAnsi="Calibri" w:cs="Calibri"/>
        </w:rPr>
        <w:t xml:space="preserve">and the firearm order provisions </w:t>
      </w:r>
      <w:r w:rsidR="00B74D4C">
        <w:rPr>
          <w:rFonts w:ascii="Calibri" w:hAnsi="Calibri" w:cs="Calibri"/>
        </w:rPr>
        <w:t>which will</w:t>
      </w:r>
      <w:r w:rsidR="00B74D4C" w:rsidRPr="00DF3056">
        <w:rPr>
          <w:rFonts w:ascii="Calibri" w:hAnsi="Calibri" w:cs="Calibri"/>
        </w:rPr>
        <w:t xml:space="preserve"> </w:t>
      </w:r>
      <w:r w:rsidR="00DF3056" w:rsidRPr="00DF3056">
        <w:rPr>
          <w:rFonts w:ascii="Calibri" w:hAnsi="Calibri" w:cs="Calibri"/>
        </w:rPr>
        <w:t>permit the use of image intensifying equipment</w:t>
      </w:r>
      <w:r w:rsidR="00B74D4C">
        <w:rPr>
          <w:rFonts w:ascii="Calibri" w:hAnsi="Calibri" w:cs="Calibri"/>
        </w:rPr>
        <w:t>. These provisions</w:t>
      </w:r>
      <w:r w:rsidR="00DF3056" w:rsidRPr="00DF3056">
        <w:rPr>
          <w:rFonts w:ascii="Calibri" w:hAnsi="Calibri" w:cs="Calibri"/>
        </w:rPr>
        <w:t xml:space="preserve"> were enacted in Q3. The policy memorandum for the primary legislation provisions is well developed with a consultation on Bill provisions due to </w:t>
      </w:r>
      <w:r w:rsidR="00B74D4C">
        <w:rPr>
          <w:rFonts w:ascii="Calibri" w:hAnsi="Calibri" w:cs="Calibri"/>
        </w:rPr>
        <w:t xml:space="preserve">be </w:t>
      </w:r>
      <w:r w:rsidR="00DF3056" w:rsidRPr="00DF3056">
        <w:rPr>
          <w:rFonts w:ascii="Calibri" w:hAnsi="Calibri" w:cs="Calibri"/>
        </w:rPr>
        <w:t xml:space="preserve">launched by SG in early Q4. NatureScot will lead work throughout the 12 week consultation period to engage stakeholders in </w:t>
      </w:r>
      <w:r w:rsidR="00A52F48">
        <w:rPr>
          <w:rFonts w:ascii="Calibri" w:hAnsi="Calibri" w:cs="Calibri"/>
        </w:rPr>
        <w:t xml:space="preserve">the </w:t>
      </w:r>
      <w:r w:rsidR="00DF3056" w:rsidRPr="00DF3056">
        <w:rPr>
          <w:rFonts w:ascii="Calibri" w:hAnsi="Calibri" w:cs="Calibri"/>
        </w:rPr>
        <w:t xml:space="preserve">emerging provisions. </w:t>
      </w:r>
    </w:p>
    <w:p w14:paraId="69CE3DA5" w14:textId="73F3DF68" w:rsidR="00DF3056" w:rsidRPr="00A52F48" w:rsidRDefault="00DF3056" w:rsidP="00DF3056">
      <w:pPr>
        <w:pStyle w:val="ListParagraph"/>
        <w:numPr>
          <w:ilvl w:val="0"/>
          <w:numId w:val="1"/>
        </w:numPr>
        <w:rPr>
          <w:rStyle w:val="ui-provider"/>
          <w:rFonts w:ascii="Calibri" w:hAnsi="Calibri" w:cs="Calibri"/>
          <w:sz w:val="22"/>
        </w:rPr>
      </w:pPr>
      <w:r w:rsidRPr="00DF3056">
        <w:rPr>
          <w:rFonts w:ascii="Calibri" w:hAnsi="Calibri" w:cs="Calibri"/>
        </w:rPr>
        <w:t xml:space="preserve">The wildlife Management and Muirburn Bill has progressed through stage 1 </w:t>
      </w:r>
      <w:r w:rsidR="006B742B">
        <w:rPr>
          <w:rFonts w:ascii="Calibri" w:hAnsi="Calibri" w:cs="Calibri"/>
        </w:rPr>
        <w:t xml:space="preserve">reading </w:t>
      </w:r>
      <w:r w:rsidRPr="00DF3056">
        <w:rPr>
          <w:rFonts w:ascii="Calibri" w:hAnsi="Calibri" w:cs="Calibri"/>
        </w:rPr>
        <w:t>with the evidence sessions on muirburn and grouse licencing</w:t>
      </w:r>
      <w:r w:rsidR="00B74D4C">
        <w:rPr>
          <w:rFonts w:ascii="Calibri" w:hAnsi="Calibri" w:cs="Calibri"/>
        </w:rPr>
        <w:t xml:space="preserve"> </w:t>
      </w:r>
      <w:r w:rsidR="00AA762D">
        <w:rPr>
          <w:rFonts w:ascii="Calibri" w:hAnsi="Calibri" w:cs="Calibri"/>
        </w:rPr>
        <w:t xml:space="preserve">having taken place. </w:t>
      </w:r>
      <w:r w:rsidRPr="00DF3056">
        <w:rPr>
          <w:rFonts w:ascii="Calibri" w:hAnsi="Calibri" w:cs="Calibri"/>
        </w:rPr>
        <w:t xml:space="preserve">The </w:t>
      </w:r>
      <w:r w:rsidR="00B74D4C">
        <w:rPr>
          <w:rFonts w:ascii="Calibri" w:hAnsi="Calibri" w:cs="Calibri"/>
        </w:rPr>
        <w:t>B</w:t>
      </w:r>
      <w:r w:rsidR="00B74D4C" w:rsidRPr="00DF3056">
        <w:rPr>
          <w:rFonts w:ascii="Calibri" w:hAnsi="Calibri" w:cs="Calibri"/>
        </w:rPr>
        <w:t xml:space="preserve">ill </w:t>
      </w:r>
      <w:r w:rsidRPr="00DF3056">
        <w:rPr>
          <w:rFonts w:ascii="Calibri" w:hAnsi="Calibri" w:cs="Calibri"/>
        </w:rPr>
        <w:t>will progress through stage 2 in Q4 which will again require close engagement with SG colleagues as amendments are considered. We have initiated work on the two codes of practice on grouse and muirburn with stakeholder groups formed and development is under way. Wildlife and muirburn Bill provisions move NatureScot into a more regulatory role with additional licensing provisions for grouse, muirburn and trapping.</w:t>
      </w:r>
      <w:r w:rsidR="00AA762D">
        <w:rPr>
          <w:rFonts w:ascii="Calibri" w:hAnsi="Calibri" w:cs="Calibri"/>
        </w:rPr>
        <w:t xml:space="preserve"> </w:t>
      </w:r>
      <w:r w:rsidR="00AA762D">
        <w:rPr>
          <w:rStyle w:val="ui-provider"/>
        </w:rPr>
        <w:t>The Bill introduces a licensing scheme for the use of specific traps to catch wild birds and animals, which will require people to complete an approved training course</w:t>
      </w:r>
      <w:r w:rsidR="004A47F9">
        <w:rPr>
          <w:rStyle w:val="ui-provider"/>
        </w:rPr>
        <w:t>.</w:t>
      </w:r>
    </w:p>
    <w:p w14:paraId="13269EAB" w14:textId="74243EFF" w:rsidR="00A52F48" w:rsidRPr="007D6B8E" w:rsidRDefault="00A52F48" w:rsidP="00A52F48">
      <w:pPr>
        <w:rPr>
          <w:rFonts w:ascii="Calibri" w:hAnsi="Calibri" w:cs="Calibri"/>
          <w:b/>
          <w:bCs/>
          <w:szCs w:val="24"/>
        </w:rPr>
      </w:pPr>
      <w:r w:rsidRPr="007D6B8E">
        <w:rPr>
          <w:rFonts w:ascii="Calibri" w:hAnsi="Calibri" w:cs="Calibri"/>
          <w:b/>
          <w:bCs/>
          <w:szCs w:val="24"/>
        </w:rPr>
        <w:t>Forward Look</w:t>
      </w:r>
    </w:p>
    <w:p w14:paraId="49BBC4A6" w14:textId="46D4EA87" w:rsidR="00943F54" w:rsidRDefault="00A52F48" w:rsidP="00634694">
      <w:pPr>
        <w:pStyle w:val="ListParagraph"/>
        <w:numPr>
          <w:ilvl w:val="0"/>
          <w:numId w:val="1"/>
        </w:numPr>
        <w:rPr>
          <w:rFonts w:ascii="Calibri" w:hAnsi="Calibri" w:cs="Calibri"/>
        </w:rPr>
      </w:pPr>
      <w:r w:rsidRPr="00634694">
        <w:rPr>
          <w:rFonts w:ascii="Calibri" w:hAnsi="Calibri" w:cs="Calibri"/>
        </w:rPr>
        <w:t>This Q3 report reflects</w:t>
      </w:r>
      <w:r w:rsidR="008C3922">
        <w:rPr>
          <w:rFonts w:ascii="Calibri" w:hAnsi="Calibri" w:cs="Calibri"/>
        </w:rPr>
        <w:t xml:space="preserve"> substantial achievements by staff throughout NatureScot to progress a range of complex issues at pace. Q3 also saw a great deal of work preparing scenarios for possible budget settlements and a series of detailed discussion</w:t>
      </w:r>
      <w:r w:rsidR="0025371D">
        <w:rPr>
          <w:rFonts w:ascii="Calibri" w:hAnsi="Calibri" w:cs="Calibri"/>
        </w:rPr>
        <w:t>s</w:t>
      </w:r>
      <w:r w:rsidR="008C3922">
        <w:rPr>
          <w:rFonts w:ascii="Calibri" w:hAnsi="Calibri" w:cs="Calibri"/>
        </w:rPr>
        <w:t xml:space="preserve"> with Scottish Government colleagues. NatureScot’s budget settlement has provided us with the resources for 2024/25 to maintain our focus on delivering our priorities. Work in Q4 will draw on input from across the organisation and from our wider partners to ensure that we are continuing to deliver on the right priorities and within the resourcing envelope we have for this year and for the years beyond. We are mindful that the</w:t>
      </w:r>
      <w:r w:rsidR="00E005F2">
        <w:rPr>
          <w:rFonts w:ascii="Calibri" w:hAnsi="Calibri" w:cs="Calibri"/>
        </w:rPr>
        <w:t xml:space="preserve"> progress and </w:t>
      </w:r>
      <w:r w:rsidR="008C3922">
        <w:rPr>
          <w:rFonts w:ascii="Calibri" w:hAnsi="Calibri" w:cs="Calibri"/>
        </w:rPr>
        <w:t xml:space="preserve">pace we have achieved </w:t>
      </w:r>
      <w:r w:rsidR="00E005F2">
        <w:rPr>
          <w:rFonts w:ascii="Calibri" w:hAnsi="Calibri" w:cs="Calibri"/>
        </w:rPr>
        <w:t xml:space="preserve">in </w:t>
      </w:r>
      <w:r w:rsidR="008C3922">
        <w:rPr>
          <w:rFonts w:ascii="Calibri" w:hAnsi="Calibri" w:cs="Calibri"/>
        </w:rPr>
        <w:t xml:space="preserve">Q3 does rely on capacity, not just within NatureScot, but also within our partner organisations and the Scottish Government. We have noted the resourcing constraints elsewhere following the budget settlement and </w:t>
      </w:r>
      <w:r w:rsidR="00E005F2">
        <w:rPr>
          <w:rFonts w:ascii="Calibri" w:hAnsi="Calibri" w:cs="Calibri"/>
        </w:rPr>
        <w:t>will seek to manage the risks to our own delivery plans accordingly</w:t>
      </w:r>
      <w:r w:rsidR="00CF0FAE">
        <w:rPr>
          <w:rFonts w:ascii="Calibri" w:hAnsi="Calibri" w:cs="Calibri"/>
        </w:rPr>
        <w:t xml:space="preserve"> which may, in places, not progress as swiftly as we might anticipate</w:t>
      </w:r>
      <w:r w:rsidR="00E005F2">
        <w:rPr>
          <w:rFonts w:ascii="Calibri" w:hAnsi="Calibri" w:cs="Calibri"/>
        </w:rPr>
        <w:t>.</w:t>
      </w:r>
    </w:p>
    <w:p w14:paraId="713623D8" w14:textId="77777777" w:rsidR="00943F54" w:rsidRDefault="00943F54">
      <w:pPr>
        <w:rPr>
          <w:rFonts w:ascii="Calibri" w:hAnsi="Calibri" w:cs="Calibri"/>
        </w:rPr>
      </w:pPr>
      <w:r>
        <w:rPr>
          <w:rFonts w:ascii="Calibri" w:hAnsi="Calibri" w:cs="Calibri"/>
        </w:rPr>
        <w:br w:type="page"/>
      </w:r>
    </w:p>
    <w:p w14:paraId="13C34FB1" w14:textId="77777777" w:rsidR="00A52F48" w:rsidRPr="00634694" w:rsidRDefault="00A52F48" w:rsidP="00943F54">
      <w:pPr>
        <w:pStyle w:val="ListParagraph"/>
        <w:ind w:left="360"/>
        <w:rPr>
          <w:rFonts w:ascii="Calibri" w:hAnsi="Calibri" w:cs="Calibri"/>
        </w:rPr>
      </w:pPr>
    </w:p>
    <w:p w14:paraId="5E95BB04" w14:textId="77777777" w:rsidR="00ED496A" w:rsidRPr="00912C08" w:rsidRDefault="00ED496A" w:rsidP="00F25B05">
      <w:pPr>
        <w:pStyle w:val="ListParagraph"/>
        <w:spacing w:after="0"/>
        <w:ind w:left="360"/>
        <w:rPr>
          <w:rFonts w:ascii="Calibri" w:eastAsia="Calibri" w:hAnsi="Calibri" w:cs="Calibri"/>
          <w:color w:val="000000" w:themeColor="text1"/>
        </w:rPr>
      </w:pPr>
    </w:p>
    <w:p w14:paraId="722DD4D9" w14:textId="1DF5CB74" w:rsidR="00106424" w:rsidRPr="00106424" w:rsidRDefault="00106424" w:rsidP="00A15D6F">
      <w:pPr>
        <w:pStyle w:val="ListParagraph"/>
        <w:spacing w:after="0"/>
        <w:ind w:left="360"/>
        <w:rPr>
          <w:rFonts w:ascii="Calibri" w:eastAsia="Calibri" w:hAnsi="Calibri" w:cs="Calibri"/>
          <w:color w:val="000000" w:themeColor="text1"/>
          <w:szCs w:val="24"/>
        </w:rPr>
      </w:pPr>
    </w:p>
    <w:tbl>
      <w:tblPr>
        <w:tblStyle w:val="GridTable4-Accent1"/>
        <w:tblpPr w:leftFromText="180" w:rightFromText="180" w:vertAnchor="text" w:horzAnchor="margin" w:tblpY="12"/>
        <w:tblW w:w="9351" w:type="dxa"/>
        <w:tblLook w:val="04A0" w:firstRow="1" w:lastRow="0" w:firstColumn="1" w:lastColumn="0" w:noHBand="0" w:noVBand="1"/>
      </w:tblPr>
      <w:tblGrid>
        <w:gridCol w:w="2824"/>
        <w:gridCol w:w="2136"/>
        <w:gridCol w:w="2443"/>
        <w:gridCol w:w="1948"/>
      </w:tblGrid>
      <w:tr w:rsidR="008D20BE" w:rsidRPr="00B6615A" w14:paraId="035CF796" w14:textId="77777777" w:rsidTr="008D2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09499F07" w14:textId="77777777" w:rsidR="008D20BE" w:rsidRPr="00B6615A" w:rsidRDefault="008D20BE" w:rsidP="008D20BE">
            <w:pPr>
              <w:spacing w:line="276" w:lineRule="auto"/>
              <w:jc w:val="center"/>
              <w:rPr>
                <w:rFonts w:ascii="Calibri" w:hAnsi="Calibri" w:cs="Calibri"/>
                <w:szCs w:val="24"/>
              </w:rPr>
            </w:pPr>
            <w:bookmarkStart w:id="1" w:name="_Hlk147301372"/>
            <w:r w:rsidRPr="00B6615A">
              <w:rPr>
                <w:rFonts w:ascii="Calibri" w:hAnsi="Calibri" w:cs="Calibri"/>
                <w:color w:val="000000" w:themeColor="text1"/>
                <w:szCs w:val="24"/>
              </w:rPr>
              <w:t>PRIORITY PERFORMANCE</w:t>
            </w:r>
          </w:p>
        </w:tc>
        <w:tc>
          <w:tcPr>
            <w:tcW w:w="2136" w:type="dxa"/>
          </w:tcPr>
          <w:p w14:paraId="68668A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40E53B2B"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351BB78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8D20BE" w:rsidRPr="00B6615A" w14:paraId="0A2CD7C0"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2092EFCA" w14:textId="77777777" w:rsidR="008D20BE" w:rsidRPr="00B6615A" w:rsidRDefault="008D20BE" w:rsidP="008D20BE">
            <w:pPr>
              <w:spacing w:line="276" w:lineRule="auto"/>
              <w:jc w:val="center"/>
              <w:rPr>
                <w:rFonts w:ascii="Calibri" w:hAnsi="Calibri" w:cs="Calibri"/>
                <w:szCs w:val="24"/>
              </w:rPr>
            </w:pPr>
            <w:r>
              <w:rPr>
                <w:rFonts w:ascii="Calibri" w:hAnsi="Calibri" w:cs="Calibri"/>
                <w:szCs w:val="24"/>
              </w:rPr>
              <w:t>Objectives</w:t>
            </w:r>
          </w:p>
        </w:tc>
        <w:tc>
          <w:tcPr>
            <w:tcW w:w="2136" w:type="dxa"/>
          </w:tcPr>
          <w:p w14:paraId="4005D7FF" w14:textId="77777777" w:rsidR="008D20BE" w:rsidRPr="00023C29"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023C29">
              <w:rPr>
                <w:rFonts w:ascii="Calibri" w:hAnsi="Calibri" w:cs="Calibri"/>
                <w:b/>
                <w:szCs w:val="24"/>
              </w:rPr>
              <w:t>15</w:t>
            </w:r>
          </w:p>
        </w:tc>
        <w:tc>
          <w:tcPr>
            <w:tcW w:w="2443" w:type="dxa"/>
          </w:tcPr>
          <w:p w14:paraId="3B3C33A5"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0F960AE6" w14:textId="1E16EBF6" w:rsidR="008D20BE" w:rsidRPr="00945709" w:rsidRDefault="00930721"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945709">
              <w:rPr>
                <w:rFonts w:ascii="Calibri" w:hAnsi="Calibri" w:cs="Calibri"/>
                <w:b/>
                <w:szCs w:val="24"/>
              </w:rPr>
              <w:t>10</w:t>
            </w:r>
          </w:p>
        </w:tc>
      </w:tr>
      <w:tr w:rsidR="008D20BE" w:rsidRPr="00B6615A" w14:paraId="03F70509" w14:textId="77777777" w:rsidTr="008D20BE">
        <w:tc>
          <w:tcPr>
            <w:cnfStyle w:val="001000000000" w:firstRow="0" w:lastRow="0" w:firstColumn="1" w:lastColumn="0" w:oddVBand="0" w:evenVBand="0" w:oddHBand="0" w:evenHBand="0" w:firstRowFirstColumn="0" w:firstRowLastColumn="0" w:lastRowFirstColumn="0" w:lastRowLastColumn="0"/>
            <w:tcW w:w="2824" w:type="dxa"/>
          </w:tcPr>
          <w:p w14:paraId="755D8B15"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00B050"/>
                <w:szCs w:val="24"/>
              </w:rPr>
              <w:t>On Track</w:t>
            </w:r>
          </w:p>
        </w:tc>
        <w:tc>
          <w:tcPr>
            <w:tcW w:w="2136" w:type="dxa"/>
          </w:tcPr>
          <w:p w14:paraId="20AD9686" w14:textId="7866027F" w:rsidR="008D20BE" w:rsidRPr="00023C29" w:rsidRDefault="00794997"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23C29">
              <w:rPr>
                <w:rFonts w:ascii="Calibri" w:hAnsi="Calibri" w:cs="Calibri"/>
                <w:szCs w:val="24"/>
              </w:rPr>
              <w:t>1</w:t>
            </w:r>
            <w:r w:rsidR="00CF0FAE">
              <w:rPr>
                <w:rFonts w:ascii="Calibri" w:hAnsi="Calibri" w:cs="Calibri"/>
                <w:szCs w:val="24"/>
              </w:rPr>
              <w:t>3</w:t>
            </w:r>
          </w:p>
        </w:tc>
        <w:tc>
          <w:tcPr>
            <w:tcW w:w="2443" w:type="dxa"/>
          </w:tcPr>
          <w:p w14:paraId="3E7449C1" w14:textId="77777777" w:rsidR="008D20BE" w:rsidRPr="00B6615A" w:rsidRDefault="008D20BE"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0E3E3800" w14:textId="38BE0EBD" w:rsidR="008D20BE" w:rsidRPr="00945709" w:rsidRDefault="00CF0FAE"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0</w:t>
            </w:r>
          </w:p>
        </w:tc>
      </w:tr>
      <w:tr w:rsidR="008D20BE" w:rsidRPr="00B6615A" w14:paraId="6A10B312"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3688E41D"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F79646" w:themeColor="accent6"/>
                <w:szCs w:val="24"/>
              </w:rPr>
              <w:t>Minor Slippage</w:t>
            </w:r>
          </w:p>
        </w:tc>
        <w:tc>
          <w:tcPr>
            <w:tcW w:w="2136" w:type="dxa"/>
          </w:tcPr>
          <w:p w14:paraId="3CA40F11" w14:textId="0CCED1BC" w:rsidR="008D20BE" w:rsidRPr="00023C29" w:rsidRDefault="00CF0FA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2</w:t>
            </w:r>
          </w:p>
        </w:tc>
        <w:tc>
          <w:tcPr>
            <w:tcW w:w="2443" w:type="dxa"/>
          </w:tcPr>
          <w:p w14:paraId="7CE2D38B"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24DA6991" w14:textId="7AA814DC" w:rsidR="008D20BE" w:rsidRPr="00945709" w:rsidRDefault="00930721"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945709">
              <w:rPr>
                <w:rFonts w:ascii="Calibri" w:hAnsi="Calibri" w:cs="Calibri"/>
                <w:szCs w:val="24"/>
              </w:rPr>
              <w:t>0</w:t>
            </w:r>
          </w:p>
        </w:tc>
      </w:tr>
    </w:tbl>
    <w:tbl>
      <w:tblPr>
        <w:tblStyle w:val="GridTable4-Accent1"/>
        <w:tblpPr w:leftFromText="180" w:rightFromText="180" w:vertAnchor="text" w:horzAnchor="margin" w:tblpY="1616"/>
        <w:tblW w:w="9351" w:type="dxa"/>
        <w:tblLook w:val="04A0" w:firstRow="1" w:lastRow="0" w:firstColumn="1" w:lastColumn="0" w:noHBand="0" w:noVBand="1"/>
      </w:tblPr>
      <w:tblGrid>
        <w:gridCol w:w="2824"/>
        <w:gridCol w:w="2136"/>
        <w:gridCol w:w="2443"/>
        <w:gridCol w:w="1948"/>
      </w:tblGrid>
      <w:tr w:rsidR="008D20BE" w:rsidRPr="00B6615A" w14:paraId="20722A55" w14:textId="77777777" w:rsidTr="008D20B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24" w:type="dxa"/>
          </w:tcPr>
          <w:bookmarkEnd w:id="1"/>
          <w:p w14:paraId="1DB299C0" w14:textId="77777777" w:rsidR="008D20BE" w:rsidRPr="00B6615A" w:rsidRDefault="008D20BE" w:rsidP="008D20BE">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2136" w:type="dxa"/>
          </w:tcPr>
          <w:p w14:paraId="67C116E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2443" w:type="dxa"/>
          </w:tcPr>
          <w:p w14:paraId="759909BD"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948" w:type="dxa"/>
          </w:tcPr>
          <w:p w14:paraId="0B1785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300974" w:rsidRPr="00B6615A" w14:paraId="5D1E0A5B" w14:textId="77777777" w:rsidTr="00E80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56CEB8B9" w14:textId="260931BC" w:rsidR="00300974" w:rsidRPr="00300974" w:rsidRDefault="00300974" w:rsidP="00300974">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Resource Budget</w:t>
            </w:r>
          </w:p>
        </w:tc>
        <w:tc>
          <w:tcPr>
            <w:tcW w:w="2136" w:type="dxa"/>
            <w:vAlign w:val="center"/>
          </w:tcPr>
          <w:p w14:paraId="539173BD" w14:textId="7230A1C7" w:rsidR="00300974" w:rsidRPr="00AC6E72"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szCs w:val="24"/>
                <w:lang w:eastAsia="en-GB"/>
              </w:rPr>
            </w:pPr>
            <w:r w:rsidRPr="00AC6E72">
              <w:rPr>
                <w:rFonts w:ascii="Calibri" w:eastAsia="Times New Roman" w:hAnsi="Calibri" w:cs="Calibri"/>
                <w:b/>
                <w:color w:val="00B050"/>
                <w:szCs w:val="24"/>
                <w:lang w:eastAsia="en-GB"/>
              </w:rPr>
              <w:t>GREEN</w:t>
            </w:r>
          </w:p>
        </w:tc>
        <w:tc>
          <w:tcPr>
            <w:tcW w:w="2443" w:type="dxa"/>
          </w:tcPr>
          <w:p w14:paraId="0E11EE08" w14:textId="77777777"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Wellbeing</w:t>
            </w:r>
          </w:p>
        </w:tc>
        <w:tc>
          <w:tcPr>
            <w:tcW w:w="1948" w:type="dxa"/>
          </w:tcPr>
          <w:p w14:paraId="60E5709C" w14:textId="4580C0C3" w:rsidR="00300974" w:rsidRPr="00475D56"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highlight w:val="yellow"/>
              </w:rPr>
            </w:pPr>
            <w:r w:rsidRPr="000402DB">
              <w:rPr>
                <w:rFonts w:ascii="Calibri" w:hAnsi="Calibri" w:cs="Calibri"/>
                <w:b/>
                <w:bCs/>
                <w:color w:val="F79646" w:themeColor="accent6"/>
                <w:szCs w:val="24"/>
              </w:rPr>
              <w:t>AMBER</w:t>
            </w:r>
          </w:p>
        </w:tc>
      </w:tr>
      <w:tr w:rsidR="00300974" w:rsidRPr="00B6615A" w14:paraId="015CDD45" w14:textId="77777777" w:rsidTr="00E80188">
        <w:trPr>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30FFFB28" w14:textId="3FB2D767" w:rsidR="00300974" w:rsidRPr="00300974" w:rsidRDefault="00300974" w:rsidP="00300974">
            <w:pPr>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Capital</w:t>
            </w:r>
          </w:p>
        </w:tc>
        <w:tc>
          <w:tcPr>
            <w:tcW w:w="2136" w:type="dxa"/>
            <w:vAlign w:val="center"/>
          </w:tcPr>
          <w:p w14:paraId="6752F769" w14:textId="58B89FA6" w:rsidR="00300974" w:rsidRPr="00AC6E72" w:rsidRDefault="00AC6E72" w:rsidP="003009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B050"/>
                <w:szCs w:val="24"/>
                <w:lang w:eastAsia="en-GB"/>
              </w:rPr>
            </w:pPr>
            <w:r w:rsidRPr="00AC6E72">
              <w:rPr>
                <w:rFonts w:ascii="Calibri" w:hAnsi="Calibri" w:cs="Calibri"/>
                <w:b/>
                <w:bCs/>
                <w:color w:val="00B050"/>
              </w:rPr>
              <w:t>GREEN</w:t>
            </w:r>
          </w:p>
        </w:tc>
        <w:tc>
          <w:tcPr>
            <w:tcW w:w="2443" w:type="dxa"/>
          </w:tcPr>
          <w:p w14:paraId="74EA54BA" w14:textId="1FC2B332" w:rsidR="00300974" w:rsidRPr="00B6615A" w:rsidRDefault="000402DB" w:rsidP="003009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Pulse Survey</w:t>
            </w:r>
          </w:p>
        </w:tc>
        <w:tc>
          <w:tcPr>
            <w:tcW w:w="1948" w:type="dxa"/>
          </w:tcPr>
          <w:p w14:paraId="5CC15EC0" w14:textId="79C3E560" w:rsidR="00300974" w:rsidRPr="000402DB" w:rsidRDefault="000402DB" w:rsidP="00040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rPr>
            </w:pPr>
            <w:r w:rsidRPr="000402DB">
              <w:rPr>
                <w:rFonts w:ascii="Calibri" w:hAnsi="Calibri" w:cs="Calibri"/>
                <w:b/>
                <w:bCs/>
                <w:color w:val="F79646" w:themeColor="accent6"/>
                <w:szCs w:val="24"/>
              </w:rPr>
              <w:t>AMBER</w:t>
            </w:r>
          </w:p>
        </w:tc>
      </w:tr>
      <w:tr w:rsidR="00300974" w:rsidRPr="00B6615A" w14:paraId="64155784" w14:textId="77777777" w:rsidTr="00E80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64801E4C" w14:textId="1D479EEB" w:rsidR="00300974" w:rsidRPr="00300974" w:rsidRDefault="00300974" w:rsidP="00300974">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Indirect Capital</w:t>
            </w:r>
          </w:p>
        </w:tc>
        <w:tc>
          <w:tcPr>
            <w:tcW w:w="2136" w:type="dxa"/>
            <w:vAlign w:val="center"/>
          </w:tcPr>
          <w:p w14:paraId="22173043" w14:textId="0EE18817" w:rsidR="00300974" w:rsidRPr="00AC6E72" w:rsidRDefault="00AC6E72"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kern w:val="24"/>
                <w:szCs w:val="24"/>
                <w:lang w:eastAsia="en-GB"/>
              </w:rPr>
            </w:pPr>
            <w:r w:rsidRPr="00AC6E72">
              <w:rPr>
                <w:rFonts w:ascii="Calibri" w:hAnsi="Calibri" w:cs="Calibri"/>
                <w:b/>
                <w:bCs/>
                <w:color w:val="F79646" w:themeColor="accent6"/>
                <w:szCs w:val="24"/>
              </w:rPr>
              <w:t>AMBER</w:t>
            </w:r>
          </w:p>
        </w:tc>
        <w:tc>
          <w:tcPr>
            <w:tcW w:w="2443" w:type="dxa"/>
          </w:tcPr>
          <w:p w14:paraId="6EA34E55" w14:textId="77777777"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Capacity</w:t>
            </w:r>
          </w:p>
        </w:tc>
        <w:tc>
          <w:tcPr>
            <w:tcW w:w="1948" w:type="dxa"/>
          </w:tcPr>
          <w:p w14:paraId="0A010479" w14:textId="65767753" w:rsidR="00300974" w:rsidRPr="000402DB" w:rsidRDefault="000402DB"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79646" w:themeColor="accent6"/>
                <w:szCs w:val="24"/>
                <w:highlight w:val="yellow"/>
              </w:rPr>
            </w:pPr>
            <w:r w:rsidRPr="000402DB">
              <w:rPr>
                <w:rFonts w:ascii="Calibri" w:hAnsi="Calibri" w:cs="Calibri"/>
                <w:b/>
                <w:bCs/>
                <w:color w:val="F79646" w:themeColor="accent6"/>
                <w:szCs w:val="24"/>
              </w:rPr>
              <w:t>AMBER</w:t>
            </w:r>
          </w:p>
        </w:tc>
      </w:tr>
      <w:tr w:rsidR="00300974" w:rsidRPr="00B6615A" w14:paraId="6A89972D" w14:textId="77777777" w:rsidTr="00E80188">
        <w:trPr>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21CB60AF" w14:textId="579CC1B8" w:rsidR="00300974" w:rsidRPr="00300974" w:rsidRDefault="00300974" w:rsidP="00300974">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Paybill</w:t>
            </w:r>
          </w:p>
        </w:tc>
        <w:tc>
          <w:tcPr>
            <w:tcW w:w="2136" w:type="dxa"/>
          </w:tcPr>
          <w:p w14:paraId="1248EB79" w14:textId="11AB6878" w:rsidR="00300974" w:rsidRPr="00AC6E72" w:rsidRDefault="00AC6E72"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B050"/>
                <w:kern w:val="24"/>
                <w:szCs w:val="24"/>
                <w:lang w:eastAsia="en-GB"/>
              </w:rPr>
            </w:pPr>
            <w:r w:rsidRPr="00AC6E72">
              <w:rPr>
                <w:rFonts w:ascii="Calibri" w:hAnsi="Calibri" w:cs="Calibri"/>
                <w:b/>
                <w:bCs/>
                <w:color w:val="00B050"/>
              </w:rPr>
              <w:t>GREEN</w:t>
            </w:r>
          </w:p>
        </w:tc>
        <w:tc>
          <w:tcPr>
            <w:tcW w:w="2443" w:type="dxa"/>
          </w:tcPr>
          <w:p w14:paraId="127E48E4" w14:textId="77777777" w:rsidR="00300974" w:rsidRPr="00B6615A" w:rsidRDefault="00300974"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Development</w:t>
            </w:r>
          </w:p>
        </w:tc>
        <w:tc>
          <w:tcPr>
            <w:tcW w:w="1948" w:type="dxa"/>
          </w:tcPr>
          <w:p w14:paraId="11BF14B1" w14:textId="062770DB" w:rsidR="00300974" w:rsidRPr="00475D56" w:rsidRDefault="00300974"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B050"/>
                <w:szCs w:val="24"/>
                <w:highlight w:val="yellow"/>
              </w:rPr>
            </w:pPr>
            <w:r w:rsidRPr="000402DB">
              <w:rPr>
                <w:rFonts w:ascii="Calibri" w:eastAsia="Times New Roman" w:hAnsi="Calibri" w:cs="Calibri"/>
                <w:b/>
                <w:color w:val="00B050"/>
                <w:szCs w:val="24"/>
                <w:lang w:eastAsia="en-GB"/>
              </w:rPr>
              <w:t>GREEN</w:t>
            </w:r>
          </w:p>
        </w:tc>
      </w:tr>
      <w:tr w:rsidR="00300974" w:rsidRPr="00B6615A" w14:paraId="5AB02384" w14:textId="77777777" w:rsidTr="00E80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3B798120" w14:textId="33C08A35" w:rsidR="00300974" w:rsidRPr="00300974" w:rsidRDefault="00300974" w:rsidP="00300974">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Project Allocation</w:t>
            </w:r>
          </w:p>
        </w:tc>
        <w:tc>
          <w:tcPr>
            <w:tcW w:w="2136" w:type="dxa"/>
          </w:tcPr>
          <w:p w14:paraId="3F5B720E" w14:textId="316E503A" w:rsidR="00300974" w:rsidRPr="00AC6E72"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r w:rsidRPr="00AC6E72">
              <w:rPr>
                <w:rFonts w:ascii="Calibri" w:hAnsi="Calibri" w:cs="Calibri"/>
                <w:b/>
                <w:bCs/>
                <w:color w:val="F79646" w:themeColor="accent6"/>
                <w:szCs w:val="24"/>
              </w:rPr>
              <w:t>AMBER</w:t>
            </w:r>
          </w:p>
        </w:tc>
        <w:tc>
          <w:tcPr>
            <w:tcW w:w="2443" w:type="dxa"/>
          </w:tcPr>
          <w:p w14:paraId="32335D3A" w14:textId="77777777"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948" w:type="dxa"/>
          </w:tcPr>
          <w:p w14:paraId="778C4140" w14:textId="66BAEADA" w:rsidR="00300974" w:rsidRPr="00475D56"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F79646" w:themeColor="accent6"/>
                <w:kern w:val="24"/>
                <w:szCs w:val="24"/>
                <w:highlight w:val="yellow"/>
                <w:lang w:eastAsia="en-GB"/>
              </w:rPr>
            </w:pPr>
            <w:r w:rsidRPr="000402DB">
              <w:rPr>
                <w:rFonts w:ascii="Calibri" w:hAnsi="Calibri" w:cs="Calibri"/>
                <w:b/>
                <w:bCs/>
                <w:color w:val="F79646" w:themeColor="accent6"/>
                <w:szCs w:val="24"/>
              </w:rPr>
              <w:t>AMBER</w:t>
            </w:r>
          </w:p>
        </w:tc>
      </w:tr>
      <w:tr w:rsidR="00A4300C" w:rsidRPr="00B6615A" w14:paraId="3F332BA0" w14:textId="77777777" w:rsidTr="008D20BE">
        <w:trPr>
          <w:cantSplit/>
        </w:trPr>
        <w:tc>
          <w:tcPr>
            <w:cnfStyle w:val="001000000000" w:firstRow="0" w:lastRow="0" w:firstColumn="1" w:lastColumn="0" w:oddVBand="0" w:evenVBand="0" w:oddHBand="0" w:evenHBand="0" w:firstRowFirstColumn="0" w:firstRowLastColumn="0" w:lastRowFirstColumn="0" w:lastRowLastColumn="0"/>
            <w:tcW w:w="2824" w:type="dxa"/>
          </w:tcPr>
          <w:p w14:paraId="5D58709E" w14:textId="77777777" w:rsidR="00A4300C" w:rsidRPr="00B6615A" w:rsidRDefault="00A4300C" w:rsidP="00A4300C">
            <w:pPr>
              <w:jc w:val="center"/>
              <w:rPr>
                <w:rFonts w:ascii="Calibri" w:hAnsi="Calibri" w:cs="Calibri"/>
                <w:b w:val="0"/>
                <w:szCs w:val="24"/>
              </w:rPr>
            </w:pPr>
          </w:p>
        </w:tc>
        <w:tc>
          <w:tcPr>
            <w:tcW w:w="2136" w:type="dxa"/>
          </w:tcPr>
          <w:p w14:paraId="24E532BE" w14:textId="77777777" w:rsidR="00A4300C" w:rsidRPr="00E52E7B" w:rsidRDefault="00A4300C" w:rsidP="00A430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2443" w:type="dxa"/>
          </w:tcPr>
          <w:p w14:paraId="07D87898" w14:textId="15A64B80" w:rsidR="00A4300C" w:rsidRDefault="00A4300C" w:rsidP="00A430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Internal Movement</w:t>
            </w:r>
          </w:p>
        </w:tc>
        <w:tc>
          <w:tcPr>
            <w:tcW w:w="1948" w:type="dxa"/>
          </w:tcPr>
          <w:p w14:paraId="16972355" w14:textId="27AB319D" w:rsidR="00A4300C" w:rsidRPr="00475D56" w:rsidRDefault="00A4300C" w:rsidP="00A430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highlight w:val="yellow"/>
              </w:rPr>
            </w:pPr>
            <w:r w:rsidRPr="000402DB">
              <w:rPr>
                <w:rFonts w:ascii="Calibri" w:eastAsia="Times New Roman" w:hAnsi="Calibri" w:cs="Calibri"/>
                <w:b/>
                <w:color w:val="00B050"/>
                <w:szCs w:val="24"/>
                <w:lang w:eastAsia="en-GB"/>
              </w:rPr>
              <w:t>GREEN</w:t>
            </w:r>
          </w:p>
        </w:tc>
      </w:tr>
      <w:tr w:rsidR="00A4300C" w:rsidRPr="00B6615A" w14:paraId="54963359" w14:textId="77777777" w:rsidTr="008D20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tcPr>
          <w:p w14:paraId="5DE46371" w14:textId="77777777" w:rsidR="00A4300C" w:rsidRPr="00B6615A" w:rsidRDefault="00A4300C" w:rsidP="00A4300C">
            <w:pPr>
              <w:jc w:val="center"/>
              <w:rPr>
                <w:rFonts w:ascii="Calibri" w:hAnsi="Calibri" w:cs="Calibri"/>
                <w:b w:val="0"/>
                <w:szCs w:val="24"/>
              </w:rPr>
            </w:pPr>
          </w:p>
        </w:tc>
        <w:tc>
          <w:tcPr>
            <w:tcW w:w="2136" w:type="dxa"/>
          </w:tcPr>
          <w:p w14:paraId="1DC7BD0C" w14:textId="77777777" w:rsidR="00A4300C" w:rsidRPr="00E52E7B"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2443" w:type="dxa"/>
          </w:tcPr>
          <w:p w14:paraId="12AC246B" w14:textId="44ED57F7" w:rsidR="00A4300C"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Retirement Profile</w:t>
            </w:r>
          </w:p>
        </w:tc>
        <w:tc>
          <w:tcPr>
            <w:tcW w:w="1948" w:type="dxa"/>
          </w:tcPr>
          <w:p w14:paraId="70FDD30B" w14:textId="47CF3C70" w:rsidR="00A4300C" w:rsidRPr="00475D56"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szCs w:val="24"/>
                <w:highlight w:val="yellow"/>
                <w:lang w:eastAsia="en-GB"/>
              </w:rPr>
            </w:pPr>
            <w:r w:rsidRPr="000402DB">
              <w:rPr>
                <w:rFonts w:ascii="Calibri" w:hAnsi="Calibri" w:cs="Calibri"/>
                <w:b/>
                <w:bCs/>
                <w:color w:val="F79646" w:themeColor="accent6"/>
                <w:szCs w:val="24"/>
              </w:rPr>
              <w:t>AMBER</w:t>
            </w:r>
          </w:p>
        </w:tc>
      </w:tr>
    </w:tbl>
    <w:p w14:paraId="2D4CC489" w14:textId="17EBB8D3" w:rsidR="008D20BE" w:rsidRDefault="008D20BE" w:rsidP="008D20BE">
      <w:pPr>
        <w:spacing w:after="0" w:line="240" w:lineRule="auto"/>
        <w:jc w:val="both"/>
        <w:rPr>
          <w:rFonts w:cstheme="minorHAnsi"/>
          <w:szCs w:val="24"/>
        </w:rPr>
        <w:sectPr w:rsidR="008D20BE" w:rsidSect="00693734">
          <w:headerReference w:type="default" r:id="rId10"/>
          <w:footerReference w:type="default" r:id="rId11"/>
          <w:pgSz w:w="11906" w:h="16838"/>
          <w:pgMar w:top="993" w:right="1440" w:bottom="1440" w:left="1440" w:header="567" w:footer="708" w:gutter="0"/>
          <w:cols w:space="708"/>
          <w:docGrid w:linePitch="360"/>
        </w:sectPr>
      </w:pPr>
    </w:p>
    <w:p w14:paraId="751C7DEE" w14:textId="77777777" w:rsidR="008D20BE" w:rsidRPr="004C035F" w:rsidRDefault="008D20BE" w:rsidP="008D20BE">
      <w:pPr>
        <w:keepNext/>
        <w:keepLines/>
        <w:spacing w:before="40" w:after="0" w:line="259" w:lineRule="auto"/>
        <w:outlineLvl w:val="1"/>
        <w:rPr>
          <w:rFonts w:ascii="Calibri" w:eastAsiaTheme="majorEastAsia" w:hAnsi="Calibri" w:cs="Calibri"/>
          <w:b/>
          <w:color w:val="007DC3"/>
          <w:sz w:val="28"/>
          <w:szCs w:val="28"/>
        </w:rPr>
      </w:pPr>
      <w:r w:rsidRPr="004C035F">
        <w:rPr>
          <w:rFonts w:ascii="Calibri" w:eastAsiaTheme="majorEastAsia" w:hAnsi="Calibri" w:cs="Calibri"/>
          <w:b/>
          <w:color w:val="007DC3"/>
          <w:sz w:val="28"/>
          <w:szCs w:val="28"/>
        </w:rPr>
        <w:lastRenderedPageBreak/>
        <w:t>PERFORMANCE REPORT</w:t>
      </w:r>
    </w:p>
    <w:p w14:paraId="1563F320" w14:textId="77777777" w:rsidR="001428C1" w:rsidRPr="006E0DDA" w:rsidRDefault="001428C1" w:rsidP="001428C1">
      <w:pPr>
        <w:pStyle w:val="Heading2"/>
        <w:shd w:val="clear" w:color="auto" w:fill="007DC3"/>
        <w:jc w:val="center"/>
        <w:rPr>
          <w:rFonts w:ascii="Calibri" w:hAnsi="Calibri" w:cs="Calibri"/>
        </w:rPr>
      </w:pPr>
      <w:r>
        <w:rPr>
          <w:rFonts w:ascii="Calibri" w:hAnsi="Calibri" w:cs="Calibri"/>
        </w:rPr>
        <w:t>WE HAVE PROTECTED NATURE</w:t>
      </w: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1428C1" w:rsidRPr="001428C1" w14:paraId="5B69CD2F" w14:textId="77777777" w:rsidTr="00943F54">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0337B0E" w14:textId="77777777" w:rsidR="008D20BE" w:rsidRPr="001428C1" w:rsidRDefault="008D20BE" w:rsidP="008D20BE">
            <w:pPr>
              <w:jc w:val="center"/>
              <w:rPr>
                <w:rFonts w:ascii="Calibri" w:hAnsi="Calibri" w:cs="Calibri"/>
                <w:szCs w:val="26"/>
              </w:rPr>
            </w:pPr>
            <w:r w:rsidRPr="001428C1">
              <w:rPr>
                <w:rFonts w:ascii="Calibri" w:hAnsi="Calibri" w:cs="Calibri"/>
                <w:szCs w:val="26"/>
              </w:rPr>
              <w:t>CORPORATE PLAN OBJECTIVE</w:t>
            </w:r>
          </w:p>
        </w:tc>
        <w:tc>
          <w:tcPr>
            <w:tcW w:w="1276" w:type="dxa"/>
            <w:vAlign w:val="center"/>
          </w:tcPr>
          <w:p w14:paraId="0204C751" w14:textId="77777777" w:rsidR="008D20BE" w:rsidRPr="001428C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SLT LEAD</w:t>
            </w:r>
          </w:p>
        </w:tc>
        <w:tc>
          <w:tcPr>
            <w:tcW w:w="992" w:type="dxa"/>
            <w:vAlign w:val="center"/>
          </w:tcPr>
          <w:p w14:paraId="0C5F3264" w14:textId="77777777" w:rsidR="008D20BE" w:rsidRPr="001428C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RAG SCORE</w:t>
            </w:r>
          </w:p>
        </w:tc>
        <w:tc>
          <w:tcPr>
            <w:tcW w:w="8930" w:type="dxa"/>
            <w:vAlign w:val="center"/>
          </w:tcPr>
          <w:p w14:paraId="3B1CD024" w14:textId="73A0EF09" w:rsidR="008D20BE" w:rsidRPr="001428C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Q</w:t>
            </w:r>
            <w:r w:rsidR="0011387D">
              <w:rPr>
                <w:rFonts w:ascii="Calibri" w:hAnsi="Calibri" w:cs="Calibri"/>
                <w:szCs w:val="26"/>
              </w:rPr>
              <w:t xml:space="preserve">3 </w:t>
            </w:r>
            <w:r w:rsidR="008D20BE" w:rsidRPr="001428C1">
              <w:rPr>
                <w:rFonts w:ascii="Calibri" w:hAnsi="Calibri" w:cs="Calibri"/>
                <w:szCs w:val="26"/>
              </w:rPr>
              <w:t>UPDATE</w:t>
            </w:r>
          </w:p>
        </w:tc>
      </w:tr>
      <w:tr w:rsidR="008D20BE" w:rsidRPr="00F550D1" w14:paraId="74A216B2" w14:textId="77777777" w:rsidTr="00943F5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4F16602"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t>Lead the delivery of 30% of land and sea being protected by 2030</w:t>
            </w:r>
          </w:p>
        </w:tc>
        <w:tc>
          <w:tcPr>
            <w:tcW w:w="1276" w:type="dxa"/>
            <w:vAlign w:val="center"/>
          </w:tcPr>
          <w:p w14:paraId="3BE31DB7"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12F7B7CC"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F550D1">
              <w:rPr>
                <w:rFonts w:ascii="Calibri" w:hAnsi="Calibri" w:cs="Calibri"/>
                <w:b/>
              </w:rPr>
              <w:t>GREEN</w:t>
            </w:r>
          </w:p>
        </w:tc>
        <w:tc>
          <w:tcPr>
            <w:tcW w:w="8930" w:type="dxa"/>
            <w:vAlign w:val="center"/>
          </w:tcPr>
          <w:p w14:paraId="07730C12" w14:textId="56F28503" w:rsidR="00392215" w:rsidRPr="002062E0" w:rsidRDefault="00392215" w:rsidP="002062E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Commence</w:t>
            </w:r>
            <w:r w:rsidR="004E24F1">
              <w:rPr>
                <w:rFonts w:ascii="Calibri" w:hAnsi="Calibri" w:cs="Calibri"/>
                <w:color w:val="000000"/>
                <w:szCs w:val="24"/>
              </w:rPr>
              <w:t>d</w:t>
            </w:r>
            <w:r w:rsidRPr="002062E0">
              <w:rPr>
                <w:rFonts w:ascii="Calibri" w:hAnsi="Calibri" w:cs="Calibri"/>
                <w:color w:val="000000"/>
                <w:szCs w:val="24"/>
              </w:rPr>
              <w:t xml:space="preserve"> work with N</w:t>
            </w:r>
            <w:r w:rsidR="00E565BF">
              <w:rPr>
                <w:rFonts w:ascii="Calibri" w:hAnsi="Calibri" w:cs="Calibri"/>
                <w:color w:val="000000"/>
                <w:szCs w:val="24"/>
              </w:rPr>
              <w:t xml:space="preserve">atural </w:t>
            </w:r>
            <w:r w:rsidRPr="002062E0">
              <w:rPr>
                <w:rFonts w:ascii="Calibri" w:hAnsi="Calibri" w:cs="Calibri"/>
                <w:color w:val="000000"/>
                <w:szCs w:val="24"/>
              </w:rPr>
              <w:t>E</w:t>
            </w:r>
            <w:r w:rsidR="00E565BF">
              <w:rPr>
                <w:rFonts w:ascii="Calibri" w:hAnsi="Calibri" w:cs="Calibri"/>
                <w:color w:val="000000"/>
                <w:szCs w:val="24"/>
              </w:rPr>
              <w:t>nvironment (NE)</w:t>
            </w:r>
            <w:r w:rsidRPr="002062E0">
              <w:rPr>
                <w:rFonts w:ascii="Calibri" w:hAnsi="Calibri" w:cs="Calibri"/>
                <w:color w:val="000000"/>
                <w:szCs w:val="24"/>
              </w:rPr>
              <w:t xml:space="preserve"> Bill team over Protected Area legislative changes</w:t>
            </w:r>
            <w:r w:rsidR="00AA762D">
              <w:rPr>
                <w:rFonts w:ascii="Calibri" w:hAnsi="Calibri" w:cs="Calibri"/>
                <w:color w:val="000000"/>
                <w:szCs w:val="24"/>
              </w:rPr>
              <w:t>.</w:t>
            </w:r>
          </w:p>
          <w:p w14:paraId="3F1B4E93" w14:textId="42FE3EB3" w:rsidR="00392215" w:rsidRPr="002062E0" w:rsidRDefault="00392215" w:rsidP="002062E0">
            <w:pPr>
              <w:pStyle w:val="ListParagraph"/>
              <w:numPr>
                <w:ilvl w:val="0"/>
                <w:numId w:val="3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Team supporting development of draft Policy instructions for NE Bill Protected Area reform</w:t>
            </w:r>
            <w:r w:rsidR="004E24F1">
              <w:rPr>
                <w:rFonts w:ascii="Calibri" w:hAnsi="Calibri" w:cs="Calibri"/>
                <w:color w:val="000000"/>
                <w:szCs w:val="24"/>
              </w:rPr>
              <w:t xml:space="preserve"> largely</w:t>
            </w:r>
            <w:r w:rsidRPr="002062E0">
              <w:rPr>
                <w:rFonts w:ascii="Calibri" w:hAnsi="Calibri" w:cs="Calibri"/>
                <w:color w:val="000000"/>
                <w:szCs w:val="24"/>
              </w:rPr>
              <w:t xml:space="preserve"> complete</w:t>
            </w:r>
            <w:r w:rsidR="004E24F1">
              <w:rPr>
                <w:rFonts w:ascii="Calibri" w:hAnsi="Calibri" w:cs="Calibri"/>
                <w:color w:val="000000"/>
                <w:szCs w:val="24"/>
              </w:rPr>
              <w:t>d</w:t>
            </w:r>
            <w:r w:rsidRPr="002062E0">
              <w:rPr>
                <w:rFonts w:ascii="Calibri" w:hAnsi="Calibri" w:cs="Calibri"/>
                <w:color w:val="000000"/>
                <w:szCs w:val="24"/>
              </w:rPr>
              <w:t xml:space="preserve"> by end of Quarter.</w:t>
            </w:r>
          </w:p>
          <w:p w14:paraId="41A13FDA" w14:textId="30E59DB5" w:rsidR="00392215" w:rsidRPr="002062E0" w:rsidRDefault="00392215" w:rsidP="002062E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Commence</w:t>
            </w:r>
            <w:r w:rsidR="004E24F1">
              <w:rPr>
                <w:rFonts w:ascii="Calibri" w:hAnsi="Calibri" w:cs="Calibri"/>
                <w:color w:val="000000"/>
                <w:szCs w:val="24"/>
              </w:rPr>
              <w:t>d</w:t>
            </w:r>
            <w:r w:rsidRPr="002062E0">
              <w:rPr>
                <w:rFonts w:ascii="Calibri" w:hAnsi="Calibri" w:cs="Calibri"/>
                <w:color w:val="000000"/>
                <w:szCs w:val="24"/>
              </w:rPr>
              <w:t xml:space="preserve"> spatial data analysis to support 30x30 and Nature Networks</w:t>
            </w:r>
          </w:p>
          <w:p w14:paraId="5D72D441" w14:textId="223178F7" w:rsidR="00392215" w:rsidRPr="002062E0" w:rsidRDefault="00392215" w:rsidP="002062E0">
            <w:pPr>
              <w:pStyle w:val="ListParagraph"/>
              <w:numPr>
                <w:ilvl w:val="0"/>
                <w:numId w:val="3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This work has commenced and staff</w:t>
            </w:r>
            <w:r w:rsidR="008019F4">
              <w:rPr>
                <w:rFonts w:ascii="Calibri" w:hAnsi="Calibri" w:cs="Calibri"/>
                <w:color w:val="000000"/>
                <w:szCs w:val="24"/>
              </w:rPr>
              <w:t xml:space="preserve"> are</w:t>
            </w:r>
            <w:r w:rsidRPr="002062E0">
              <w:rPr>
                <w:rFonts w:ascii="Calibri" w:hAnsi="Calibri" w:cs="Calibri"/>
                <w:color w:val="000000"/>
                <w:szCs w:val="24"/>
              </w:rPr>
              <w:t xml:space="preserve"> in post for this work. </w:t>
            </w:r>
          </w:p>
          <w:p w14:paraId="611118D0" w14:textId="73DFE585" w:rsidR="00392215" w:rsidRPr="002062E0" w:rsidRDefault="00392215" w:rsidP="002062E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Commence</w:t>
            </w:r>
            <w:r w:rsidR="004E24F1">
              <w:rPr>
                <w:rFonts w:ascii="Calibri" w:hAnsi="Calibri" w:cs="Calibri"/>
                <w:color w:val="000000"/>
                <w:szCs w:val="24"/>
              </w:rPr>
              <w:t>d</w:t>
            </w:r>
            <w:r w:rsidRPr="002062E0">
              <w:rPr>
                <w:rFonts w:ascii="Calibri" w:hAnsi="Calibri" w:cs="Calibri"/>
                <w:color w:val="000000"/>
                <w:szCs w:val="24"/>
              </w:rPr>
              <w:t xml:space="preserve"> development of Nature Networks tool and toolbox</w:t>
            </w:r>
          </w:p>
          <w:p w14:paraId="3FF34A7A" w14:textId="3C520917" w:rsidR="00392215" w:rsidRPr="002062E0" w:rsidRDefault="00392215" w:rsidP="002062E0">
            <w:pPr>
              <w:pStyle w:val="ListParagraph"/>
              <w:numPr>
                <w:ilvl w:val="0"/>
                <w:numId w:val="3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Toolbox draft launched on NatureScot website, Nature Networks tool in development and on target currently working with 5 local authorities to produce LA level maps.</w:t>
            </w:r>
          </w:p>
          <w:p w14:paraId="737D1012" w14:textId="6D28DCE7" w:rsidR="00392215" w:rsidRPr="002062E0" w:rsidRDefault="00771336" w:rsidP="002062E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 xml:space="preserve">National Parks: </w:t>
            </w:r>
            <w:r w:rsidR="00392215" w:rsidRPr="002062E0">
              <w:rPr>
                <w:rFonts w:ascii="Calibri" w:hAnsi="Calibri" w:cs="Calibri"/>
                <w:color w:val="000000"/>
                <w:szCs w:val="24"/>
              </w:rPr>
              <w:t>Support Scottish Government and provision of expert advice during nominations phase (Commencing October)</w:t>
            </w:r>
          </w:p>
          <w:p w14:paraId="57550B5F" w14:textId="4026C03B" w:rsidR="00DD1243" w:rsidRPr="002062E0" w:rsidRDefault="00392215" w:rsidP="002062E0">
            <w:pPr>
              <w:pStyle w:val="ListParagraph"/>
              <w:numPr>
                <w:ilvl w:val="0"/>
                <w:numId w:val="3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4"/>
              </w:rPr>
            </w:pPr>
            <w:bookmarkStart w:id="2" w:name="_Hlk155879364"/>
            <w:r w:rsidRPr="002062E0">
              <w:rPr>
                <w:rFonts w:ascii="Calibri" w:hAnsi="Calibri" w:cs="Calibri"/>
                <w:color w:val="000000"/>
                <w:szCs w:val="24"/>
              </w:rPr>
              <w:t xml:space="preserve">Organisation and delivery with Scottish Government of a technical workshop attended by over 60 </w:t>
            </w:r>
            <w:r w:rsidR="008019F4">
              <w:rPr>
                <w:rFonts w:ascii="Calibri" w:hAnsi="Calibri" w:cs="Calibri"/>
                <w:color w:val="000000"/>
                <w:szCs w:val="24"/>
              </w:rPr>
              <w:t>people</w:t>
            </w:r>
            <w:r w:rsidR="008019F4" w:rsidRPr="002062E0">
              <w:rPr>
                <w:rFonts w:ascii="Calibri" w:hAnsi="Calibri" w:cs="Calibri"/>
                <w:color w:val="000000"/>
                <w:szCs w:val="24"/>
              </w:rPr>
              <w:t xml:space="preserve"> </w:t>
            </w:r>
            <w:r w:rsidRPr="002062E0">
              <w:rPr>
                <w:rFonts w:ascii="Calibri" w:hAnsi="Calibri" w:cs="Calibri"/>
                <w:color w:val="000000"/>
                <w:szCs w:val="24"/>
              </w:rPr>
              <w:t>from</w:t>
            </w:r>
            <w:r w:rsidR="003B04D5">
              <w:rPr>
                <w:rFonts w:ascii="Calibri" w:hAnsi="Calibri" w:cs="Calibri"/>
                <w:color w:val="000000"/>
                <w:szCs w:val="24"/>
              </w:rPr>
              <w:t xml:space="preserve"> </w:t>
            </w:r>
            <w:r w:rsidR="003B04D5" w:rsidRPr="003B04D5">
              <w:rPr>
                <w:rFonts w:ascii="Calibri" w:hAnsi="Calibri" w:cs="Calibri"/>
                <w:color w:val="000000"/>
                <w:szCs w:val="24"/>
              </w:rPr>
              <w:t>more than 10 nominating groups and a number of relevant public bodies</w:t>
            </w:r>
            <w:bookmarkEnd w:id="2"/>
            <w:r w:rsidR="003B04D5">
              <w:rPr>
                <w:rFonts w:ascii="Calibri" w:hAnsi="Calibri" w:cs="Calibri"/>
                <w:color w:val="000000"/>
                <w:szCs w:val="24"/>
              </w:rPr>
              <w:t>.</w:t>
            </w:r>
          </w:p>
        </w:tc>
      </w:tr>
      <w:tr w:rsidR="008D20BE" w:rsidRPr="00F550D1" w14:paraId="7D502F11" w14:textId="77777777" w:rsidTr="00943F54">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94DAD0B"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lastRenderedPageBreak/>
              <w:t>Build stronger collaboration reducing the impacts of deer and modernise our wildlife management and underpinning licencing functions to enable a net zero and nature positive future</w:t>
            </w:r>
          </w:p>
        </w:tc>
        <w:tc>
          <w:tcPr>
            <w:tcW w:w="1276" w:type="dxa"/>
            <w:vAlign w:val="center"/>
          </w:tcPr>
          <w:p w14:paraId="03F4349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2" w:type="dxa"/>
            <w:shd w:val="clear" w:color="auto" w:fill="9BBB59" w:themeFill="accent3"/>
            <w:vAlign w:val="center"/>
          </w:tcPr>
          <w:p w14:paraId="4A919A02"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F550D1">
              <w:rPr>
                <w:rFonts w:ascii="Calibri" w:hAnsi="Calibri" w:cs="Calibri"/>
                <w:b/>
              </w:rPr>
              <w:t>G</w:t>
            </w:r>
            <w:r w:rsidRPr="00F550D1">
              <w:rPr>
                <w:rFonts w:ascii="Calibri" w:hAnsi="Calibri" w:cs="Calibri"/>
                <w:b/>
                <w:shd w:val="clear" w:color="auto" w:fill="9BBB59" w:themeFill="accent3"/>
              </w:rPr>
              <w:t>REE</w:t>
            </w:r>
            <w:r w:rsidRPr="00F550D1">
              <w:rPr>
                <w:rFonts w:ascii="Calibri" w:hAnsi="Calibri" w:cs="Calibri"/>
                <w:b/>
              </w:rPr>
              <w:t>N</w:t>
            </w:r>
          </w:p>
        </w:tc>
        <w:tc>
          <w:tcPr>
            <w:tcW w:w="8930" w:type="dxa"/>
            <w:vAlign w:val="center"/>
          </w:tcPr>
          <w:p w14:paraId="1711D010" w14:textId="77777777" w:rsidR="00E565BF" w:rsidRPr="00E565BF" w:rsidRDefault="00392215" w:rsidP="00E565B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565BF">
              <w:rPr>
                <w:rFonts w:ascii="Calibri" w:hAnsi="Calibri" w:cs="Calibri"/>
                <w:color w:val="000000"/>
                <w:szCs w:val="24"/>
              </w:rPr>
              <w:t>Deer</w:t>
            </w:r>
          </w:p>
          <w:p w14:paraId="10B7FFDE" w14:textId="06C5D6D4" w:rsidR="00392215" w:rsidRDefault="00392215" w:rsidP="0039221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2215">
              <w:rPr>
                <w:rFonts w:ascii="Calibri" w:hAnsi="Calibri" w:cs="Calibri"/>
                <w:color w:val="000000"/>
                <w:szCs w:val="24"/>
              </w:rPr>
              <w:t>Secondary legislation on image intensifying scopes and firearms order amendments have passed through parliament and been enacted. Corresponding Best Practice Guidance has also been developed and published. The primary legislation consultation is due to start in early Q4 so significant work done with SG to outline the new measures to be taken forward to enhance Nature</w:t>
            </w:r>
            <w:r>
              <w:rPr>
                <w:rFonts w:ascii="Calibri" w:hAnsi="Calibri" w:cs="Calibri"/>
                <w:color w:val="000000"/>
                <w:szCs w:val="24"/>
              </w:rPr>
              <w:t>S</w:t>
            </w:r>
            <w:r w:rsidRPr="00392215">
              <w:rPr>
                <w:rFonts w:ascii="Calibri" w:hAnsi="Calibri" w:cs="Calibri"/>
                <w:color w:val="000000"/>
                <w:szCs w:val="24"/>
              </w:rPr>
              <w:t>cot regulatory functions alongside other Deer Working Group recommendations.</w:t>
            </w:r>
          </w:p>
          <w:p w14:paraId="43718EAC" w14:textId="3188BDE8" w:rsidR="00392215" w:rsidRDefault="00392215" w:rsidP="0039221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2215">
              <w:rPr>
                <w:rFonts w:ascii="Calibri" w:hAnsi="Calibri" w:cs="Calibri"/>
                <w:color w:val="000000"/>
                <w:szCs w:val="24"/>
              </w:rPr>
              <w:t xml:space="preserve">Internal assessment approach developed to assess, quantify and identify </w:t>
            </w:r>
            <w:r w:rsidR="00E565BF">
              <w:rPr>
                <w:rFonts w:ascii="Calibri" w:hAnsi="Calibri" w:cs="Calibri"/>
                <w:color w:val="000000"/>
                <w:szCs w:val="24"/>
              </w:rPr>
              <w:t>Deer Management Groups (</w:t>
            </w:r>
            <w:r w:rsidRPr="00392215">
              <w:rPr>
                <w:rFonts w:ascii="Calibri" w:hAnsi="Calibri" w:cs="Calibri"/>
                <w:color w:val="000000"/>
                <w:szCs w:val="24"/>
              </w:rPr>
              <w:t>DMGs</w:t>
            </w:r>
            <w:r w:rsidR="00E565BF">
              <w:rPr>
                <w:rFonts w:ascii="Calibri" w:hAnsi="Calibri" w:cs="Calibri"/>
                <w:color w:val="000000"/>
                <w:szCs w:val="24"/>
              </w:rPr>
              <w:t>)</w:t>
            </w:r>
            <w:r w:rsidRPr="00392215">
              <w:rPr>
                <w:rFonts w:ascii="Calibri" w:hAnsi="Calibri" w:cs="Calibri"/>
                <w:color w:val="000000"/>
                <w:szCs w:val="24"/>
              </w:rPr>
              <w:t xml:space="preserve"> / sites with deer density </w:t>
            </w:r>
            <w:r w:rsidR="003E3649">
              <w:rPr>
                <w:rFonts w:ascii="Calibri" w:hAnsi="Calibri" w:cs="Calibri"/>
                <w:color w:val="000000"/>
                <w:szCs w:val="24"/>
              </w:rPr>
              <w:t>&gt;</w:t>
            </w:r>
            <w:r w:rsidRPr="00392215">
              <w:rPr>
                <w:rFonts w:ascii="Calibri" w:hAnsi="Calibri" w:cs="Calibri"/>
                <w:color w:val="000000"/>
                <w:szCs w:val="24"/>
              </w:rPr>
              <w:t xml:space="preserve">10/km2 with damage to public interest and loss of confidence in effective </w:t>
            </w:r>
            <w:r w:rsidR="00D963E1">
              <w:rPr>
                <w:rFonts w:ascii="Calibri" w:hAnsi="Calibri" w:cs="Calibri"/>
                <w:color w:val="000000"/>
                <w:szCs w:val="24"/>
              </w:rPr>
              <w:t>Deer Management Plan (</w:t>
            </w:r>
            <w:r w:rsidRPr="00392215">
              <w:rPr>
                <w:rFonts w:ascii="Calibri" w:hAnsi="Calibri" w:cs="Calibri"/>
                <w:color w:val="000000"/>
                <w:szCs w:val="24"/>
              </w:rPr>
              <w:t>DMP</w:t>
            </w:r>
            <w:r w:rsidR="00D963E1">
              <w:rPr>
                <w:rFonts w:ascii="Calibri" w:hAnsi="Calibri" w:cs="Calibri"/>
                <w:color w:val="000000"/>
                <w:szCs w:val="24"/>
              </w:rPr>
              <w:t>)</w:t>
            </w:r>
            <w:r w:rsidRPr="00392215">
              <w:rPr>
                <w:rFonts w:ascii="Calibri" w:hAnsi="Calibri" w:cs="Calibri"/>
                <w:color w:val="000000"/>
                <w:szCs w:val="24"/>
              </w:rPr>
              <w:t xml:space="preserve"> delivery. Triage approach will allow linkage with priority areas identified through the Operational Delivery Workstream (ODW). Regulatory planner to consider tools of Section 6,7,8,10 to seek resolution whist giving</w:t>
            </w:r>
            <w:r w:rsidR="003B04D5">
              <w:rPr>
                <w:rFonts w:ascii="Calibri" w:hAnsi="Calibri" w:cs="Calibri"/>
                <w:color w:val="000000"/>
                <w:szCs w:val="24"/>
              </w:rPr>
              <w:t xml:space="preserve"> </w:t>
            </w:r>
            <w:r w:rsidRPr="00392215">
              <w:rPr>
                <w:rFonts w:ascii="Calibri" w:hAnsi="Calibri" w:cs="Calibri"/>
                <w:color w:val="000000"/>
                <w:szCs w:val="24"/>
              </w:rPr>
              <w:t xml:space="preserve">consideration to application, appropriateness and legal position and resourcing required. Through ODW and priority site subgroups work with partners in </w:t>
            </w:r>
            <w:r w:rsidR="00E565BF">
              <w:rPr>
                <w:rFonts w:ascii="Calibri" w:hAnsi="Calibri" w:cs="Calibri"/>
                <w:color w:val="000000"/>
                <w:szCs w:val="24"/>
              </w:rPr>
              <w:t>Forestry and Land Scotland (</w:t>
            </w:r>
            <w:r w:rsidRPr="00392215">
              <w:rPr>
                <w:rFonts w:ascii="Calibri" w:hAnsi="Calibri" w:cs="Calibri"/>
                <w:color w:val="000000"/>
                <w:szCs w:val="24"/>
              </w:rPr>
              <w:t>FLS</w:t>
            </w:r>
            <w:r w:rsidR="00E565BF">
              <w:rPr>
                <w:rFonts w:ascii="Calibri" w:hAnsi="Calibri" w:cs="Calibri"/>
                <w:color w:val="000000"/>
                <w:szCs w:val="24"/>
              </w:rPr>
              <w:t>)</w:t>
            </w:r>
            <w:r w:rsidRPr="00392215">
              <w:rPr>
                <w:rFonts w:ascii="Calibri" w:hAnsi="Calibri" w:cs="Calibri"/>
                <w:color w:val="000000"/>
                <w:szCs w:val="24"/>
              </w:rPr>
              <w:t xml:space="preserve">, </w:t>
            </w:r>
            <w:r w:rsidR="00D963E1">
              <w:rPr>
                <w:rFonts w:ascii="Calibri" w:hAnsi="Calibri" w:cs="Calibri"/>
                <w:color w:val="000000"/>
                <w:szCs w:val="24"/>
              </w:rPr>
              <w:t>Scottish Forestry (</w:t>
            </w:r>
            <w:r w:rsidRPr="00392215">
              <w:rPr>
                <w:rFonts w:ascii="Calibri" w:hAnsi="Calibri" w:cs="Calibri"/>
                <w:color w:val="000000"/>
                <w:szCs w:val="24"/>
              </w:rPr>
              <w:t>SF</w:t>
            </w:r>
            <w:r w:rsidR="00D963E1">
              <w:rPr>
                <w:rFonts w:ascii="Calibri" w:hAnsi="Calibri" w:cs="Calibri"/>
                <w:color w:val="000000"/>
                <w:szCs w:val="24"/>
              </w:rPr>
              <w:t>)</w:t>
            </w:r>
            <w:r w:rsidRPr="00392215">
              <w:rPr>
                <w:rFonts w:ascii="Calibri" w:hAnsi="Calibri" w:cs="Calibri"/>
                <w:color w:val="000000"/>
                <w:szCs w:val="24"/>
              </w:rPr>
              <w:t xml:space="preserve">, </w:t>
            </w:r>
            <w:r w:rsidR="00E565BF">
              <w:rPr>
                <w:rFonts w:ascii="Calibri" w:hAnsi="Calibri" w:cs="Calibri"/>
                <w:color w:val="000000"/>
                <w:szCs w:val="24"/>
              </w:rPr>
              <w:t>Loch Lomond &amp; The Trossachs National Park (</w:t>
            </w:r>
            <w:r w:rsidRPr="00392215">
              <w:rPr>
                <w:rFonts w:ascii="Calibri" w:hAnsi="Calibri" w:cs="Calibri"/>
                <w:color w:val="000000"/>
                <w:szCs w:val="24"/>
              </w:rPr>
              <w:t>LLTNP</w:t>
            </w:r>
            <w:r w:rsidR="00E565BF">
              <w:rPr>
                <w:rFonts w:ascii="Calibri" w:hAnsi="Calibri" w:cs="Calibri"/>
                <w:color w:val="000000"/>
                <w:szCs w:val="24"/>
              </w:rPr>
              <w:t>)</w:t>
            </w:r>
            <w:r w:rsidRPr="00392215">
              <w:rPr>
                <w:rFonts w:ascii="Calibri" w:hAnsi="Calibri" w:cs="Calibri"/>
                <w:color w:val="000000"/>
                <w:szCs w:val="24"/>
              </w:rPr>
              <w:t xml:space="preserve"> and </w:t>
            </w:r>
            <w:r w:rsidR="00E565BF">
              <w:rPr>
                <w:rFonts w:ascii="Calibri" w:hAnsi="Calibri" w:cs="Calibri"/>
                <w:color w:val="000000"/>
                <w:szCs w:val="24"/>
              </w:rPr>
              <w:t xml:space="preserve">Cairngorm </w:t>
            </w:r>
            <w:r w:rsidR="00843646">
              <w:rPr>
                <w:rFonts w:ascii="Calibri" w:hAnsi="Calibri" w:cs="Calibri"/>
                <w:color w:val="000000"/>
                <w:szCs w:val="24"/>
              </w:rPr>
              <w:t>National</w:t>
            </w:r>
            <w:r w:rsidR="00E565BF">
              <w:rPr>
                <w:rFonts w:ascii="Calibri" w:hAnsi="Calibri" w:cs="Calibri"/>
                <w:color w:val="000000"/>
                <w:szCs w:val="24"/>
              </w:rPr>
              <w:t xml:space="preserve"> Park Authority (</w:t>
            </w:r>
            <w:r w:rsidRPr="00392215">
              <w:rPr>
                <w:rFonts w:ascii="Calibri" w:hAnsi="Calibri" w:cs="Calibri"/>
                <w:color w:val="000000"/>
                <w:szCs w:val="24"/>
              </w:rPr>
              <w:t>CNPA</w:t>
            </w:r>
            <w:r w:rsidR="00E565BF">
              <w:rPr>
                <w:rFonts w:ascii="Calibri" w:hAnsi="Calibri" w:cs="Calibri"/>
                <w:color w:val="000000"/>
                <w:szCs w:val="24"/>
              </w:rPr>
              <w:t>)</w:t>
            </w:r>
            <w:r w:rsidRPr="00392215">
              <w:rPr>
                <w:rFonts w:ascii="Calibri" w:hAnsi="Calibri" w:cs="Calibri"/>
                <w:color w:val="000000"/>
                <w:szCs w:val="24"/>
              </w:rPr>
              <w:t xml:space="preserve"> to develop action plans for Alliance for Scotland's rainforest areas - Morvern and Appin areas, LLTNP, Central Scotland Priority Zone and CNPA. Current s7 in Caenlochan progressing on track, progression of s8 for Loch Choire has been agreed by the Board and will be progressed for Min</w:t>
            </w:r>
            <w:r w:rsidR="00320CAE">
              <w:rPr>
                <w:rFonts w:ascii="Calibri" w:hAnsi="Calibri" w:cs="Calibri"/>
                <w:color w:val="000000"/>
                <w:szCs w:val="24"/>
              </w:rPr>
              <w:t>i</w:t>
            </w:r>
            <w:r w:rsidRPr="00392215">
              <w:rPr>
                <w:rFonts w:ascii="Calibri" w:hAnsi="Calibri" w:cs="Calibri"/>
                <w:color w:val="000000"/>
                <w:szCs w:val="24"/>
              </w:rPr>
              <w:t>sters approval, review of North Ross s7 April 2024. S10 action for Strathnaver pending and scoping for Northern DMG for 6A / s7 route underway.</w:t>
            </w:r>
          </w:p>
          <w:p w14:paraId="3BC2D5A1" w14:textId="77777777" w:rsidR="00E565BF" w:rsidRPr="00E565BF" w:rsidRDefault="00392215" w:rsidP="00E565B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565BF">
              <w:rPr>
                <w:rFonts w:ascii="Calibri" w:hAnsi="Calibri" w:cs="Calibri"/>
                <w:color w:val="000000"/>
                <w:szCs w:val="24"/>
              </w:rPr>
              <w:t xml:space="preserve">Licensing </w:t>
            </w:r>
          </w:p>
          <w:p w14:paraId="27FE13C7" w14:textId="4083D6A8" w:rsidR="00392215" w:rsidRDefault="00392215" w:rsidP="0039221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2215">
              <w:rPr>
                <w:rFonts w:ascii="Calibri" w:hAnsi="Calibri" w:cs="Calibri"/>
                <w:color w:val="000000"/>
                <w:szCs w:val="24"/>
              </w:rPr>
              <w:t>H</w:t>
            </w:r>
            <w:r w:rsidR="00EF3A3C">
              <w:rPr>
                <w:rFonts w:ascii="Calibri" w:hAnsi="Calibri" w:cs="Calibri"/>
                <w:color w:val="000000"/>
                <w:szCs w:val="24"/>
              </w:rPr>
              <w:t>unting with Dogs</w:t>
            </w:r>
            <w:r w:rsidRPr="00392215">
              <w:rPr>
                <w:rFonts w:ascii="Calibri" w:hAnsi="Calibri" w:cs="Calibri"/>
                <w:color w:val="000000"/>
                <w:szCs w:val="24"/>
              </w:rPr>
              <w:t xml:space="preserve"> guidance published and Act commenced in November. Good progress on turnaround of </w:t>
            </w:r>
            <w:r w:rsidR="00320CAE">
              <w:rPr>
                <w:rFonts w:ascii="Calibri" w:hAnsi="Calibri" w:cs="Calibri"/>
                <w:color w:val="000000"/>
                <w:szCs w:val="24"/>
              </w:rPr>
              <w:t xml:space="preserve">all </w:t>
            </w:r>
            <w:r w:rsidRPr="00392215">
              <w:rPr>
                <w:rFonts w:ascii="Calibri" w:hAnsi="Calibri" w:cs="Calibri"/>
                <w:color w:val="000000"/>
                <w:szCs w:val="24"/>
              </w:rPr>
              <w:t>licencing applications with almost full staffing compl</w:t>
            </w:r>
            <w:r w:rsidR="008019F4">
              <w:rPr>
                <w:rFonts w:ascii="Calibri" w:hAnsi="Calibri" w:cs="Calibri"/>
                <w:color w:val="000000"/>
                <w:szCs w:val="24"/>
              </w:rPr>
              <w:t>e</w:t>
            </w:r>
            <w:r w:rsidRPr="00392215">
              <w:rPr>
                <w:rFonts w:ascii="Calibri" w:hAnsi="Calibri" w:cs="Calibri"/>
                <w:color w:val="000000"/>
                <w:szCs w:val="24"/>
              </w:rPr>
              <w:t>ment</w:t>
            </w:r>
            <w:r w:rsidR="00320CAE">
              <w:rPr>
                <w:rFonts w:ascii="Calibri" w:hAnsi="Calibri" w:cs="Calibri"/>
                <w:color w:val="000000"/>
                <w:szCs w:val="24"/>
              </w:rPr>
              <w:t xml:space="preserve"> now in place</w:t>
            </w:r>
            <w:r w:rsidRPr="00392215">
              <w:rPr>
                <w:rFonts w:ascii="Calibri" w:hAnsi="Calibri" w:cs="Calibri"/>
                <w:color w:val="000000"/>
                <w:szCs w:val="24"/>
              </w:rPr>
              <w:t>.</w:t>
            </w:r>
            <w:r w:rsidR="0011387D">
              <w:rPr>
                <w:rFonts w:ascii="Calibri" w:hAnsi="Calibri" w:cs="Calibri"/>
                <w:color w:val="000000"/>
                <w:szCs w:val="24"/>
              </w:rPr>
              <w:t xml:space="preserve"> Data on licensing types</w:t>
            </w:r>
            <w:r w:rsidRPr="00392215">
              <w:rPr>
                <w:rFonts w:ascii="Calibri" w:hAnsi="Calibri" w:cs="Calibri"/>
                <w:color w:val="000000"/>
                <w:szCs w:val="24"/>
              </w:rPr>
              <w:t xml:space="preserve">, species taken or killed </w:t>
            </w:r>
            <w:r w:rsidR="00320CAE">
              <w:rPr>
                <w:rFonts w:ascii="Calibri" w:hAnsi="Calibri" w:cs="Calibri"/>
                <w:color w:val="000000"/>
                <w:szCs w:val="24"/>
              </w:rPr>
              <w:t xml:space="preserve">has been </w:t>
            </w:r>
            <w:r w:rsidRPr="00392215">
              <w:rPr>
                <w:rFonts w:ascii="Calibri" w:hAnsi="Calibri" w:cs="Calibri"/>
                <w:color w:val="000000"/>
                <w:szCs w:val="24"/>
              </w:rPr>
              <w:t>published via Na</w:t>
            </w:r>
            <w:r>
              <w:rPr>
                <w:rFonts w:ascii="Calibri" w:hAnsi="Calibri" w:cs="Calibri"/>
                <w:color w:val="000000"/>
                <w:szCs w:val="24"/>
              </w:rPr>
              <w:t>t</w:t>
            </w:r>
            <w:r w:rsidRPr="00392215">
              <w:rPr>
                <w:rFonts w:ascii="Calibri" w:hAnsi="Calibri" w:cs="Calibri"/>
                <w:color w:val="000000"/>
                <w:szCs w:val="24"/>
              </w:rPr>
              <w:t xml:space="preserve">ureScot web page. Deer online licensing is on track for delivery by end Q4 and route map for online licencing has been produced. </w:t>
            </w:r>
            <w:r w:rsidR="00320CAE">
              <w:rPr>
                <w:rFonts w:ascii="Calibri" w:hAnsi="Calibri" w:cs="Calibri"/>
                <w:color w:val="000000"/>
                <w:szCs w:val="24"/>
              </w:rPr>
              <w:t>We have s</w:t>
            </w:r>
            <w:r w:rsidR="00320CAE" w:rsidRPr="00392215">
              <w:rPr>
                <w:rFonts w:ascii="Calibri" w:hAnsi="Calibri" w:cs="Calibri"/>
                <w:color w:val="000000"/>
                <w:szCs w:val="24"/>
              </w:rPr>
              <w:t>upport</w:t>
            </w:r>
            <w:r w:rsidR="00320CAE">
              <w:rPr>
                <w:rFonts w:ascii="Calibri" w:hAnsi="Calibri" w:cs="Calibri"/>
                <w:color w:val="000000"/>
                <w:szCs w:val="24"/>
              </w:rPr>
              <w:t>ed</w:t>
            </w:r>
            <w:r w:rsidR="00320CAE" w:rsidRPr="00392215">
              <w:rPr>
                <w:rFonts w:ascii="Calibri" w:hAnsi="Calibri" w:cs="Calibri"/>
                <w:color w:val="000000"/>
                <w:szCs w:val="24"/>
              </w:rPr>
              <w:t xml:space="preserve"> </w:t>
            </w:r>
            <w:r w:rsidRPr="00392215">
              <w:rPr>
                <w:rFonts w:ascii="Calibri" w:hAnsi="Calibri" w:cs="Calibri"/>
                <w:color w:val="000000"/>
                <w:szCs w:val="24"/>
              </w:rPr>
              <w:t>SG colleagues and provide</w:t>
            </w:r>
            <w:r w:rsidR="00320CAE">
              <w:rPr>
                <w:rFonts w:ascii="Calibri" w:hAnsi="Calibri" w:cs="Calibri"/>
                <w:color w:val="000000"/>
                <w:szCs w:val="24"/>
              </w:rPr>
              <w:t>d</w:t>
            </w:r>
            <w:r w:rsidRPr="00392215">
              <w:rPr>
                <w:rFonts w:ascii="Calibri" w:hAnsi="Calibri" w:cs="Calibri"/>
                <w:color w:val="000000"/>
                <w:szCs w:val="24"/>
              </w:rPr>
              <w:t xml:space="preserve"> </w:t>
            </w:r>
            <w:r w:rsidR="00EF3A3C">
              <w:rPr>
                <w:rFonts w:ascii="Calibri" w:hAnsi="Calibri" w:cs="Calibri"/>
                <w:color w:val="000000"/>
                <w:szCs w:val="24"/>
              </w:rPr>
              <w:t>the Rural Affairs and Islands (</w:t>
            </w:r>
            <w:r w:rsidR="00320CAE">
              <w:rPr>
                <w:rFonts w:ascii="Calibri" w:hAnsi="Calibri" w:cs="Calibri"/>
                <w:color w:val="000000"/>
                <w:szCs w:val="24"/>
              </w:rPr>
              <w:t>RAI</w:t>
            </w:r>
            <w:r w:rsidR="00EF3A3C">
              <w:rPr>
                <w:rFonts w:ascii="Calibri" w:hAnsi="Calibri" w:cs="Calibri"/>
                <w:color w:val="000000"/>
                <w:szCs w:val="24"/>
              </w:rPr>
              <w:t>)</w:t>
            </w:r>
            <w:r w:rsidR="00320CAE">
              <w:rPr>
                <w:rFonts w:ascii="Calibri" w:hAnsi="Calibri" w:cs="Calibri"/>
                <w:color w:val="000000"/>
                <w:szCs w:val="24"/>
              </w:rPr>
              <w:t xml:space="preserve"> </w:t>
            </w:r>
            <w:r w:rsidRPr="00392215">
              <w:rPr>
                <w:rFonts w:ascii="Calibri" w:hAnsi="Calibri" w:cs="Calibri"/>
                <w:color w:val="000000"/>
                <w:szCs w:val="24"/>
              </w:rPr>
              <w:t xml:space="preserve">committee with advice on Wildlife and </w:t>
            </w:r>
            <w:r w:rsidR="00057D11">
              <w:rPr>
                <w:rFonts w:ascii="Calibri" w:hAnsi="Calibri" w:cs="Calibri"/>
                <w:color w:val="000000"/>
                <w:szCs w:val="24"/>
              </w:rPr>
              <w:t>M</w:t>
            </w:r>
            <w:r w:rsidR="00057D11" w:rsidRPr="00392215">
              <w:rPr>
                <w:rFonts w:ascii="Calibri" w:hAnsi="Calibri" w:cs="Calibri"/>
                <w:color w:val="000000"/>
                <w:szCs w:val="24"/>
              </w:rPr>
              <w:t xml:space="preserve">uirburn </w:t>
            </w:r>
            <w:r w:rsidRPr="00392215">
              <w:rPr>
                <w:rFonts w:ascii="Calibri" w:hAnsi="Calibri" w:cs="Calibri"/>
                <w:color w:val="000000"/>
                <w:szCs w:val="24"/>
              </w:rPr>
              <w:t>Bill at stage 1</w:t>
            </w:r>
            <w:r w:rsidR="00320CAE">
              <w:rPr>
                <w:rFonts w:ascii="Calibri" w:hAnsi="Calibri" w:cs="Calibri"/>
                <w:color w:val="000000"/>
                <w:szCs w:val="24"/>
              </w:rPr>
              <w:t xml:space="preserve"> – work on the </w:t>
            </w:r>
            <w:r w:rsidR="00EF3A3C">
              <w:rPr>
                <w:rFonts w:ascii="Calibri" w:hAnsi="Calibri" w:cs="Calibri"/>
                <w:color w:val="000000"/>
                <w:szCs w:val="24"/>
              </w:rPr>
              <w:t>a</w:t>
            </w:r>
            <w:r w:rsidR="00320CAE">
              <w:rPr>
                <w:rFonts w:ascii="Calibri" w:hAnsi="Calibri" w:cs="Calibri"/>
                <w:color w:val="000000"/>
                <w:szCs w:val="24"/>
              </w:rPr>
              <w:t>ssociated Grouse shooting and Muirburn codes has been taken forward with stakeholder working groups engaged in the process</w:t>
            </w:r>
            <w:r w:rsidRPr="00392215">
              <w:rPr>
                <w:rFonts w:ascii="Calibri" w:hAnsi="Calibri" w:cs="Calibri"/>
                <w:color w:val="000000"/>
                <w:szCs w:val="24"/>
              </w:rPr>
              <w:t>.</w:t>
            </w:r>
          </w:p>
          <w:p w14:paraId="30D46A4D" w14:textId="28C10774" w:rsidR="00392215" w:rsidRDefault="00392215" w:rsidP="0039221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2215">
              <w:rPr>
                <w:rFonts w:ascii="Calibri" w:hAnsi="Calibri" w:cs="Calibri"/>
                <w:color w:val="000000"/>
                <w:szCs w:val="24"/>
              </w:rPr>
              <w:lastRenderedPageBreak/>
              <w:t xml:space="preserve">Beavers - We published the </w:t>
            </w:r>
            <w:r w:rsidR="00D963E1">
              <w:rPr>
                <w:rFonts w:ascii="Calibri" w:hAnsi="Calibri" w:cs="Calibri"/>
                <w:color w:val="000000"/>
                <w:szCs w:val="24"/>
              </w:rPr>
              <w:t>Strategic Environment Assessment (</w:t>
            </w:r>
            <w:r w:rsidRPr="00392215">
              <w:rPr>
                <w:rFonts w:ascii="Calibri" w:hAnsi="Calibri" w:cs="Calibri"/>
                <w:color w:val="000000"/>
                <w:szCs w:val="24"/>
              </w:rPr>
              <w:t>SEA</w:t>
            </w:r>
            <w:r w:rsidR="00D963E1">
              <w:rPr>
                <w:rFonts w:ascii="Calibri" w:hAnsi="Calibri" w:cs="Calibri"/>
                <w:color w:val="000000"/>
                <w:szCs w:val="24"/>
              </w:rPr>
              <w:t>)</w:t>
            </w:r>
            <w:r w:rsidRPr="00392215">
              <w:rPr>
                <w:rFonts w:ascii="Calibri" w:hAnsi="Calibri" w:cs="Calibri"/>
                <w:color w:val="000000"/>
                <w:szCs w:val="24"/>
              </w:rPr>
              <w:t xml:space="preserve"> post adoption reports for the Beauly and Spey catchments and worked with Protected areas on the </w:t>
            </w:r>
            <w:r w:rsidR="00BC1ED8">
              <w:rPr>
                <w:rFonts w:ascii="Calibri" w:hAnsi="Calibri" w:cs="Calibri"/>
                <w:color w:val="000000"/>
                <w:szCs w:val="24"/>
              </w:rPr>
              <w:t>Habitats Regulations Assessment (</w:t>
            </w:r>
            <w:r w:rsidRPr="00392215">
              <w:rPr>
                <w:rFonts w:ascii="Calibri" w:hAnsi="Calibri" w:cs="Calibri"/>
                <w:color w:val="000000"/>
                <w:szCs w:val="24"/>
              </w:rPr>
              <w:t>HRAs</w:t>
            </w:r>
            <w:r w:rsidR="00BC1ED8">
              <w:rPr>
                <w:rFonts w:ascii="Calibri" w:hAnsi="Calibri" w:cs="Calibri"/>
                <w:color w:val="000000"/>
                <w:szCs w:val="24"/>
              </w:rPr>
              <w:t>)</w:t>
            </w:r>
            <w:r w:rsidRPr="00392215">
              <w:rPr>
                <w:rFonts w:ascii="Calibri" w:hAnsi="Calibri" w:cs="Calibri"/>
                <w:color w:val="000000"/>
                <w:szCs w:val="24"/>
              </w:rPr>
              <w:t xml:space="preserve">. We worked with CNPA, FLS and RSPB Scotland to issue 3 beaver wild release licences. We supported land managers through the application for beaver licences and continue to do so for the few remaining licences that are expiring. We reviewed and implemented beaver licensing changes. We have supported </w:t>
            </w:r>
            <w:r w:rsidR="00BC1ED8" w:rsidRPr="00EF1487">
              <w:rPr>
                <w:rFonts w:ascii="Calibri" w:hAnsi="Calibri" w:cs="Calibri"/>
                <w:color w:val="000000"/>
                <w:szCs w:val="24"/>
              </w:rPr>
              <w:t>S</w:t>
            </w:r>
            <w:r w:rsidR="00BC1ED8">
              <w:rPr>
                <w:rFonts w:ascii="Calibri" w:hAnsi="Calibri" w:cs="Calibri"/>
                <w:color w:val="000000"/>
                <w:szCs w:val="24"/>
              </w:rPr>
              <w:t>cottish Beaver Advisory Group (</w:t>
            </w:r>
            <w:r w:rsidRPr="00392215">
              <w:rPr>
                <w:rFonts w:ascii="Calibri" w:hAnsi="Calibri" w:cs="Calibri"/>
                <w:color w:val="000000"/>
                <w:szCs w:val="24"/>
              </w:rPr>
              <w:t>SBAG</w:t>
            </w:r>
            <w:r w:rsidR="00BC1ED8">
              <w:rPr>
                <w:rFonts w:ascii="Calibri" w:hAnsi="Calibri" w:cs="Calibri"/>
                <w:color w:val="000000"/>
                <w:szCs w:val="24"/>
              </w:rPr>
              <w:t>)</w:t>
            </w:r>
            <w:r w:rsidRPr="00392215">
              <w:rPr>
                <w:rFonts w:ascii="Calibri" w:hAnsi="Calibri" w:cs="Calibri"/>
                <w:color w:val="000000"/>
                <w:szCs w:val="24"/>
              </w:rPr>
              <w:t xml:space="preserve"> that met in October and all the sub-groups have met or have meetings arranged for January.</w:t>
            </w:r>
          </w:p>
          <w:p w14:paraId="2E348166" w14:textId="77777777" w:rsidR="00057D11" w:rsidRDefault="00392215" w:rsidP="0039221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92215">
              <w:rPr>
                <w:rFonts w:ascii="Calibri" w:hAnsi="Calibri" w:cs="Calibri"/>
                <w:color w:val="000000"/>
                <w:szCs w:val="24"/>
              </w:rPr>
              <w:t xml:space="preserve">Geese and Sea Eagles - submitted goose policy review to ministers and took forward work on both schemes. </w:t>
            </w:r>
            <w:r w:rsidR="00AC53B1">
              <w:rPr>
                <w:rFonts w:ascii="Calibri" w:hAnsi="Calibri" w:cs="Calibri"/>
                <w:color w:val="000000"/>
                <w:szCs w:val="24"/>
              </w:rPr>
              <w:t>C</w:t>
            </w:r>
            <w:r w:rsidRPr="00392215">
              <w:rPr>
                <w:rFonts w:ascii="Calibri" w:hAnsi="Calibri" w:cs="Calibri"/>
                <w:color w:val="000000"/>
                <w:szCs w:val="24"/>
              </w:rPr>
              <w:t xml:space="preserve">ontentious casework progressed with SG and </w:t>
            </w:r>
            <w:r w:rsidR="00BC1ED8">
              <w:rPr>
                <w:rFonts w:ascii="Calibri" w:hAnsi="Calibri" w:cs="Calibri"/>
                <w:color w:val="000000"/>
                <w:szCs w:val="24"/>
              </w:rPr>
              <w:t>Rural Payments and Inspections Division (</w:t>
            </w:r>
            <w:r w:rsidRPr="00392215">
              <w:rPr>
                <w:rFonts w:ascii="Calibri" w:hAnsi="Calibri" w:cs="Calibri"/>
                <w:color w:val="000000"/>
                <w:szCs w:val="24"/>
              </w:rPr>
              <w:t>RPID</w:t>
            </w:r>
            <w:r w:rsidR="00BC1ED8">
              <w:rPr>
                <w:rFonts w:ascii="Calibri" w:hAnsi="Calibri" w:cs="Calibri"/>
                <w:color w:val="000000"/>
                <w:szCs w:val="24"/>
              </w:rPr>
              <w:t>)</w:t>
            </w:r>
            <w:r w:rsidRPr="00392215">
              <w:rPr>
                <w:rFonts w:ascii="Calibri" w:hAnsi="Calibri" w:cs="Calibri"/>
                <w:color w:val="000000"/>
                <w:szCs w:val="24"/>
              </w:rPr>
              <w:t xml:space="preserve"> colleagues.</w:t>
            </w:r>
          </w:p>
          <w:p w14:paraId="526EBCDC" w14:textId="724107D9" w:rsidR="00DD1243" w:rsidRPr="00392215" w:rsidRDefault="0024027D" w:rsidP="00392215">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4027D">
              <w:rPr>
                <w:rFonts w:ascii="Calibri" w:hAnsi="Calibri" w:cs="Calibri"/>
                <w:color w:val="000000"/>
                <w:szCs w:val="24"/>
              </w:rPr>
              <w:t>SLT discussed paper on Scottish INNS Plan in October and provided a steer on scope, governance and resourcing.  Met with SG Biodiversity Team towards the end of November and agreed for arrangements for a scoping workshop in early 2024.</w:t>
            </w:r>
          </w:p>
        </w:tc>
      </w:tr>
      <w:tr w:rsidR="008D20BE" w:rsidRPr="00F550D1" w14:paraId="6573E668" w14:textId="77777777" w:rsidTr="00943F5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82A95A4" w14:textId="77777777" w:rsidR="008D20BE" w:rsidRPr="00F550D1" w:rsidRDefault="008D20BE" w:rsidP="008D20BE">
            <w:pPr>
              <w:rPr>
                <w:rFonts w:ascii="Calibri" w:hAnsi="Calibri" w:cs="Calibri"/>
                <w:b w:val="0"/>
                <w:color w:val="000000"/>
              </w:rPr>
            </w:pPr>
            <w:r w:rsidRPr="00CA47FF">
              <w:rPr>
                <w:rFonts w:ascii="Calibri" w:hAnsi="Calibri" w:cs="Calibri"/>
                <w:b w:val="0"/>
                <w:color w:val="000000"/>
              </w:rPr>
              <w:lastRenderedPageBreak/>
              <w:t>Engage and influence planning and other regulatory systems to ensure they deliver for nature and climate</w:t>
            </w:r>
          </w:p>
        </w:tc>
        <w:tc>
          <w:tcPr>
            <w:tcW w:w="1276" w:type="dxa"/>
            <w:vAlign w:val="center"/>
          </w:tcPr>
          <w:p w14:paraId="64BB6ECC" w14:textId="77777777" w:rsidR="008D20BE" w:rsidRPr="00FF6F46"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F6F46">
              <w:rPr>
                <w:rFonts w:ascii="Calibri" w:hAnsi="Calibri" w:cs="Calibri"/>
                <w:color w:val="000000"/>
              </w:rPr>
              <w:t>Robbie Kernahan</w:t>
            </w:r>
          </w:p>
        </w:tc>
        <w:tc>
          <w:tcPr>
            <w:tcW w:w="992" w:type="dxa"/>
            <w:shd w:val="clear" w:color="auto" w:fill="9BBB59" w:themeFill="accent3"/>
            <w:vAlign w:val="center"/>
          </w:tcPr>
          <w:p w14:paraId="0596671F"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550D1">
              <w:rPr>
                <w:rFonts w:ascii="Calibri" w:hAnsi="Calibri" w:cs="Calibri"/>
                <w:b/>
              </w:rPr>
              <w:t>GREEN</w:t>
            </w:r>
          </w:p>
        </w:tc>
        <w:tc>
          <w:tcPr>
            <w:tcW w:w="8930" w:type="dxa"/>
            <w:vAlign w:val="center"/>
          </w:tcPr>
          <w:p w14:paraId="307D433D" w14:textId="459FC96E" w:rsidR="002062E0" w:rsidRPr="002062E0" w:rsidRDefault="002062E0" w:rsidP="002062E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062E0">
              <w:rPr>
                <w:rFonts w:ascii="Calibri" w:hAnsi="Calibri" w:cs="Calibri"/>
              </w:rPr>
              <w:t>The initial pilot and business case for InformedDecision was completed and presented to SLT in November. SLT were broadly supportive of the approach but had further questions associated with costs and staffing requirements. A decision was made to seek further information and consider in light of confirmation of our budget settlement in December.</w:t>
            </w:r>
          </w:p>
          <w:p w14:paraId="31E2D728" w14:textId="13939756" w:rsidR="00BC3DA1" w:rsidRPr="002062E0" w:rsidRDefault="002062E0" w:rsidP="002062E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062E0">
              <w:rPr>
                <w:rFonts w:ascii="Calibri" w:hAnsi="Calibri" w:cs="Calibri"/>
              </w:rPr>
              <w:t>Development Management pressures have been managed within existing tolerances during this quarter but feedback from operations colleagues indicates current pressures may be difficult to manage in the longer term.</w:t>
            </w:r>
          </w:p>
          <w:tbl>
            <w:tblPr>
              <w:tblW w:w="0" w:type="auto"/>
              <w:jc w:val="center"/>
              <w:tblLayout w:type="fixed"/>
              <w:tblCellMar>
                <w:left w:w="0" w:type="dxa"/>
                <w:right w:w="0" w:type="dxa"/>
              </w:tblCellMar>
              <w:tblLook w:val="04A0" w:firstRow="1" w:lastRow="0" w:firstColumn="1" w:lastColumn="0" w:noHBand="0" w:noVBand="1"/>
            </w:tblPr>
            <w:tblGrid>
              <w:gridCol w:w="3827"/>
              <w:gridCol w:w="3212"/>
            </w:tblGrid>
            <w:tr w:rsidR="00BC3DA1" w14:paraId="0639B1AC" w14:textId="77777777" w:rsidTr="00BF70B3">
              <w:trPr>
                <w:trHeight w:val="246"/>
                <w:jc w:val="center"/>
              </w:trPr>
              <w:tc>
                <w:tcPr>
                  <w:tcW w:w="3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64F757" w14:textId="77777777" w:rsidR="00BC3DA1" w:rsidRDefault="00BC3DA1" w:rsidP="00BC1ED8">
                  <w:pPr>
                    <w:spacing w:after="0"/>
                    <w:jc w:val="center"/>
                    <w:rPr>
                      <w:b/>
                      <w:bCs/>
                    </w:rPr>
                  </w:pPr>
                  <w:r>
                    <w:rPr>
                      <w:b/>
                      <w:bCs/>
                    </w:rPr>
                    <w:t>Consultation type</w:t>
                  </w:r>
                </w:p>
              </w:tc>
              <w:tc>
                <w:tcPr>
                  <w:tcW w:w="3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1AE54" w14:textId="77777777" w:rsidR="00BC3DA1" w:rsidRDefault="00BC3DA1" w:rsidP="00BC1ED8">
                  <w:pPr>
                    <w:spacing w:after="0"/>
                    <w:jc w:val="center"/>
                    <w:rPr>
                      <w:b/>
                      <w:bCs/>
                    </w:rPr>
                  </w:pPr>
                  <w:r>
                    <w:rPr>
                      <w:b/>
                      <w:bCs/>
                    </w:rPr>
                    <w:t>Total received in Q3 2023/24</w:t>
                  </w:r>
                </w:p>
              </w:tc>
            </w:tr>
            <w:tr w:rsidR="00BC3DA1" w14:paraId="5248E1FF" w14:textId="77777777" w:rsidTr="00BF70B3">
              <w:trPr>
                <w:trHeight w:val="246"/>
                <w:jc w:val="center"/>
              </w:trPr>
              <w:tc>
                <w:tcPr>
                  <w:tcW w:w="3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1CF33" w14:textId="77777777" w:rsidR="00BC3DA1" w:rsidRDefault="00BC3DA1" w:rsidP="00BC1ED8">
                  <w:pPr>
                    <w:spacing w:after="0"/>
                    <w:jc w:val="center"/>
                  </w:pPr>
                  <w:r>
                    <w:t>Planning application consultations</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14:paraId="3956CED0" w14:textId="77777777" w:rsidR="00BC3DA1" w:rsidRDefault="00BC3DA1" w:rsidP="00BC1ED8">
                  <w:pPr>
                    <w:spacing w:after="0"/>
                    <w:jc w:val="center"/>
                  </w:pPr>
                  <w:r>
                    <w:t>131</w:t>
                  </w:r>
                </w:p>
              </w:tc>
            </w:tr>
            <w:tr w:rsidR="00BC3DA1" w14:paraId="29228E75" w14:textId="77777777" w:rsidTr="00BF70B3">
              <w:trPr>
                <w:trHeight w:val="246"/>
                <w:jc w:val="center"/>
              </w:trPr>
              <w:tc>
                <w:tcPr>
                  <w:tcW w:w="3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2C4B5" w14:textId="77777777" w:rsidR="00BC3DA1" w:rsidRDefault="00BC3DA1" w:rsidP="00BC1ED8">
                  <w:pPr>
                    <w:spacing w:after="0"/>
                    <w:jc w:val="center"/>
                  </w:pPr>
                  <w:r>
                    <w:t>Section 36 of Electricity Act</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14:paraId="5811421F" w14:textId="77777777" w:rsidR="00BC3DA1" w:rsidRDefault="00BC3DA1" w:rsidP="00BC1ED8">
                  <w:pPr>
                    <w:spacing w:after="0"/>
                    <w:jc w:val="center"/>
                  </w:pPr>
                  <w:r>
                    <w:t>35</w:t>
                  </w:r>
                </w:p>
              </w:tc>
            </w:tr>
            <w:tr w:rsidR="00BC3DA1" w14:paraId="46D932E5" w14:textId="77777777" w:rsidTr="00BF70B3">
              <w:trPr>
                <w:trHeight w:val="253"/>
                <w:jc w:val="center"/>
              </w:trPr>
              <w:tc>
                <w:tcPr>
                  <w:tcW w:w="3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FE743" w14:textId="77777777" w:rsidR="00BC3DA1" w:rsidRDefault="00BC3DA1" w:rsidP="00BC1ED8">
                  <w:pPr>
                    <w:spacing w:after="0"/>
                    <w:jc w:val="center"/>
                  </w:pPr>
                  <w:r>
                    <w:t>Section 37 of Electricity Act</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14:paraId="3617B721" w14:textId="77777777" w:rsidR="00BC3DA1" w:rsidRDefault="00BC3DA1" w:rsidP="00BC1ED8">
                  <w:pPr>
                    <w:spacing w:after="0"/>
                    <w:jc w:val="center"/>
                  </w:pPr>
                  <w:r>
                    <w:t>9</w:t>
                  </w:r>
                </w:p>
              </w:tc>
            </w:tr>
            <w:tr w:rsidR="00BC3DA1" w14:paraId="5B31E7CE" w14:textId="77777777" w:rsidTr="00BF70B3">
              <w:trPr>
                <w:trHeight w:val="246"/>
                <w:jc w:val="center"/>
              </w:trPr>
              <w:tc>
                <w:tcPr>
                  <w:tcW w:w="3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26717" w14:textId="77777777" w:rsidR="00BC3DA1" w:rsidRDefault="00BC3DA1" w:rsidP="00BC1ED8">
                  <w:pPr>
                    <w:spacing w:after="0"/>
                    <w:jc w:val="center"/>
                  </w:pPr>
                  <w:r>
                    <w:t>Marine licence</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14:paraId="46B9A669" w14:textId="77777777" w:rsidR="00BC3DA1" w:rsidRDefault="00BC3DA1" w:rsidP="00BC1ED8">
                  <w:pPr>
                    <w:spacing w:after="0"/>
                    <w:jc w:val="center"/>
                  </w:pPr>
                  <w:r>
                    <w:t>57</w:t>
                  </w:r>
                </w:p>
              </w:tc>
            </w:tr>
            <w:tr w:rsidR="000075A4" w14:paraId="025177DD" w14:textId="77777777" w:rsidTr="00BF70B3">
              <w:trPr>
                <w:trHeight w:val="246"/>
                <w:jc w:val="center"/>
              </w:trPr>
              <w:tc>
                <w:tcPr>
                  <w:tcW w:w="38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5A44" w14:textId="26BF1F6B" w:rsidR="000075A4" w:rsidRDefault="000075A4" w:rsidP="00BC1ED8">
                  <w:pPr>
                    <w:spacing w:after="0"/>
                    <w:jc w:val="center"/>
                  </w:pPr>
                  <w:r>
                    <w:t>Forestry</w:t>
                  </w:r>
                </w:p>
              </w:tc>
              <w:tc>
                <w:tcPr>
                  <w:tcW w:w="3212" w:type="dxa"/>
                  <w:tcBorders>
                    <w:top w:val="nil"/>
                    <w:left w:val="nil"/>
                    <w:bottom w:val="single" w:sz="8" w:space="0" w:color="auto"/>
                    <w:right w:val="single" w:sz="8" w:space="0" w:color="auto"/>
                  </w:tcBorders>
                  <w:tcMar>
                    <w:top w:w="0" w:type="dxa"/>
                    <w:left w:w="108" w:type="dxa"/>
                    <w:bottom w:w="0" w:type="dxa"/>
                    <w:right w:w="108" w:type="dxa"/>
                  </w:tcMar>
                </w:tcPr>
                <w:p w14:paraId="7D6AB93E" w14:textId="5FDD8592" w:rsidR="000075A4" w:rsidRDefault="000075A4" w:rsidP="00BC1ED8">
                  <w:pPr>
                    <w:spacing w:after="0"/>
                    <w:jc w:val="center"/>
                  </w:pPr>
                  <w:r>
                    <w:t>70</w:t>
                  </w:r>
                </w:p>
              </w:tc>
            </w:tr>
            <w:tr w:rsidR="00BC3DA1" w14:paraId="792B89DC" w14:textId="77777777" w:rsidTr="00BF70B3">
              <w:trPr>
                <w:trHeight w:val="246"/>
                <w:jc w:val="center"/>
              </w:trPr>
              <w:tc>
                <w:tcPr>
                  <w:tcW w:w="3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6A5A0" w14:textId="3EF81BDE" w:rsidR="00BC3DA1" w:rsidRDefault="00874C56" w:rsidP="00BC1ED8">
                  <w:pPr>
                    <w:spacing w:after="0"/>
                    <w:jc w:val="center"/>
                  </w:pPr>
                  <w:r>
                    <w:t>Controlled Activity Regulations (</w:t>
                  </w:r>
                  <w:r w:rsidR="00BC3DA1">
                    <w:t>CAR</w:t>
                  </w:r>
                  <w:r>
                    <w:t>)</w:t>
                  </w:r>
                </w:p>
              </w:tc>
              <w:tc>
                <w:tcPr>
                  <w:tcW w:w="3212" w:type="dxa"/>
                  <w:tcBorders>
                    <w:top w:val="nil"/>
                    <w:left w:val="nil"/>
                    <w:bottom w:val="single" w:sz="8" w:space="0" w:color="auto"/>
                    <w:right w:val="single" w:sz="8" w:space="0" w:color="auto"/>
                  </w:tcBorders>
                  <w:tcMar>
                    <w:top w:w="0" w:type="dxa"/>
                    <w:left w:w="108" w:type="dxa"/>
                    <w:bottom w:w="0" w:type="dxa"/>
                    <w:right w:w="108" w:type="dxa"/>
                  </w:tcMar>
                  <w:hideMark/>
                </w:tcPr>
                <w:p w14:paraId="425CB228" w14:textId="77777777" w:rsidR="00BC3DA1" w:rsidRDefault="00BC3DA1" w:rsidP="00BC1ED8">
                  <w:pPr>
                    <w:spacing w:after="0"/>
                    <w:jc w:val="center"/>
                  </w:pPr>
                  <w:r>
                    <w:t>2</w:t>
                  </w:r>
                </w:p>
              </w:tc>
            </w:tr>
            <w:tr w:rsidR="00BC3DA1" w14:paraId="64031379" w14:textId="77777777" w:rsidTr="00BF70B3">
              <w:trPr>
                <w:trHeight w:val="246"/>
                <w:jc w:val="center"/>
              </w:trPr>
              <w:tc>
                <w:tcPr>
                  <w:tcW w:w="38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4BB41" w14:textId="7623C68A" w:rsidR="00BC3DA1" w:rsidRDefault="003D2471" w:rsidP="00F02194">
                  <w:pPr>
                    <w:spacing w:after="0"/>
                    <w:jc w:val="center"/>
                  </w:pPr>
                  <w:r>
                    <w:t>Pre-application consultations</w:t>
                  </w:r>
                </w:p>
              </w:tc>
              <w:tc>
                <w:tcPr>
                  <w:tcW w:w="3212" w:type="dxa"/>
                  <w:tcBorders>
                    <w:top w:val="nil"/>
                    <w:left w:val="nil"/>
                    <w:bottom w:val="single" w:sz="8" w:space="0" w:color="auto"/>
                    <w:right w:val="single" w:sz="8" w:space="0" w:color="auto"/>
                  </w:tcBorders>
                  <w:tcMar>
                    <w:top w:w="0" w:type="dxa"/>
                    <w:left w:w="108" w:type="dxa"/>
                    <w:bottom w:w="0" w:type="dxa"/>
                    <w:right w:w="108" w:type="dxa"/>
                  </w:tcMar>
                </w:tcPr>
                <w:p w14:paraId="4BA069AE" w14:textId="24CACF14" w:rsidR="00BC3DA1" w:rsidRDefault="000075A4" w:rsidP="00F02194">
                  <w:pPr>
                    <w:spacing w:after="0"/>
                    <w:jc w:val="center"/>
                  </w:pPr>
                  <w:r>
                    <w:t>112</w:t>
                  </w:r>
                </w:p>
              </w:tc>
            </w:tr>
          </w:tbl>
          <w:p w14:paraId="4B7C75ED" w14:textId="77777777" w:rsidR="00246728" w:rsidRDefault="003D2471" w:rsidP="002062E0">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All of the above cases will be targeted at issues of potentially national interest </w:t>
            </w:r>
            <w:r w:rsidR="000075A4">
              <w:rPr>
                <w:rFonts w:ascii="Calibri" w:hAnsi="Calibri" w:cs="Calibri"/>
              </w:rPr>
              <w:t xml:space="preserve">(designated sites etc) </w:t>
            </w:r>
            <w:r>
              <w:rPr>
                <w:rFonts w:ascii="Calibri" w:hAnsi="Calibri" w:cs="Calibri"/>
              </w:rPr>
              <w:t xml:space="preserve">as detailed in our guidance. </w:t>
            </w:r>
            <w:r w:rsidR="00B36869">
              <w:rPr>
                <w:rFonts w:ascii="Calibri" w:hAnsi="Calibri" w:cs="Calibri"/>
              </w:rPr>
              <w:t xml:space="preserve">Of the cases responded to during the period (which differs from received) </w:t>
            </w:r>
            <w:r w:rsidR="000075A4">
              <w:rPr>
                <w:rFonts w:ascii="Calibri" w:hAnsi="Calibri" w:cs="Calibri"/>
              </w:rPr>
              <w:t xml:space="preserve">the responses break down to </w:t>
            </w:r>
            <w:r w:rsidR="00B36869">
              <w:rPr>
                <w:rFonts w:ascii="Calibri" w:hAnsi="Calibri" w:cs="Calibri"/>
              </w:rPr>
              <w:t>5 Outright Objections, 28 Conditional Objection and 31 Holding Objections with the bulk of other responses providing advice or</w:t>
            </w:r>
            <w:r w:rsidR="00874C56">
              <w:rPr>
                <w:rFonts w:ascii="Calibri" w:hAnsi="Calibri" w:cs="Calibri"/>
              </w:rPr>
              <w:t xml:space="preserve"> Sites of Special Scientific Interest</w:t>
            </w:r>
            <w:r w:rsidR="00B36869">
              <w:rPr>
                <w:rFonts w:ascii="Calibri" w:hAnsi="Calibri" w:cs="Calibri"/>
              </w:rPr>
              <w:t xml:space="preserve"> </w:t>
            </w:r>
            <w:r w:rsidR="00874C56">
              <w:rPr>
                <w:rFonts w:ascii="Calibri" w:hAnsi="Calibri" w:cs="Calibri"/>
              </w:rPr>
              <w:t>(</w:t>
            </w:r>
            <w:r w:rsidR="00B36869">
              <w:rPr>
                <w:rFonts w:ascii="Calibri" w:hAnsi="Calibri" w:cs="Calibri"/>
              </w:rPr>
              <w:t>SSSI</w:t>
            </w:r>
            <w:r w:rsidR="00874C56">
              <w:rPr>
                <w:rFonts w:ascii="Calibri" w:hAnsi="Calibri" w:cs="Calibri"/>
              </w:rPr>
              <w:t>)</w:t>
            </w:r>
            <w:r w:rsidR="00B36869">
              <w:rPr>
                <w:rFonts w:ascii="Calibri" w:hAnsi="Calibri" w:cs="Calibri"/>
              </w:rPr>
              <w:t xml:space="preserve"> section 12 consents.</w:t>
            </w:r>
          </w:p>
          <w:p w14:paraId="3D192EFF" w14:textId="0CFA7FEC" w:rsidR="002062E0" w:rsidRPr="002062E0" w:rsidRDefault="00246728" w:rsidP="002062E0">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Pr>
                <w:rStyle w:val="ui-provider"/>
              </w:rPr>
              <w:t>Everything for E</w:t>
            </w:r>
            <w:r w:rsidR="00695208">
              <w:rPr>
                <w:rStyle w:val="ui-provider"/>
              </w:rPr>
              <w:t>a</w:t>
            </w:r>
            <w:r>
              <w:rPr>
                <w:rStyle w:val="ui-provider"/>
              </w:rPr>
              <w:t>rr</w:t>
            </w:r>
            <w:r w:rsidR="00695208">
              <w:rPr>
                <w:rStyle w:val="ui-provider"/>
              </w:rPr>
              <w:t>a</w:t>
            </w:r>
            <w:r>
              <w:rPr>
                <w:rStyle w:val="ui-provider"/>
              </w:rPr>
              <w:t>g</w:t>
            </w:r>
            <w:r w:rsidR="00695208">
              <w:rPr>
                <w:rStyle w:val="ui-provider"/>
              </w:rPr>
              <w:t>h</w:t>
            </w:r>
            <w:r>
              <w:rPr>
                <w:rStyle w:val="ui-provider"/>
              </w:rPr>
              <w:t>a</w:t>
            </w:r>
            <w:r w:rsidR="00695208">
              <w:rPr>
                <w:rStyle w:val="ui-provider"/>
              </w:rPr>
              <w:t>i</w:t>
            </w:r>
            <w:r>
              <w:rPr>
                <w:rStyle w:val="ui-provider"/>
              </w:rPr>
              <w:t xml:space="preserve">l is just being mobilised now, and there is no movement yet on other specific Inquiries. </w:t>
            </w:r>
          </w:p>
          <w:p w14:paraId="410B316C" w14:textId="35BB6B40" w:rsidR="00F02194" w:rsidRPr="00F550D1" w:rsidRDefault="002062E0" w:rsidP="00AC6E72">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062E0">
              <w:rPr>
                <w:rFonts w:ascii="Calibri" w:hAnsi="Calibri" w:cs="Calibri"/>
              </w:rPr>
              <w:t>Development planning work has been focused on preparation for local development plan evidence reports and the planning team leading our efforts on the Key Agencies Group Collaborative Offer pilot on local development plan spanning 6 local authorities</w:t>
            </w:r>
            <w:r w:rsidR="00AC6E72">
              <w:rPr>
                <w:rFonts w:ascii="Calibri" w:hAnsi="Calibri" w:cs="Calibri"/>
              </w:rPr>
              <w:t xml:space="preserve">. </w:t>
            </w:r>
          </w:p>
        </w:tc>
      </w:tr>
      <w:tr w:rsidR="008D20BE" w:rsidRPr="00F550D1" w14:paraId="3ECA2FB1" w14:textId="77777777" w:rsidTr="00943F54">
        <w:trPr>
          <w:cantSplit/>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A5B0C62"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lastRenderedPageBreak/>
              <w:t>Influence the transformation of marine management through new marine planning, protection and fisheries management frameworks, and working with the marine renewable energy sector</w:t>
            </w:r>
          </w:p>
        </w:tc>
        <w:tc>
          <w:tcPr>
            <w:tcW w:w="1276" w:type="dxa"/>
            <w:shd w:val="clear" w:color="auto" w:fill="auto"/>
            <w:vAlign w:val="center"/>
          </w:tcPr>
          <w:p w14:paraId="01F6D4F6"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75548E2C" w14:textId="1981C24A" w:rsidR="008D20BE" w:rsidRPr="00E005F2" w:rsidRDefault="00E005F2"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E005F2">
              <w:rPr>
                <w:rFonts w:ascii="Calibri" w:hAnsi="Calibri" w:cs="Calibri"/>
                <w:b/>
              </w:rPr>
              <w:t>GREEN</w:t>
            </w:r>
            <w:r w:rsidR="001A5F20" w:rsidRPr="00E005F2">
              <w:rPr>
                <w:rFonts w:ascii="Calibri" w:hAnsi="Calibri" w:cs="Calibri"/>
                <w:b/>
              </w:rPr>
              <w:t xml:space="preserve"> </w:t>
            </w:r>
          </w:p>
        </w:tc>
        <w:tc>
          <w:tcPr>
            <w:tcW w:w="8930" w:type="dxa"/>
            <w:vAlign w:val="center"/>
          </w:tcPr>
          <w:p w14:paraId="02C018CA" w14:textId="77777777" w:rsidR="008D20BE"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t>Marine and coastal science</w:t>
            </w:r>
          </w:p>
          <w:p w14:paraId="019E83CD" w14:textId="66087E40" w:rsidR="002062E0"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Supported three bids to </w:t>
            </w:r>
            <w:r w:rsidR="00874C56">
              <w:rPr>
                <w:rFonts w:ascii="Calibri" w:hAnsi="Calibri" w:cs="Calibri"/>
                <w:color w:val="000000"/>
                <w:szCs w:val="24"/>
              </w:rPr>
              <w:t>UK Research and Innovation (</w:t>
            </w:r>
            <w:r w:rsidRPr="002062E0">
              <w:rPr>
                <w:rFonts w:ascii="Calibri" w:hAnsi="Calibri" w:cs="Calibri"/>
                <w:color w:val="000000"/>
                <w:szCs w:val="24"/>
              </w:rPr>
              <w:t>UKRI</w:t>
            </w:r>
            <w:r w:rsidR="00874C56">
              <w:rPr>
                <w:rFonts w:ascii="Calibri" w:hAnsi="Calibri" w:cs="Calibri"/>
                <w:color w:val="000000"/>
                <w:szCs w:val="24"/>
              </w:rPr>
              <w:t>)</w:t>
            </w:r>
            <w:r w:rsidRPr="002062E0">
              <w:rPr>
                <w:rFonts w:ascii="Calibri" w:hAnsi="Calibri" w:cs="Calibri"/>
                <w:color w:val="000000"/>
                <w:szCs w:val="24"/>
              </w:rPr>
              <w:t xml:space="preserve"> 'resilient coastal communities and seas' call and two bids to a sister 'Network Plus' call</w:t>
            </w:r>
            <w:r w:rsidR="005B22E3">
              <w:rPr>
                <w:rFonts w:ascii="Calibri" w:hAnsi="Calibri" w:cs="Calibri"/>
                <w:color w:val="000000"/>
                <w:szCs w:val="24"/>
              </w:rPr>
              <w:t>.</w:t>
            </w:r>
          </w:p>
          <w:p w14:paraId="4E4C3AC6" w14:textId="4E4DC6B7" w:rsidR="001A5F20" w:rsidRPr="001A5F20" w:rsidRDefault="001A5F20" w:rsidP="001A5F2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1A5F20">
              <w:rPr>
                <w:rFonts w:ascii="Calibri" w:hAnsi="Calibri" w:cs="Calibri"/>
                <w:color w:val="000000"/>
                <w:szCs w:val="24"/>
              </w:rPr>
              <w:t>Evidence</w:t>
            </w:r>
            <w:r w:rsidR="004E24F1">
              <w:rPr>
                <w:rFonts w:ascii="Calibri" w:hAnsi="Calibri" w:cs="Calibri"/>
                <w:color w:val="000000"/>
                <w:szCs w:val="24"/>
              </w:rPr>
              <w:t>-N</w:t>
            </w:r>
            <w:r w:rsidRPr="001A5F20">
              <w:rPr>
                <w:rFonts w:ascii="Calibri" w:hAnsi="Calibri" w:cs="Calibri"/>
                <w:color w:val="000000"/>
                <w:szCs w:val="24"/>
              </w:rPr>
              <w:t>eeds document - further development work progressed including discussions with specialist teams, but this will continue in Q4 to align with wider corporat</w:t>
            </w:r>
            <w:r>
              <w:rPr>
                <w:rFonts w:ascii="Calibri" w:hAnsi="Calibri" w:cs="Calibri"/>
                <w:color w:val="000000"/>
                <w:szCs w:val="24"/>
              </w:rPr>
              <w:t xml:space="preserve">e </w:t>
            </w:r>
            <w:r w:rsidRPr="001A5F20">
              <w:rPr>
                <w:rFonts w:ascii="Calibri" w:hAnsi="Calibri" w:cs="Calibri"/>
                <w:color w:val="000000"/>
                <w:szCs w:val="24"/>
              </w:rPr>
              <w:t>Strategic Evidence</w:t>
            </w:r>
            <w:r w:rsidR="004E24F1">
              <w:rPr>
                <w:rFonts w:ascii="Calibri" w:hAnsi="Calibri" w:cs="Calibri"/>
                <w:color w:val="000000"/>
                <w:szCs w:val="24"/>
              </w:rPr>
              <w:t>-</w:t>
            </w:r>
            <w:r w:rsidRPr="001A5F20">
              <w:rPr>
                <w:rFonts w:ascii="Calibri" w:hAnsi="Calibri" w:cs="Calibri"/>
                <w:color w:val="000000"/>
                <w:szCs w:val="24"/>
              </w:rPr>
              <w:t>Needs document and Areas of Research Interest</w:t>
            </w:r>
          </w:p>
          <w:p w14:paraId="3932FB15" w14:textId="77777777"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Marine survey &amp; monitoring</w:t>
            </w:r>
          </w:p>
          <w:p w14:paraId="1F7AE19D" w14:textId="67E5B954" w:rsidR="002062E0" w:rsidRPr="002062E0"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Initiated survey pilot with Fishermen's Association; piloted ecosystem health approach; and finalised Wester Ross </w:t>
            </w:r>
            <w:r w:rsidR="00874C56">
              <w:rPr>
                <w:rFonts w:ascii="Calibri" w:hAnsi="Calibri" w:cs="Calibri"/>
                <w:color w:val="000000"/>
                <w:szCs w:val="24"/>
              </w:rPr>
              <w:t>Marine Protected Area (</w:t>
            </w:r>
            <w:r w:rsidRPr="002062E0">
              <w:rPr>
                <w:rFonts w:ascii="Calibri" w:hAnsi="Calibri" w:cs="Calibri"/>
                <w:color w:val="000000"/>
                <w:szCs w:val="24"/>
              </w:rPr>
              <w:t>MPA</w:t>
            </w:r>
            <w:r w:rsidR="00874C56">
              <w:rPr>
                <w:rFonts w:ascii="Calibri" w:hAnsi="Calibri" w:cs="Calibri"/>
                <w:color w:val="000000"/>
                <w:szCs w:val="24"/>
              </w:rPr>
              <w:t>)</w:t>
            </w:r>
            <w:r w:rsidRPr="002062E0">
              <w:rPr>
                <w:rFonts w:ascii="Calibri" w:hAnsi="Calibri" w:cs="Calibri"/>
                <w:color w:val="000000"/>
                <w:szCs w:val="24"/>
              </w:rPr>
              <w:t xml:space="preserve"> monitoring and South Arran MPA comparative analysis</w:t>
            </w:r>
          </w:p>
          <w:p w14:paraId="482E0958" w14:textId="77777777"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Marine data, reporting and assessment</w:t>
            </w:r>
          </w:p>
          <w:p w14:paraId="29294F7C" w14:textId="407C9167" w:rsidR="002062E0" w:rsidRPr="002062E0" w:rsidRDefault="002062E0" w:rsidP="00852C0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The Scottish Marine Biodiversity Data Review (SMBDR) implementation group reconvened. Marine Recorder migration of data ongoing and set to spill into Q4 due to error resolutions required. Completed work to identify marine species and habitats for inclusion in </w:t>
            </w:r>
            <w:r w:rsidR="00852C00" w:rsidRPr="00852C00">
              <w:rPr>
                <w:rFonts w:ascii="Calibri" w:hAnsi="Calibri" w:cs="Calibri"/>
                <w:color w:val="000000"/>
                <w:szCs w:val="24"/>
              </w:rPr>
              <w:t>Marine and Terrestrial Species Indicators</w:t>
            </w:r>
          </w:p>
          <w:p w14:paraId="5E5CF96A" w14:textId="77777777"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Enhanced protection</w:t>
            </w:r>
          </w:p>
          <w:p w14:paraId="3ECA8104" w14:textId="18CD300D" w:rsidR="002062E0" w:rsidRPr="002062E0" w:rsidRDefault="004E24F1" w:rsidP="002062E0">
            <w:pPr>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Discussions continue with</w:t>
            </w:r>
            <w:r w:rsidR="002062E0" w:rsidRPr="002062E0">
              <w:rPr>
                <w:rFonts w:ascii="Calibri" w:hAnsi="Calibri" w:cs="Calibri"/>
                <w:color w:val="000000"/>
                <w:szCs w:val="24"/>
              </w:rPr>
              <w:t xml:space="preserve"> M</w:t>
            </w:r>
            <w:r w:rsidR="00852C00">
              <w:rPr>
                <w:rFonts w:ascii="Calibri" w:hAnsi="Calibri" w:cs="Calibri"/>
                <w:color w:val="000000"/>
                <w:szCs w:val="24"/>
              </w:rPr>
              <w:t>arine Directorate (MD)</w:t>
            </w:r>
            <w:r w:rsidR="002062E0" w:rsidRPr="002062E0">
              <w:rPr>
                <w:rFonts w:ascii="Calibri" w:hAnsi="Calibri" w:cs="Calibri"/>
                <w:color w:val="000000"/>
                <w:szCs w:val="24"/>
              </w:rPr>
              <w:t xml:space="preserve"> on policy for community-led enhanced marine protection</w:t>
            </w:r>
          </w:p>
          <w:p w14:paraId="79C448CC" w14:textId="12FE7F00"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MPA &amp; </w:t>
            </w:r>
            <w:r w:rsidR="00874C56">
              <w:rPr>
                <w:rFonts w:ascii="Calibri" w:hAnsi="Calibri" w:cs="Calibri"/>
                <w:color w:val="000000"/>
                <w:szCs w:val="24"/>
              </w:rPr>
              <w:t>Priority Marine Feature (</w:t>
            </w:r>
            <w:r w:rsidRPr="002062E0">
              <w:rPr>
                <w:rFonts w:ascii="Calibri" w:hAnsi="Calibri" w:cs="Calibri"/>
                <w:color w:val="000000"/>
                <w:szCs w:val="24"/>
              </w:rPr>
              <w:t>PMF</w:t>
            </w:r>
            <w:r w:rsidR="00874C56">
              <w:rPr>
                <w:rFonts w:ascii="Calibri" w:hAnsi="Calibri" w:cs="Calibri"/>
                <w:color w:val="000000"/>
                <w:szCs w:val="24"/>
              </w:rPr>
              <w:t>)</w:t>
            </w:r>
            <w:r w:rsidRPr="002062E0">
              <w:rPr>
                <w:rFonts w:ascii="Calibri" w:hAnsi="Calibri" w:cs="Calibri"/>
                <w:color w:val="000000"/>
                <w:szCs w:val="24"/>
              </w:rPr>
              <w:t xml:space="preserve"> management</w:t>
            </w:r>
          </w:p>
          <w:p w14:paraId="7A29ABD9" w14:textId="634E0B57" w:rsidR="002062E0" w:rsidRPr="002062E0"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Worked with MD to scope inshore assessments (Habitats Regulations Assessment &amp; MPA Assessments) and supported fisheries stakeholder meetings. Supported MD to commence finalising UK Dolphin and Porpoise Strategy and contributed to updating draft of the Scottish Seabird Conservation Strategy</w:t>
            </w:r>
          </w:p>
          <w:p w14:paraId="7DC4D09A" w14:textId="77777777"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Marine enhancement</w:t>
            </w:r>
          </w:p>
          <w:p w14:paraId="02839BAF" w14:textId="7F53D620" w:rsidR="002062E0" w:rsidRPr="002062E0"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Supported MD to progress marine enhancement and restoration guidance and policy, e.g. scaling up and nature positive requirements. Exchange mechanism and Library of conservation measures contracts out to tender (MD lead, we are supporting)</w:t>
            </w:r>
          </w:p>
          <w:p w14:paraId="08AB7ED0" w14:textId="77777777"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Marine Fisheries Management</w:t>
            </w:r>
          </w:p>
          <w:p w14:paraId="69A4A3BA" w14:textId="21DA0293" w:rsidR="002062E0" w:rsidRPr="002062E0"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This work was postponed by MD and we will now be providing input in Q4</w:t>
            </w:r>
          </w:p>
          <w:p w14:paraId="6C29F6ED" w14:textId="77777777"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Marine energy</w:t>
            </w:r>
          </w:p>
          <w:p w14:paraId="492F0864" w14:textId="3D7B8146" w:rsidR="00C90668"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Advice provided on West of Orkney </w:t>
            </w:r>
            <w:r w:rsidR="00C90668">
              <w:rPr>
                <w:rFonts w:ascii="Calibri" w:hAnsi="Calibri" w:cs="Calibri"/>
                <w:color w:val="000000"/>
                <w:szCs w:val="24"/>
              </w:rPr>
              <w:t>–</w:t>
            </w:r>
            <w:r w:rsidRPr="002062E0">
              <w:rPr>
                <w:rFonts w:ascii="Calibri" w:hAnsi="Calibri" w:cs="Calibri"/>
                <w:color w:val="000000"/>
                <w:szCs w:val="24"/>
              </w:rPr>
              <w:t xml:space="preserve"> </w:t>
            </w:r>
          </w:p>
          <w:p w14:paraId="0080FA10" w14:textId="5EA775A4" w:rsidR="00C90668" w:rsidRDefault="004E24F1" w:rsidP="004B13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lastRenderedPageBreak/>
              <w:t>H</w:t>
            </w:r>
            <w:r w:rsidR="002062E0" w:rsidRPr="002062E0">
              <w:rPr>
                <w:rFonts w:ascii="Calibri" w:hAnsi="Calibri" w:cs="Calibri"/>
                <w:color w:val="000000"/>
                <w:szCs w:val="24"/>
              </w:rPr>
              <w:t>olding objection and advice provided on additional information provided on both Berwick Ba</w:t>
            </w:r>
            <w:r w:rsidR="00C90668">
              <w:rPr>
                <w:rFonts w:ascii="Calibri" w:hAnsi="Calibri" w:cs="Calibri"/>
                <w:color w:val="000000"/>
                <w:szCs w:val="24"/>
              </w:rPr>
              <w:t>nk and Green Volt applications</w:t>
            </w:r>
          </w:p>
          <w:p w14:paraId="7B905E8A" w14:textId="77777777" w:rsidR="00C90668" w:rsidRDefault="002062E0" w:rsidP="004B13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Ongoing pr</w:t>
            </w:r>
            <w:r w:rsidR="00C90668">
              <w:rPr>
                <w:rFonts w:ascii="Calibri" w:hAnsi="Calibri" w:cs="Calibri"/>
                <w:color w:val="000000"/>
                <w:szCs w:val="24"/>
              </w:rPr>
              <w:t>e application advice provision.</w:t>
            </w:r>
          </w:p>
          <w:p w14:paraId="07CB1A45" w14:textId="77777777" w:rsidR="00C90668" w:rsidRDefault="002062E0" w:rsidP="004B13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Escalated engagement with SG for </w:t>
            </w:r>
            <w:r w:rsidR="00C90668">
              <w:rPr>
                <w:rFonts w:ascii="Calibri" w:hAnsi="Calibri" w:cs="Calibri"/>
                <w:color w:val="000000"/>
                <w:szCs w:val="24"/>
              </w:rPr>
              <w:t>response to resourcing request.</w:t>
            </w:r>
          </w:p>
          <w:p w14:paraId="1E84D0E1" w14:textId="44C65581" w:rsidR="002062E0" w:rsidRPr="002062E0" w:rsidRDefault="002062E0" w:rsidP="004B13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Increased engagement on strategic and legislation led work including Sectoral Marine Plan and Scot Gov delivery of UK Energy Act provisions</w:t>
            </w:r>
          </w:p>
          <w:p w14:paraId="684E1729" w14:textId="77777777"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Aquaculture</w:t>
            </w:r>
          </w:p>
          <w:p w14:paraId="7B27AF46" w14:textId="0F459337" w:rsidR="002062E0" w:rsidRPr="002062E0"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Supported further workshops on regulatory reform and on transitional arrangements for managing sea lice interactions with wild salmonids</w:t>
            </w:r>
          </w:p>
          <w:p w14:paraId="3C7BF74F" w14:textId="77777777"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Marine Planning</w:t>
            </w:r>
          </w:p>
          <w:p w14:paraId="656E46E5" w14:textId="22F08699" w:rsidR="002062E0" w:rsidRPr="002062E0" w:rsidRDefault="002062E0" w:rsidP="00075F02">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Provided full and detailed response to N</w:t>
            </w:r>
            <w:r w:rsidR="00075F02">
              <w:rPr>
                <w:rFonts w:ascii="Calibri" w:hAnsi="Calibri" w:cs="Calibri"/>
                <w:color w:val="000000"/>
                <w:szCs w:val="24"/>
              </w:rPr>
              <w:t>ational Marine Plan-</w:t>
            </w:r>
            <w:r w:rsidRPr="002062E0">
              <w:rPr>
                <w:rFonts w:ascii="Calibri" w:hAnsi="Calibri" w:cs="Calibri"/>
                <w:color w:val="000000"/>
                <w:szCs w:val="24"/>
              </w:rPr>
              <w:t>2</w:t>
            </w:r>
            <w:r w:rsidR="00075F02">
              <w:rPr>
                <w:rFonts w:ascii="Calibri" w:hAnsi="Calibri" w:cs="Calibri"/>
                <w:color w:val="000000"/>
                <w:szCs w:val="24"/>
              </w:rPr>
              <w:t xml:space="preserve"> (NMP2)</w:t>
            </w:r>
            <w:r w:rsidRPr="002062E0">
              <w:rPr>
                <w:rFonts w:ascii="Calibri" w:hAnsi="Calibri" w:cs="Calibri"/>
                <w:color w:val="000000"/>
                <w:szCs w:val="24"/>
              </w:rPr>
              <w:t xml:space="preserve"> scoping consultation. Funded, tendered and started partnership project (across UK-wide administrations and agencies) reviewing plan-level </w:t>
            </w:r>
            <w:r w:rsidR="00075F02" w:rsidRPr="00075F02">
              <w:rPr>
                <w:rFonts w:ascii="Calibri" w:hAnsi="Calibri" w:cs="Calibri"/>
                <w:color w:val="000000"/>
                <w:szCs w:val="24"/>
              </w:rPr>
              <w:t>Cumulative Effects Assessment</w:t>
            </w:r>
            <w:r w:rsidR="00075F02">
              <w:rPr>
                <w:rFonts w:ascii="Calibri" w:hAnsi="Calibri" w:cs="Calibri"/>
                <w:color w:val="000000"/>
                <w:szCs w:val="24"/>
              </w:rPr>
              <w:t xml:space="preserve"> </w:t>
            </w:r>
            <w:r w:rsidRPr="002062E0">
              <w:rPr>
                <w:rFonts w:ascii="Calibri" w:hAnsi="Calibri" w:cs="Calibri"/>
                <w:color w:val="000000"/>
                <w:szCs w:val="24"/>
              </w:rPr>
              <w:t xml:space="preserve">methods. Ongoing preparation of policy advice for NMP2 and some early provision of advice to </w:t>
            </w:r>
            <w:r w:rsidR="00874C56">
              <w:rPr>
                <w:rFonts w:ascii="Calibri" w:hAnsi="Calibri" w:cs="Calibri"/>
                <w:color w:val="000000"/>
                <w:szCs w:val="24"/>
              </w:rPr>
              <w:t>SG</w:t>
            </w:r>
          </w:p>
          <w:p w14:paraId="52A2A41E" w14:textId="22E3B5FE" w:rsidR="002062E0" w:rsidRPr="002062E0" w:rsidRDefault="002062E0" w:rsidP="002062E0">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M</w:t>
            </w:r>
            <w:r w:rsidRPr="002062E0">
              <w:rPr>
                <w:rFonts w:ascii="Calibri" w:hAnsi="Calibri" w:cs="Calibri"/>
                <w:color w:val="000000"/>
                <w:szCs w:val="24"/>
              </w:rPr>
              <w:t>arine Natural Capital</w:t>
            </w:r>
          </w:p>
          <w:p w14:paraId="5826D3F9" w14:textId="7DCC7604" w:rsidR="002062E0"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Supported coastal workshop to steer improvements to the N</w:t>
            </w:r>
            <w:r w:rsidR="00075F02">
              <w:rPr>
                <w:rFonts w:ascii="Calibri" w:hAnsi="Calibri" w:cs="Calibri"/>
                <w:color w:val="000000"/>
                <w:szCs w:val="24"/>
              </w:rPr>
              <w:t>atural Capital Asset Index</w:t>
            </w:r>
            <w:r w:rsidRPr="002062E0">
              <w:rPr>
                <w:rFonts w:ascii="Calibri" w:hAnsi="Calibri" w:cs="Calibri"/>
                <w:color w:val="000000"/>
                <w:szCs w:val="24"/>
              </w:rPr>
              <w:t>. Provided marine natural capital briefing for</w:t>
            </w:r>
            <w:r w:rsidR="00874C56">
              <w:rPr>
                <w:rFonts w:ascii="Calibri" w:hAnsi="Calibri" w:cs="Calibri"/>
                <w:color w:val="000000"/>
                <w:szCs w:val="24"/>
              </w:rPr>
              <w:t xml:space="preserve"> Marine Alliance for Science and Technology for Scotland (</w:t>
            </w:r>
            <w:r w:rsidRPr="002062E0">
              <w:rPr>
                <w:rFonts w:ascii="Calibri" w:hAnsi="Calibri" w:cs="Calibri"/>
                <w:color w:val="000000"/>
                <w:szCs w:val="24"/>
              </w:rPr>
              <w:t>MASTS</w:t>
            </w:r>
            <w:r w:rsidR="00874C56">
              <w:rPr>
                <w:rFonts w:ascii="Calibri" w:hAnsi="Calibri" w:cs="Calibri"/>
                <w:color w:val="000000"/>
                <w:szCs w:val="24"/>
              </w:rPr>
              <w:t>)</w:t>
            </w:r>
            <w:r w:rsidRPr="002062E0">
              <w:rPr>
                <w:rFonts w:ascii="Calibri" w:hAnsi="Calibri" w:cs="Calibri"/>
                <w:color w:val="000000"/>
                <w:szCs w:val="24"/>
              </w:rPr>
              <w:t xml:space="preserve"> community. Co-developed marine natural capital science priorities workshop. </w:t>
            </w:r>
          </w:p>
          <w:p w14:paraId="649ED6C4" w14:textId="77777777" w:rsidR="002062E0" w:rsidRPr="002062E0" w:rsidRDefault="002062E0" w:rsidP="00075F02">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Blue Carbon, coastal ecology &amp; adaptation</w:t>
            </w:r>
          </w:p>
          <w:p w14:paraId="00F7D59A" w14:textId="474B9C9B" w:rsidR="002062E0" w:rsidRPr="0042182D" w:rsidRDefault="002062E0" w:rsidP="002062E0">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Postponed to Q4 due to staff changes in Marine Directorate</w:t>
            </w:r>
          </w:p>
        </w:tc>
      </w:tr>
    </w:tbl>
    <w:p w14:paraId="3BE200C9" w14:textId="77777777" w:rsidR="007361D3" w:rsidRDefault="007361D3">
      <w:pPr>
        <w:rPr>
          <w:rFonts w:ascii="Calibri" w:eastAsiaTheme="majorEastAsia" w:hAnsi="Calibri" w:cs="Calibri"/>
          <w:b/>
          <w:szCs w:val="26"/>
        </w:rPr>
      </w:pPr>
      <w:r>
        <w:rPr>
          <w:rFonts w:ascii="Calibri" w:eastAsiaTheme="majorEastAsia" w:hAnsi="Calibri" w:cs="Calibri"/>
          <w:b/>
          <w:szCs w:val="26"/>
        </w:rPr>
        <w:lastRenderedPageBreak/>
        <w:br w:type="page"/>
      </w:r>
    </w:p>
    <w:p w14:paraId="6FA83087" w14:textId="5FC24BC7" w:rsidR="008D20BE" w:rsidRPr="00F550D1" w:rsidRDefault="008D20BE" w:rsidP="008D20BE">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lastRenderedPageBreak/>
        <w:t>WE HAVE RESTORED NATURE</w:t>
      </w: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8D20BE" w:rsidRPr="00F550D1" w14:paraId="24FA7C11" w14:textId="77777777" w:rsidTr="00C349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25A95AB"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276" w:type="dxa"/>
            <w:vAlign w:val="center"/>
          </w:tcPr>
          <w:p w14:paraId="082C86E2"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2" w:type="dxa"/>
            <w:vAlign w:val="center"/>
          </w:tcPr>
          <w:p w14:paraId="2F3F43B3"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930" w:type="dxa"/>
            <w:vAlign w:val="center"/>
          </w:tcPr>
          <w:p w14:paraId="2914FB54" w14:textId="63CA078C"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11387D">
              <w:rPr>
                <w:rFonts w:ascii="Calibri" w:hAnsi="Calibri" w:cs="Calibri"/>
                <w:szCs w:val="26"/>
              </w:rPr>
              <w:t xml:space="preserve">3 </w:t>
            </w:r>
            <w:r w:rsidR="008D20BE" w:rsidRPr="00F550D1">
              <w:rPr>
                <w:rFonts w:ascii="Calibri" w:hAnsi="Calibri" w:cs="Calibri"/>
                <w:szCs w:val="26"/>
              </w:rPr>
              <w:t>UPDATE</w:t>
            </w:r>
          </w:p>
        </w:tc>
      </w:tr>
      <w:tr w:rsidR="008D20BE" w:rsidRPr="00F550D1" w14:paraId="5D1D3751" w14:textId="77777777" w:rsidTr="00943F5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87654A5" w14:textId="77777777" w:rsidR="008D20BE" w:rsidRPr="00B837E7" w:rsidRDefault="008D20BE" w:rsidP="008D20BE">
            <w:pPr>
              <w:rPr>
                <w:rFonts w:ascii="Calibri" w:hAnsi="Calibri" w:cs="Calibri"/>
                <w:b w:val="0"/>
                <w:color w:val="000000"/>
                <w:szCs w:val="24"/>
                <w:highlight w:val="yellow"/>
              </w:rPr>
            </w:pPr>
            <w:r w:rsidRPr="00D62CA6">
              <w:rPr>
                <w:rFonts w:ascii="Calibri" w:hAnsi="Calibri" w:cs="Calibri"/>
                <w:b w:val="0"/>
                <w:color w:val="000000"/>
                <w:szCs w:val="24"/>
              </w:rPr>
              <w:t>Co-lead the production of the new Scottish Biodiversity Strategy (SBS) and develop targets to include in a new Natural Environment Bill</w:t>
            </w:r>
          </w:p>
        </w:tc>
        <w:tc>
          <w:tcPr>
            <w:tcW w:w="1276" w:type="dxa"/>
            <w:vAlign w:val="center"/>
          </w:tcPr>
          <w:p w14:paraId="2E9A07D2"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2" w:type="dxa"/>
            <w:shd w:val="clear" w:color="auto" w:fill="9BBB59" w:themeFill="accent3"/>
            <w:vAlign w:val="center"/>
          </w:tcPr>
          <w:p w14:paraId="662AE0DF"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930" w:type="dxa"/>
            <w:vAlign w:val="center"/>
          </w:tcPr>
          <w:p w14:paraId="632CDE7E" w14:textId="77777777" w:rsidR="0011387D" w:rsidRPr="0011387D" w:rsidRDefault="0011387D" w:rsidP="0011387D">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387D">
              <w:rPr>
                <w:rFonts w:ascii="Calibri" w:hAnsi="Calibri" w:cs="Calibri"/>
                <w:color w:val="000000"/>
                <w:szCs w:val="24"/>
              </w:rPr>
              <w:t>Major consultation on Strategic Biodiversity Framework launched on 7th September (closing date 14th December).  Involved close working between SG and NatureScot staff.  Covers:</w:t>
            </w:r>
          </w:p>
          <w:p w14:paraId="003F7511" w14:textId="77777777" w:rsidR="00830896" w:rsidRDefault="0011387D" w:rsidP="00830896">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830896">
              <w:rPr>
                <w:rFonts w:ascii="Calibri" w:hAnsi="Calibri" w:cs="Calibri"/>
                <w:color w:val="000000"/>
                <w:szCs w:val="24"/>
              </w:rPr>
              <w:t>Scottish Biodiversity Strategy, setting out our vision to halt and reverse biodiversity loss;</w:t>
            </w:r>
          </w:p>
          <w:p w14:paraId="47146EFE" w14:textId="77777777" w:rsidR="00830896" w:rsidRDefault="0011387D" w:rsidP="00830896">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830896">
              <w:rPr>
                <w:rFonts w:ascii="Calibri" w:hAnsi="Calibri" w:cs="Calibri"/>
                <w:color w:val="000000"/>
                <w:szCs w:val="24"/>
              </w:rPr>
              <w:t>First five-year Delivery Plan, containing the 150 actions to deliver the vision; and</w:t>
            </w:r>
          </w:p>
          <w:p w14:paraId="11C86434" w14:textId="0B4A93CA" w:rsidR="0011387D" w:rsidRPr="00830896" w:rsidRDefault="0011387D" w:rsidP="00830896">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830896">
              <w:rPr>
                <w:rFonts w:ascii="Calibri" w:hAnsi="Calibri" w:cs="Calibri"/>
                <w:color w:val="000000"/>
                <w:szCs w:val="24"/>
              </w:rPr>
              <w:t>Proposed Natural Environment Bill, providing a framework for establishing statutory nature targets to drive delivery and the transformational change we need.</w:t>
            </w:r>
          </w:p>
          <w:p w14:paraId="033131E1" w14:textId="670B2878" w:rsidR="0011387D" w:rsidRPr="0011387D" w:rsidRDefault="0011387D" w:rsidP="0011387D">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387D">
              <w:rPr>
                <w:rFonts w:ascii="Calibri" w:hAnsi="Calibri" w:cs="Calibri"/>
                <w:color w:val="000000"/>
                <w:szCs w:val="24"/>
              </w:rPr>
              <w:t>During Q3</w:t>
            </w:r>
            <w:r w:rsidR="00830896">
              <w:rPr>
                <w:rFonts w:ascii="Calibri" w:hAnsi="Calibri" w:cs="Calibri"/>
                <w:color w:val="000000"/>
                <w:szCs w:val="24"/>
              </w:rPr>
              <w:t xml:space="preserve"> we</w:t>
            </w:r>
            <w:r w:rsidRPr="0011387D">
              <w:rPr>
                <w:rFonts w:ascii="Calibri" w:hAnsi="Calibri" w:cs="Calibri"/>
                <w:color w:val="000000"/>
                <w:szCs w:val="24"/>
              </w:rPr>
              <w:t xml:space="preserve"> have continued to work closely with SG engaging with stakeholders (e.g. </w:t>
            </w:r>
            <w:r w:rsidR="00830896">
              <w:rPr>
                <w:rFonts w:ascii="Calibri" w:hAnsi="Calibri" w:cs="Calibri"/>
                <w:color w:val="000000"/>
                <w:szCs w:val="24"/>
              </w:rPr>
              <w:t xml:space="preserve">Scottish Gamekeepers Association and Scottish Environment </w:t>
            </w:r>
            <w:r w:rsidRPr="0011387D">
              <w:rPr>
                <w:rFonts w:ascii="Calibri" w:hAnsi="Calibri" w:cs="Calibri"/>
                <w:color w:val="000000"/>
                <w:szCs w:val="24"/>
              </w:rPr>
              <w:t>LINK), developing governance options, and developing detail around agriculture actions, and scoping work on soils actions (which are currently minimal in the D</w:t>
            </w:r>
            <w:r w:rsidR="00830896">
              <w:rPr>
                <w:rFonts w:ascii="Calibri" w:hAnsi="Calibri" w:cs="Calibri"/>
                <w:color w:val="000000"/>
                <w:szCs w:val="24"/>
              </w:rPr>
              <w:t xml:space="preserve">elivery </w:t>
            </w:r>
            <w:r w:rsidRPr="0011387D">
              <w:rPr>
                <w:rFonts w:ascii="Calibri" w:hAnsi="Calibri" w:cs="Calibri"/>
                <w:color w:val="000000"/>
                <w:szCs w:val="24"/>
              </w:rPr>
              <w:t>P</w:t>
            </w:r>
            <w:r w:rsidR="00830896">
              <w:rPr>
                <w:rFonts w:ascii="Calibri" w:hAnsi="Calibri" w:cs="Calibri"/>
                <w:color w:val="000000"/>
                <w:szCs w:val="24"/>
              </w:rPr>
              <w:t>lan</w:t>
            </w:r>
            <w:r w:rsidRPr="0011387D">
              <w:rPr>
                <w:rFonts w:ascii="Calibri" w:hAnsi="Calibri" w:cs="Calibri"/>
                <w:color w:val="000000"/>
                <w:szCs w:val="24"/>
              </w:rPr>
              <w:t xml:space="preserve">).  </w:t>
            </w:r>
          </w:p>
          <w:p w14:paraId="433E2986" w14:textId="79A250C2" w:rsidR="0011387D" w:rsidRPr="0011387D" w:rsidRDefault="0011387D" w:rsidP="0011387D">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387D">
              <w:rPr>
                <w:rFonts w:ascii="Calibri" w:hAnsi="Calibri" w:cs="Calibri"/>
                <w:color w:val="000000"/>
                <w:szCs w:val="24"/>
              </w:rPr>
              <w:t>On-going work on frameworks for species prioritisation and monitoring.</w:t>
            </w:r>
          </w:p>
          <w:p w14:paraId="1DF4C438" w14:textId="151062A4" w:rsidR="0011387D" w:rsidRPr="0011387D" w:rsidRDefault="0011387D" w:rsidP="0011387D">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387D">
              <w:rPr>
                <w:rFonts w:ascii="Calibri" w:hAnsi="Calibri" w:cs="Calibri"/>
                <w:color w:val="000000"/>
                <w:szCs w:val="24"/>
              </w:rPr>
              <w:t>Inputs at UK level through JNCC to G</w:t>
            </w:r>
            <w:r w:rsidR="00ED496A">
              <w:rPr>
                <w:rFonts w:ascii="Calibri" w:hAnsi="Calibri" w:cs="Calibri"/>
                <w:color w:val="000000"/>
                <w:szCs w:val="24"/>
              </w:rPr>
              <w:t>lobal Biodiversity Framework</w:t>
            </w:r>
          </w:p>
          <w:p w14:paraId="1601C632" w14:textId="32D85FFA" w:rsidR="008D20BE" w:rsidRPr="0011387D" w:rsidRDefault="0011387D" w:rsidP="0011387D">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387D">
              <w:rPr>
                <w:rFonts w:ascii="Calibri" w:hAnsi="Calibri" w:cs="Calibri"/>
                <w:color w:val="000000"/>
                <w:szCs w:val="24"/>
              </w:rPr>
              <w:t xml:space="preserve">Substantial work on the Natural Environment Bill targets, involving the Programme Advisory Group and a sub-group of the </w:t>
            </w:r>
            <w:r w:rsidR="00F7794C">
              <w:rPr>
                <w:rFonts w:ascii="Calibri" w:hAnsi="Calibri" w:cs="Calibri"/>
                <w:color w:val="000000"/>
                <w:szCs w:val="24"/>
              </w:rPr>
              <w:t>Scientific Advisory Committee (</w:t>
            </w:r>
            <w:r w:rsidRPr="0011387D">
              <w:rPr>
                <w:rFonts w:ascii="Calibri" w:hAnsi="Calibri" w:cs="Calibri"/>
                <w:color w:val="000000"/>
                <w:szCs w:val="24"/>
              </w:rPr>
              <w:t>SAC</w:t>
            </w:r>
            <w:r w:rsidR="00F7794C">
              <w:rPr>
                <w:rFonts w:ascii="Calibri" w:hAnsi="Calibri" w:cs="Calibri"/>
                <w:color w:val="000000"/>
                <w:szCs w:val="24"/>
              </w:rPr>
              <w:t>)</w:t>
            </w:r>
            <w:r w:rsidRPr="0011387D">
              <w:rPr>
                <w:rFonts w:ascii="Calibri" w:hAnsi="Calibri" w:cs="Calibri"/>
                <w:color w:val="000000"/>
                <w:szCs w:val="24"/>
              </w:rPr>
              <w:t>.  Seven target topics identified and being considered by Policy colleagues prior to submission to Ministers.</w:t>
            </w:r>
          </w:p>
        </w:tc>
      </w:tr>
      <w:tr w:rsidR="008D20BE" w:rsidRPr="00F550D1" w14:paraId="4F83D9E2" w14:textId="77777777" w:rsidTr="00943F54">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4DFFF62" w14:textId="77777777" w:rsidR="008D20BE" w:rsidRPr="00F550D1" w:rsidRDefault="008D20BE" w:rsidP="008D20BE">
            <w:pPr>
              <w:rPr>
                <w:rFonts w:ascii="Calibri" w:hAnsi="Calibri" w:cs="Calibri"/>
                <w:b w:val="0"/>
                <w:color w:val="000000"/>
                <w:szCs w:val="24"/>
              </w:rPr>
            </w:pPr>
            <w:r w:rsidRPr="00DC3DFD">
              <w:rPr>
                <w:rFonts w:ascii="Calibri" w:hAnsi="Calibri" w:cs="Calibri"/>
                <w:b w:val="0"/>
                <w:color w:val="000000"/>
                <w:szCs w:val="24"/>
              </w:rPr>
              <w:lastRenderedPageBreak/>
              <w:t>Scale up Peatland Restoration by delivering Peatland ACTION funding to projects</w:t>
            </w:r>
          </w:p>
        </w:tc>
        <w:tc>
          <w:tcPr>
            <w:tcW w:w="1276" w:type="dxa"/>
            <w:vAlign w:val="center"/>
          </w:tcPr>
          <w:p w14:paraId="60552E16"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ED5F9E1" w14:textId="53B08984" w:rsidR="008D20BE" w:rsidRPr="00F550D1" w:rsidRDefault="002062E0"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GREEN</w:t>
            </w:r>
          </w:p>
          <w:p w14:paraId="31DFF831"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c>
          <w:tcPr>
            <w:tcW w:w="8930" w:type="dxa"/>
            <w:vAlign w:val="center"/>
          </w:tcPr>
          <w:p w14:paraId="0A07413F" w14:textId="77777777" w:rsidR="006055E6" w:rsidRPr="006055E6" w:rsidRDefault="006055E6" w:rsidP="006055E6">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Delivery</w:t>
            </w:r>
          </w:p>
          <w:p w14:paraId="535EBDD7" w14:textId="77777777" w:rsidR="006055E6" w:rsidRPr="006055E6" w:rsidRDefault="006055E6" w:rsidP="006055E6">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We have issued contracts for undertaking over 8500ha of peatland restoration.  Taking into account operational constraints, this should be sufficient for us to meet our target of 6,100ha (which represents a 20% increase on output from last year).</w:t>
            </w:r>
          </w:p>
          <w:p w14:paraId="74A5C488" w14:textId="77777777" w:rsidR="006055E6" w:rsidRPr="006055E6" w:rsidRDefault="006055E6" w:rsidP="00E005F2">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 xml:space="preserve">We are laying the foundations to accelerate delivery in 2024/25 by: </w:t>
            </w:r>
          </w:p>
          <w:p w14:paraId="16719709" w14:textId="2A5259AF" w:rsidR="006055E6" w:rsidRPr="006055E6" w:rsidRDefault="006055E6" w:rsidP="006055E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Stimulating</w:t>
            </w:r>
            <w:r>
              <w:rPr>
                <w:rFonts w:ascii="Calibri" w:hAnsi="Calibri" w:cs="Calibri"/>
                <w:color w:val="000000"/>
                <w:szCs w:val="24"/>
              </w:rPr>
              <w:t xml:space="preserve"> </w:t>
            </w:r>
            <w:r w:rsidRPr="006055E6">
              <w:rPr>
                <w:rFonts w:ascii="Calibri" w:hAnsi="Calibri" w:cs="Calibri"/>
                <w:color w:val="000000"/>
                <w:szCs w:val="24"/>
              </w:rPr>
              <w:t>new demand through support for demonstration events that target landowners with the largest areas of degraded peatland;</w:t>
            </w:r>
          </w:p>
          <w:p w14:paraId="1EBBF10A" w14:textId="2F16835E" w:rsidR="006055E6" w:rsidRPr="006055E6" w:rsidRDefault="006055E6" w:rsidP="006055E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R</w:t>
            </w:r>
            <w:r w:rsidRPr="006055E6">
              <w:rPr>
                <w:rFonts w:ascii="Calibri" w:hAnsi="Calibri" w:cs="Calibri"/>
                <w:color w:val="000000"/>
                <w:szCs w:val="24"/>
              </w:rPr>
              <w:t>efreshing our technical compendium on how to restore with a focus on guidance that extends the operating season;</w:t>
            </w:r>
          </w:p>
          <w:p w14:paraId="2B1ACC06" w14:textId="5524EBCC" w:rsidR="006055E6" w:rsidRPr="006055E6" w:rsidRDefault="006055E6" w:rsidP="006055E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R</w:t>
            </w:r>
            <w:r w:rsidRPr="006055E6">
              <w:rPr>
                <w:rFonts w:ascii="Calibri" w:hAnsi="Calibri" w:cs="Calibri"/>
                <w:color w:val="000000"/>
                <w:szCs w:val="24"/>
              </w:rPr>
              <w:t>olling out a new scheme to incentivise and de-risk project design at a landscape scale, with over 10,000ha supported under the Project Design Support Scheme; and</w:t>
            </w:r>
          </w:p>
          <w:p w14:paraId="3E11CF48" w14:textId="0476C868" w:rsidR="006055E6" w:rsidRPr="006055E6" w:rsidRDefault="006055E6" w:rsidP="006055E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I</w:t>
            </w:r>
            <w:r w:rsidRPr="006055E6">
              <w:rPr>
                <w:rFonts w:ascii="Calibri" w:hAnsi="Calibri" w:cs="Calibri"/>
                <w:color w:val="000000"/>
                <w:szCs w:val="24"/>
              </w:rPr>
              <w:t>ncreasing contractor capacity through our entrants training scheme with 10 new plant operators to be trained and mentored by existing experienced peatland contractors</w:t>
            </w:r>
            <w:r>
              <w:rPr>
                <w:rFonts w:ascii="Calibri" w:hAnsi="Calibri" w:cs="Calibri"/>
                <w:color w:val="000000"/>
                <w:szCs w:val="24"/>
              </w:rPr>
              <w:t>.</w:t>
            </w:r>
          </w:p>
          <w:p w14:paraId="4C49D379" w14:textId="77777777" w:rsidR="006055E6" w:rsidRPr="006055E6" w:rsidRDefault="006055E6" w:rsidP="006055E6">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Policy Shaping</w:t>
            </w:r>
          </w:p>
          <w:p w14:paraId="4742AC63" w14:textId="77777777" w:rsidR="006055E6" w:rsidRPr="006055E6" w:rsidRDefault="006055E6" w:rsidP="006055E6">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We presented Peatland Action at two parliamentary receptions to reiterate the broad benefits from peatland protection, restoration and management.</w:t>
            </w:r>
          </w:p>
          <w:p w14:paraId="10BFED0E" w14:textId="67EF8DD3" w:rsidR="006055E6" w:rsidRPr="006055E6" w:rsidRDefault="006055E6" w:rsidP="006055E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We inputted to discussed to secure greater agricultural support for peatland Management; and led discussions on peat and renewables Expert Advisory Group.</w:t>
            </w:r>
          </w:p>
          <w:p w14:paraId="2DF5E38A" w14:textId="77777777" w:rsidR="006055E6" w:rsidRPr="006055E6" w:rsidRDefault="006055E6" w:rsidP="006055E6">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 xml:space="preserve">Finance </w:t>
            </w:r>
          </w:p>
          <w:p w14:paraId="6B63EFE3" w14:textId="7C563B5C" w:rsidR="006055E6" w:rsidRPr="006055E6" w:rsidRDefault="006055E6" w:rsidP="006055E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We attracted £0.8m of additional funding from the EU’s Shared Islands Fund working across Ireland, Northern Ireland and Scotland to support biodiversity on peatland sites.</w:t>
            </w:r>
          </w:p>
          <w:p w14:paraId="73F6C1EF" w14:textId="77777777" w:rsidR="006055E6" w:rsidRPr="006055E6" w:rsidRDefault="006055E6" w:rsidP="006055E6">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 xml:space="preserve">Monitoring &amp; Evidence </w:t>
            </w:r>
          </w:p>
          <w:p w14:paraId="5C7AF25F" w14:textId="4F7B298A" w:rsidR="006055E6" w:rsidRPr="006055E6" w:rsidRDefault="006055E6" w:rsidP="006055E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W</w:t>
            </w:r>
            <w:r w:rsidRPr="006055E6">
              <w:rPr>
                <w:rFonts w:ascii="Calibri" w:hAnsi="Calibri" w:cs="Calibri"/>
                <w:color w:val="000000"/>
                <w:szCs w:val="24"/>
              </w:rPr>
              <w:t>e continued to explore the applicability of satellite imagery to assess peatland condition and change</w:t>
            </w:r>
            <w:r>
              <w:rPr>
                <w:rFonts w:ascii="Calibri" w:hAnsi="Calibri" w:cs="Calibri"/>
                <w:color w:val="000000"/>
                <w:szCs w:val="24"/>
              </w:rPr>
              <w:t>.</w:t>
            </w:r>
          </w:p>
          <w:p w14:paraId="6A4478E6" w14:textId="37D4F8F8" w:rsidR="006055E6" w:rsidRPr="006055E6" w:rsidRDefault="006055E6" w:rsidP="006055E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W</w:t>
            </w:r>
            <w:r w:rsidRPr="006055E6">
              <w:rPr>
                <w:rFonts w:ascii="Calibri" w:hAnsi="Calibri" w:cs="Calibri"/>
                <w:color w:val="000000"/>
                <w:szCs w:val="24"/>
              </w:rPr>
              <w:t>e funded the Racks Moss monitoring proposal to support our shift to assessing the impact of our work on outcomes for nature.</w:t>
            </w:r>
          </w:p>
          <w:p w14:paraId="0CF28924" w14:textId="49232EAD" w:rsidR="00DD1243" w:rsidRPr="006055E6" w:rsidRDefault="006055E6" w:rsidP="006055E6">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55E6">
              <w:rPr>
                <w:rFonts w:ascii="Calibri" w:hAnsi="Calibri" w:cs="Calibri"/>
                <w:color w:val="000000"/>
                <w:szCs w:val="24"/>
              </w:rPr>
              <w:t>The success of our work was reflect</w:t>
            </w:r>
            <w:r>
              <w:rPr>
                <w:rFonts w:ascii="Calibri" w:hAnsi="Calibri" w:cs="Calibri"/>
                <w:color w:val="000000"/>
                <w:szCs w:val="24"/>
              </w:rPr>
              <w:t>ed</w:t>
            </w:r>
            <w:r w:rsidRPr="006055E6">
              <w:rPr>
                <w:rFonts w:ascii="Calibri" w:hAnsi="Calibri" w:cs="Calibri"/>
                <w:color w:val="000000"/>
                <w:szCs w:val="24"/>
              </w:rPr>
              <w:t xml:space="preserve"> in winning the Nature &amp; Environment category at the Holyrood Climate Awards</w:t>
            </w:r>
            <w:r>
              <w:rPr>
                <w:rFonts w:ascii="Calibri" w:hAnsi="Calibri" w:cs="Calibri"/>
                <w:color w:val="000000"/>
                <w:szCs w:val="24"/>
              </w:rPr>
              <w:t xml:space="preserve"> </w:t>
            </w:r>
            <w:r w:rsidRPr="006055E6">
              <w:rPr>
                <w:rFonts w:ascii="Calibri" w:hAnsi="Calibri" w:cs="Calibri"/>
                <w:color w:val="000000"/>
                <w:szCs w:val="24"/>
              </w:rPr>
              <w:t>and being highly commended at the Nature of Scotland Awards (Landscape Restoration Category).</w:t>
            </w:r>
          </w:p>
        </w:tc>
      </w:tr>
      <w:tr w:rsidR="008D20BE" w:rsidRPr="00F550D1" w14:paraId="3D95AFB8" w14:textId="77777777" w:rsidTr="00943F5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04A8899" w14:textId="77777777"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lastRenderedPageBreak/>
              <w:t>Lead, enable and convene others around the development of ambitious and coherent actions to restore nature.  Deliver a major Nature Restoration Fund (NRF) targeted at high impact nature recovery projects and seeding greater investment from the private sector</w:t>
            </w:r>
          </w:p>
        </w:tc>
        <w:tc>
          <w:tcPr>
            <w:tcW w:w="1276" w:type="dxa"/>
            <w:vAlign w:val="center"/>
          </w:tcPr>
          <w:p w14:paraId="166712BA"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2" w:type="dxa"/>
            <w:shd w:val="clear" w:color="auto" w:fill="9BBB59" w:themeFill="accent3"/>
            <w:vAlign w:val="center"/>
          </w:tcPr>
          <w:p w14:paraId="0B462571"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rPr>
              <w:t>GREEN</w:t>
            </w:r>
            <w:r w:rsidRPr="00F550D1">
              <w:rPr>
                <w:rFonts w:ascii="Calibri" w:hAnsi="Calibri" w:cs="Calibri"/>
                <w:b/>
                <w:szCs w:val="24"/>
              </w:rPr>
              <w:t xml:space="preserve"> </w:t>
            </w:r>
          </w:p>
        </w:tc>
        <w:tc>
          <w:tcPr>
            <w:tcW w:w="8930" w:type="dxa"/>
            <w:vAlign w:val="center"/>
          </w:tcPr>
          <w:p w14:paraId="06E854CC" w14:textId="18C71DEC" w:rsidR="00B837E7" w:rsidRPr="002062E0" w:rsidRDefault="00B837E7" w:rsidP="00B837E7">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Nature Restoration Fund (NRF)  </w:t>
            </w:r>
          </w:p>
          <w:p w14:paraId="000CEAE0" w14:textId="76CE5DF6" w:rsidR="000229E0" w:rsidRDefault="00B837E7" w:rsidP="00B837E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We made Transforming Nature funding awards in Q3 for the projects we awarded at the end of Q2 (September). </w:t>
            </w:r>
            <w:r w:rsidR="000229E0">
              <w:rPr>
                <w:rFonts w:ascii="Calibri" w:hAnsi="Calibri" w:cs="Calibri"/>
                <w:color w:val="000000"/>
                <w:szCs w:val="24"/>
              </w:rPr>
              <w:t xml:space="preserve"> These have resulted in six offers either being agreed, or in the process of being finalised, for multi-year projects.  These include the Peffery Catchment Restoration project, which will reduce flood risk to Dingwall and deliver a range of Nature based Solutions across the catchment.  The Aline catchment restoration project is also now underway by Ardtornish Estate, to deliver wide scale habitat restoration, </w:t>
            </w:r>
            <w:r w:rsidR="00AA1277">
              <w:rPr>
                <w:rFonts w:ascii="Calibri" w:hAnsi="Calibri" w:cs="Calibri"/>
                <w:color w:val="000000"/>
                <w:szCs w:val="24"/>
              </w:rPr>
              <w:t>herbivore</w:t>
            </w:r>
            <w:r w:rsidR="000229E0">
              <w:rPr>
                <w:rFonts w:ascii="Calibri" w:hAnsi="Calibri" w:cs="Calibri"/>
                <w:color w:val="000000"/>
                <w:szCs w:val="24"/>
              </w:rPr>
              <w:t xml:space="preserve"> reduction and the introduction of 70,000 native oysters to Loch Aline.  Other projects being finalised include large Atlantic rainforest projects and upland landscape scale habitat restoration. </w:t>
            </w:r>
          </w:p>
          <w:p w14:paraId="1A09C145" w14:textId="21A6335B" w:rsidR="00B837E7" w:rsidRDefault="00B837E7" w:rsidP="00B837E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We also made panel decisions on funding awards at the end of Q3. These will be offered in Q4. We have now allocated the bulk of NRF capital funding for multi-year projects, and strongly encouraging development projects to maintain the now steady pipeline of nature restoration projects.</w:t>
            </w:r>
          </w:p>
          <w:p w14:paraId="02A942FC" w14:textId="521A5F23" w:rsidR="000229E0" w:rsidRPr="002062E0" w:rsidRDefault="000229E0" w:rsidP="00B837E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At the Nature of Scotland awards in Q3, half of the winners and highly commended projects received funding from our Nature Restoration Fund, alongside other proactive comms.  This will also include commissioning promotional video and other material in Q4 and beyond to raise awareness of the work within NRF.</w:t>
            </w:r>
          </w:p>
          <w:p w14:paraId="03483F86" w14:textId="77777777" w:rsidR="00B837E7" w:rsidRPr="002062E0" w:rsidRDefault="00B837E7" w:rsidP="00B837E7">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Species prioritisation work will continue in partnership with an anticipated commission for the Scottish Biodiversity Strategy list coming in Q3.</w:t>
            </w:r>
          </w:p>
          <w:p w14:paraId="05B9A7CA" w14:textId="09689B4E" w:rsidR="00B837E7" w:rsidRPr="002062E0" w:rsidRDefault="00B837E7" w:rsidP="00B837E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We are continuing to work with eNGOs on the Species at Risk work. This will form the likely basis of a</w:t>
            </w:r>
            <w:r w:rsidR="00075F02">
              <w:rPr>
                <w:rFonts w:ascii="Calibri" w:hAnsi="Calibri" w:cs="Calibri"/>
                <w:color w:val="000000"/>
                <w:szCs w:val="24"/>
              </w:rPr>
              <w:t xml:space="preserve"> Scottish Biodiversity List (SBL)</w:t>
            </w:r>
            <w:r w:rsidRPr="002062E0">
              <w:rPr>
                <w:rFonts w:ascii="Calibri" w:hAnsi="Calibri" w:cs="Calibri"/>
                <w:color w:val="000000"/>
                <w:szCs w:val="24"/>
              </w:rPr>
              <w:t xml:space="preserve"> so an agreed 'single point of truth' is important. We held an initial meeting with SG to discuss scope of the SBL and will progress this (under their agreement) prior to a presentation on our approach at a meeting of the Biodiversity Steering Group in January.</w:t>
            </w:r>
          </w:p>
          <w:p w14:paraId="3E669507" w14:textId="7498FD3F" w:rsidR="00B837E7" w:rsidRPr="002062E0" w:rsidRDefault="00C90668" w:rsidP="00B837E7">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Flood Resilience Strategy</w:t>
            </w:r>
            <w:r w:rsidR="00B837E7" w:rsidRPr="002062E0">
              <w:rPr>
                <w:rFonts w:ascii="Calibri" w:hAnsi="Calibri" w:cs="Calibri"/>
                <w:color w:val="000000"/>
                <w:szCs w:val="24"/>
              </w:rPr>
              <w:t>.</w:t>
            </w:r>
          </w:p>
          <w:p w14:paraId="006FF133" w14:textId="0BD9D828" w:rsidR="00B837E7" w:rsidRPr="002062E0" w:rsidRDefault="00B837E7" w:rsidP="00B837E7">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062E0">
              <w:rPr>
                <w:rFonts w:ascii="Calibri" w:hAnsi="Calibri" w:cs="Calibri"/>
                <w:color w:val="000000"/>
                <w:szCs w:val="24"/>
              </w:rPr>
              <w:t xml:space="preserve">We have </w:t>
            </w:r>
            <w:r w:rsidR="00135003">
              <w:rPr>
                <w:rFonts w:ascii="Calibri" w:hAnsi="Calibri" w:cs="Calibri"/>
                <w:color w:val="000000"/>
                <w:szCs w:val="24"/>
              </w:rPr>
              <w:t>attended</w:t>
            </w:r>
            <w:r w:rsidRPr="002062E0">
              <w:rPr>
                <w:rFonts w:ascii="Calibri" w:hAnsi="Calibri" w:cs="Calibri"/>
                <w:color w:val="000000"/>
                <w:szCs w:val="24"/>
              </w:rPr>
              <w:t xml:space="preserve"> the Board and technical specialist group for Flood Resilience. The work of the groups </w:t>
            </w:r>
            <w:r w:rsidR="00135003" w:rsidRPr="002062E0">
              <w:rPr>
                <w:rFonts w:ascii="Calibri" w:hAnsi="Calibri" w:cs="Calibri"/>
                <w:color w:val="000000"/>
                <w:szCs w:val="24"/>
              </w:rPr>
              <w:t>has</w:t>
            </w:r>
            <w:r w:rsidRPr="002062E0">
              <w:rPr>
                <w:rFonts w:ascii="Calibri" w:hAnsi="Calibri" w:cs="Calibri"/>
                <w:color w:val="000000"/>
                <w:szCs w:val="24"/>
              </w:rPr>
              <w:t xml:space="preserve"> been disrupted by the flooding associated with Storm Babet but we are making good progress.</w:t>
            </w:r>
          </w:p>
          <w:p w14:paraId="6184D68A" w14:textId="6779D791" w:rsidR="00B837E7" w:rsidRPr="002062E0" w:rsidRDefault="00C90668" w:rsidP="00B837E7">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Natural Environment Bill</w:t>
            </w:r>
            <w:r w:rsidR="00B837E7" w:rsidRPr="002062E0">
              <w:rPr>
                <w:rFonts w:ascii="Calibri" w:hAnsi="Calibri" w:cs="Calibri"/>
                <w:color w:val="000000"/>
                <w:szCs w:val="24"/>
              </w:rPr>
              <w:t>.</w:t>
            </w:r>
          </w:p>
          <w:p w14:paraId="417EEEA3" w14:textId="402761FF" w:rsidR="00202841" w:rsidRPr="00B837E7" w:rsidRDefault="00B837E7" w:rsidP="00B837E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B837E7">
              <w:rPr>
                <w:rFonts w:ascii="Calibri" w:hAnsi="Calibri" w:cs="Calibri"/>
                <w:color w:val="000000"/>
                <w:szCs w:val="24"/>
              </w:rPr>
              <w:t>We have provided SG with technical expertise in the identification and selection of nature targets. In Q3, this has included work with JNCC on the value of international targets.</w:t>
            </w:r>
          </w:p>
        </w:tc>
      </w:tr>
      <w:tr w:rsidR="008D20BE" w:rsidRPr="00F550D1" w14:paraId="219D7521" w14:textId="77777777" w:rsidTr="00943F54">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282EAC7" w14:textId="77777777" w:rsidR="008D20BE" w:rsidRPr="00B837E7" w:rsidRDefault="008D20BE" w:rsidP="008D20BE">
            <w:pPr>
              <w:rPr>
                <w:rFonts w:ascii="Calibri" w:hAnsi="Calibri" w:cs="Calibri"/>
                <w:b w:val="0"/>
                <w:color w:val="000000"/>
                <w:szCs w:val="24"/>
                <w:highlight w:val="yellow"/>
              </w:rPr>
            </w:pPr>
            <w:r w:rsidRPr="00D51F4A">
              <w:rPr>
                <w:rFonts w:ascii="Calibri" w:hAnsi="Calibri" w:cs="Calibri"/>
                <w:b w:val="0"/>
                <w:color w:val="000000"/>
                <w:szCs w:val="24"/>
              </w:rPr>
              <w:lastRenderedPageBreak/>
              <w:t>Demonstrate how agriculture can be transformed with new approaches to deliver targeted outcomes for nature and climate</w:t>
            </w:r>
          </w:p>
        </w:tc>
        <w:tc>
          <w:tcPr>
            <w:tcW w:w="1276" w:type="dxa"/>
            <w:vAlign w:val="center"/>
          </w:tcPr>
          <w:p w14:paraId="6375B25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54718C8"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930" w:type="dxa"/>
            <w:vAlign w:val="center"/>
          </w:tcPr>
          <w:p w14:paraId="22346B1A" w14:textId="1285BD82" w:rsidR="006007B3" w:rsidRPr="006007B3" w:rsidRDefault="00FC0B8A" w:rsidP="00940A5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Agri-Environment Climate Scheme (</w:t>
            </w:r>
            <w:r w:rsidR="006007B3" w:rsidRPr="006007B3">
              <w:rPr>
                <w:rFonts w:ascii="Calibri" w:hAnsi="Calibri" w:cs="Calibri"/>
                <w:color w:val="000000"/>
                <w:szCs w:val="24"/>
              </w:rPr>
              <w:t>AECS</w:t>
            </w:r>
            <w:r>
              <w:rPr>
                <w:rFonts w:ascii="Calibri" w:hAnsi="Calibri" w:cs="Calibri"/>
                <w:color w:val="000000"/>
                <w:szCs w:val="24"/>
              </w:rPr>
              <w:t xml:space="preserve">) </w:t>
            </w:r>
            <w:r w:rsidR="006007B3" w:rsidRPr="006007B3">
              <w:rPr>
                <w:rFonts w:ascii="Calibri" w:hAnsi="Calibri" w:cs="Calibri"/>
                <w:color w:val="000000"/>
                <w:szCs w:val="24"/>
              </w:rPr>
              <w:t xml:space="preserve">- completed assessments of </w:t>
            </w:r>
            <w:r w:rsidR="003E3649">
              <w:rPr>
                <w:rFonts w:ascii="Calibri" w:hAnsi="Calibri" w:cs="Calibri"/>
                <w:color w:val="000000"/>
                <w:szCs w:val="24"/>
              </w:rPr>
              <w:t>148</w:t>
            </w:r>
            <w:r w:rsidR="006007B3" w:rsidRPr="006007B3">
              <w:rPr>
                <w:rFonts w:ascii="Calibri" w:hAnsi="Calibri" w:cs="Calibri"/>
                <w:color w:val="000000"/>
                <w:szCs w:val="24"/>
              </w:rPr>
              <w:t xml:space="preserve"> NatureScot cases. Awaiting SG budget approvals to progress to contract issue in Q4</w:t>
            </w:r>
          </w:p>
          <w:p w14:paraId="2303F376" w14:textId="4080E118" w:rsidR="006007B3" w:rsidRPr="006007B3" w:rsidRDefault="006007B3" w:rsidP="00940A5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07B3">
              <w:rPr>
                <w:rFonts w:ascii="Calibri" w:hAnsi="Calibri" w:cs="Calibri"/>
                <w:color w:val="000000"/>
                <w:szCs w:val="24"/>
              </w:rPr>
              <w:t>F</w:t>
            </w:r>
            <w:r w:rsidR="003E3649">
              <w:rPr>
                <w:rFonts w:ascii="Calibri" w:hAnsi="Calibri" w:cs="Calibri"/>
                <w:color w:val="000000"/>
                <w:szCs w:val="24"/>
              </w:rPr>
              <w:t xml:space="preserve">arming </w:t>
            </w:r>
            <w:r w:rsidRPr="006007B3">
              <w:rPr>
                <w:rFonts w:ascii="Calibri" w:hAnsi="Calibri" w:cs="Calibri"/>
                <w:color w:val="000000"/>
                <w:szCs w:val="24"/>
              </w:rPr>
              <w:t>w</w:t>
            </w:r>
            <w:r w:rsidR="003E3649">
              <w:rPr>
                <w:rFonts w:ascii="Calibri" w:hAnsi="Calibri" w:cs="Calibri"/>
                <w:color w:val="000000"/>
                <w:szCs w:val="24"/>
              </w:rPr>
              <w:t xml:space="preserve">ith </w:t>
            </w:r>
            <w:r w:rsidRPr="006007B3">
              <w:rPr>
                <w:rFonts w:ascii="Calibri" w:hAnsi="Calibri" w:cs="Calibri"/>
                <w:color w:val="000000"/>
                <w:szCs w:val="24"/>
              </w:rPr>
              <w:t>N</w:t>
            </w:r>
            <w:r w:rsidR="003E3649">
              <w:rPr>
                <w:rFonts w:ascii="Calibri" w:hAnsi="Calibri" w:cs="Calibri"/>
                <w:color w:val="000000"/>
                <w:szCs w:val="24"/>
              </w:rPr>
              <w:t>ature (FwN)</w:t>
            </w:r>
            <w:r>
              <w:rPr>
                <w:rFonts w:ascii="Calibri" w:hAnsi="Calibri" w:cs="Calibri"/>
                <w:color w:val="000000"/>
                <w:szCs w:val="24"/>
              </w:rPr>
              <w:t xml:space="preserve"> - </w:t>
            </w:r>
            <w:r w:rsidRPr="006007B3">
              <w:rPr>
                <w:rFonts w:ascii="Calibri" w:hAnsi="Calibri" w:cs="Calibri"/>
                <w:color w:val="000000"/>
                <w:szCs w:val="24"/>
              </w:rPr>
              <w:t xml:space="preserve">Farm Biodiversity Scotland (FAB Scotland) audit tested with </w:t>
            </w:r>
            <w:r w:rsidR="00E174CA" w:rsidRPr="00E174CA">
              <w:rPr>
                <w:rFonts w:ascii="Calibri" w:hAnsi="Calibri" w:cs="Calibri"/>
                <w:color w:val="000000"/>
                <w:szCs w:val="24"/>
              </w:rPr>
              <w:t xml:space="preserve">Piloting an Outcomes Based Approach in Scotland </w:t>
            </w:r>
            <w:r w:rsidR="00E174CA">
              <w:rPr>
                <w:rFonts w:ascii="Calibri" w:hAnsi="Calibri" w:cs="Calibri"/>
                <w:color w:val="000000"/>
                <w:szCs w:val="24"/>
              </w:rPr>
              <w:t>(</w:t>
            </w:r>
            <w:r w:rsidRPr="006007B3">
              <w:rPr>
                <w:rFonts w:ascii="Calibri" w:hAnsi="Calibri" w:cs="Calibri"/>
                <w:color w:val="000000"/>
                <w:szCs w:val="24"/>
              </w:rPr>
              <w:t>POBAS</w:t>
            </w:r>
            <w:r w:rsidR="00E174CA">
              <w:rPr>
                <w:rFonts w:ascii="Calibri" w:hAnsi="Calibri" w:cs="Calibri"/>
                <w:color w:val="000000"/>
                <w:szCs w:val="24"/>
              </w:rPr>
              <w:t>)</w:t>
            </w:r>
            <w:r w:rsidRPr="006007B3">
              <w:rPr>
                <w:rFonts w:ascii="Calibri" w:hAnsi="Calibri" w:cs="Calibri"/>
                <w:color w:val="000000"/>
                <w:szCs w:val="24"/>
              </w:rPr>
              <w:t xml:space="preserve"> farmers and crofters and 10 key score cards being finalised </w:t>
            </w:r>
            <w:r w:rsidR="00E174CA">
              <w:rPr>
                <w:rFonts w:ascii="Calibri" w:hAnsi="Calibri" w:cs="Calibri"/>
                <w:color w:val="000000"/>
                <w:szCs w:val="24"/>
              </w:rPr>
              <w:t>in</w:t>
            </w:r>
            <w:r w:rsidRPr="006007B3">
              <w:rPr>
                <w:rFonts w:ascii="Calibri" w:hAnsi="Calibri" w:cs="Calibri"/>
                <w:color w:val="000000"/>
                <w:szCs w:val="24"/>
              </w:rPr>
              <w:t xml:space="preserve"> Q4 ready for further testing in 2024</w:t>
            </w:r>
          </w:p>
          <w:p w14:paraId="2ECB7426" w14:textId="33B1C2C4" w:rsidR="006007B3" w:rsidRPr="006007B3" w:rsidRDefault="003E3649" w:rsidP="00940A5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FaBScot</w:t>
            </w:r>
            <w:r w:rsidR="006007B3" w:rsidRPr="006007B3">
              <w:rPr>
                <w:rFonts w:ascii="Calibri" w:hAnsi="Calibri" w:cs="Calibri"/>
                <w:color w:val="000000"/>
                <w:szCs w:val="24"/>
              </w:rPr>
              <w:t xml:space="preserve"> App purchased from Sabbio and now owned and managed by NatureScot with technical support from former members of Sabbio. App functionality continues to be developed to allow user to complete a habitat map and undertake habitat assessments for further testing in 2024</w:t>
            </w:r>
          </w:p>
          <w:p w14:paraId="4977BB18" w14:textId="0A1B4A5B" w:rsidR="006007B3" w:rsidRPr="006007B3" w:rsidRDefault="006007B3" w:rsidP="00940A5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07B3">
              <w:rPr>
                <w:rFonts w:ascii="Calibri" w:hAnsi="Calibri" w:cs="Calibri"/>
                <w:color w:val="000000"/>
                <w:szCs w:val="24"/>
              </w:rPr>
              <w:t>Agriculture Reform Programme</w:t>
            </w:r>
            <w:r>
              <w:rPr>
                <w:rFonts w:ascii="Calibri" w:hAnsi="Calibri" w:cs="Calibri"/>
                <w:color w:val="000000"/>
                <w:szCs w:val="24"/>
              </w:rPr>
              <w:t xml:space="preserve"> - </w:t>
            </w:r>
            <w:r w:rsidRPr="006007B3">
              <w:rPr>
                <w:rFonts w:ascii="Calibri" w:hAnsi="Calibri" w:cs="Calibri"/>
                <w:color w:val="000000"/>
                <w:szCs w:val="24"/>
              </w:rPr>
              <w:t xml:space="preserve">Provided advice and evidence to support SG Whole Farm Plan, Tier 1 (Peatland and Wetland </w:t>
            </w:r>
            <w:r w:rsidR="00E174CA">
              <w:rPr>
                <w:rFonts w:ascii="Calibri" w:hAnsi="Calibri" w:cs="Calibri"/>
                <w:color w:val="000000"/>
                <w:szCs w:val="24"/>
              </w:rPr>
              <w:t>Good Agricultural and Environmental Condition (</w:t>
            </w:r>
            <w:r w:rsidRPr="006007B3">
              <w:rPr>
                <w:rFonts w:ascii="Calibri" w:hAnsi="Calibri" w:cs="Calibri"/>
                <w:color w:val="000000"/>
                <w:szCs w:val="24"/>
              </w:rPr>
              <w:t>GAEC</w:t>
            </w:r>
            <w:r w:rsidR="00E174CA">
              <w:rPr>
                <w:rFonts w:ascii="Calibri" w:hAnsi="Calibri" w:cs="Calibri"/>
                <w:color w:val="000000"/>
                <w:szCs w:val="24"/>
              </w:rPr>
              <w:t>)</w:t>
            </w:r>
            <w:r w:rsidRPr="006007B3">
              <w:rPr>
                <w:rFonts w:ascii="Calibri" w:hAnsi="Calibri" w:cs="Calibri"/>
                <w:color w:val="000000"/>
                <w:szCs w:val="24"/>
              </w:rPr>
              <w:t>) and Measures Discovery processes. Contributed to final reports and recommendations going to the Agricultural Reform design authority and board in Q4.</w:t>
            </w:r>
          </w:p>
          <w:p w14:paraId="1F88E7BB" w14:textId="77777777" w:rsidR="008D20BE" w:rsidRDefault="006007B3" w:rsidP="00940A5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007B3">
              <w:rPr>
                <w:rFonts w:ascii="Calibri" w:hAnsi="Calibri" w:cs="Calibri"/>
                <w:color w:val="000000"/>
                <w:szCs w:val="24"/>
              </w:rPr>
              <w:t>Provided evidence to the Rural Affairs Committee on stage 1 of the Agriculture Bill.</w:t>
            </w:r>
          </w:p>
          <w:p w14:paraId="3ECCF443" w14:textId="30F82F55" w:rsidR="00940A53" w:rsidRPr="002F1049" w:rsidRDefault="00940A53" w:rsidP="0087219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Whole Farm Plan (</w:t>
            </w:r>
            <w:r w:rsidRPr="005B1B32">
              <w:rPr>
                <w:rFonts w:ascii="Calibri" w:hAnsi="Calibri" w:cs="Calibri"/>
                <w:szCs w:val="24"/>
              </w:rPr>
              <w:t>WFP</w:t>
            </w:r>
            <w:r>
              <w:rPr>
                <w:rFonts w:ascii="Calibri" w:hAnsi="Calibri" w:cs="Calibri"/>
                <w:szCs w:val="24"/>
              </w:rPr>
              <w:t>)</w:t>
            </w:r>
            <w:r w:rsidR="00872198">
              <w:rPr>
                <w:rFonts w:ascii="Calibri" w:hAnsi="Calibri" w:cs="Calibri"/>
                <w:szCs w:val="24"/>
              </w:rPr>
              <w:t xml:space="preserve"> -</w:t>
            </w:r>
            <w:r w:rsidR="002F1049">
              <w:rPr>
                <w:rFonts w:ascii="Calibri" w:hAnsi="Calibri" w:cs="Calibri"/>
                <w:szCs w:val="24"/>
              </w:rPr>
              <w:t xml:space="preserve"> </w:t>
            </w:r>
            <w:r w:rsidR="00872198" w:rsidRPr="002F1049">
              <w:rPr>
                <w:rFonts w:ascii="Calibri" w:hAnsi="Calibri" w:cs="Calibri"/>
                <w:szCs w:val="24"/>
              </w:rPr>
              <w:t xml:space="preserve">Both the Measures and </w:t>
            </w:r>
            <w:r w:rsidR="00872198">
              <w:rPr>
                <w:rFonts w:ascii="Calibri" w:hAnsi="Calibri" w:cs="Calibri"/>
                <w:szCs w:val="24"/>
              </w:rPr>
              <w:t>WFP</w:t>
            </w:r>
            <w:r w:rsidR="00872198" w:rsidRPr="002F1049">
              <w:rPr>
                <w:rFonts w:ascii="Calibri" w:hAnsi="Calibri" w:cs="Calibri"/>
                <w:szCs w:val="24"/>
              </w:rPr>
              <w:t xml:space="preserve"> discovery programmes were completed just before Christmas and NatureScot contributed significantly to the reports and outcomes of each. The </w:t>
            </w:r>
            <w:r w:rsidR="00872198">
              <w:rPr>
                <w:rFonts w:ascii="Calibri" w:hAnsi="Calibri" w:cs="Calibri"/>
                <w:szCs w:val="24"/>
              </w:rPr>
              <w:t>WFP</w:t>
            </w:r>
            <w:r w:rsidR="00872198" w:rsidRPr="002F1049">
              <w:rPr>
                <w:rFonts w:ascii="Calibri" w:hAnsi="Calibri" w:cs="Calibri"/>
                <w:szCs w:val="24"/>
              </w:rPr>
              <w:t xml:space="preserve"> results were presented to the Cabinet Secretary for approval and we await feedback on what she will announce in coming weeks. Measures discovery results are being fed into a measures workstream reconvening </w:t>
            </w:r>
            <w:r w:rsidR="00872198">
              <w:rPr>
                <w:rFonts w:ascii="Calibri" w:hAnsi="Calibri" w:cs="Calibri"/>
                <w:szCs w:val="24"/>
              </w:rPr>
              <w:t>in Q</w:t>
            </w:r>
            <w:r w:rsidR="00872198" w:rsidRPr="002F1049">
              <w:rPr>
                <w:rFonts w:ascii="Calibri" w:hAnsi="Calibri" w:cs="Calibri"/>
                <w:szCs w:val="24"/>
              </w:rPr>
              <w:t>4 that NatureScot participates in.</w:t>
            </w:r>
          </w:p>
          <w:p w14:paraId="1D0345E7" w14:textId="20973E80" w:rsidR="00940A53" w:rsidRPr="004D675C" w:rsidRDefault="00940A53" w:rsidP="00940A5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5B1B32">
              <w:rPr>
                <w:rFonts w:ascii="Calibri" w:hAnsi="Calibri" w:cs="Calibri"/>
                <w:szCs w:val="24"/>
              </w:rPr>
              <w:t xml:space="preserve">Support </w:t>
            </w:r>
            <w:r w:rsidR="00F0315A">
              <w:rPr>
                <w:rStyle w:val="ui-provider"/>
              </w:rPr>
              <w:t xml:space="preserve">Agriculture and Rural Economy Directorate to </w:t>
            </w:r>
            <w:r w:rsidRPr="005B1B32">
              <w:rPr>
                <w:rFonts w:ascii="Calibri" w:hAnsi="Calibri" w:cs="Calibri"/>
                <w:szCs w:val="24"/>
              </w:rPr>
              <w:t>recruit and train climate/nature policy leads</w:t>
            </w:r>
            <w:r w:rsidR="00872198">
              <w:rPr>
                <w:rFonts w:ascii="Calibri" w:hAnsi="Calibri" w:cs="Calibri"/>
                <w:szCs w:val="24"/>
              </w:rPr>
              <w:t xml:space="preserve"> - </w:t>
            </w:r>
            <w:r w:rsidR="00872198" w:rsidRPr="00872198">
              <w:rPr>
                <w:rFonts w:ascii="Calibri" w:hAnsi="Calibri" w:cs="Calibri"/>
                <w:szCs w:val="24"/>
              </w:rPr>
              <w:t xml:space="preserve">We have met and now supporting new C1 </w:t>
            </w:r>
            <w:r w:rsidR="00872198">
              <w:rPr>
                <w:rFonts w:ascii="Calibri" w:hAnsi="Calibri" w:cs="Calibri"/>
                <w:szCs w:val="24"/>
              </w:rPr>
              <w:t>who</w:t>
            </w:r>
            <w:r w:rsidR="00872198" w:rsidRPr="00872198">
              <w:rPr>
                <w:rFonts w:ascii="Calibri" w:hAnsi="Calibri" w:cs="Calibri"/>
                <w:szCs w:val="24"/>
              </w:rPr>
              <w:t xml:space="preserve"> is now leading a new Tier 3 workstream kicking off </w:t>
            </w:r>
            <w:r w:rsidR="00872198">
              <w:rPr>
                <w:rFonts w:ascii="Calibri" w:hAnsi="Calibri" w:cs="Calibri"/>
                <w:szCs w:val="24"/>
              </w:rPr>
              <w:t>in Q4</w:t>
            </w:r>
            <w:r w:rsidR="00872198" w:rsidRPr="00872198">
              <w:rPr>
                <w:rFonts w:ascii="Calibri" w:hAnsi="Calibri" w:cs="Calibri"/>
                <w:szCs w:val="24"/>
              </w:rPr>
              <w:t>.  No further progress on the B3 post as far as we are aware.</w:t>
            </w:r>
          </w:p>
        </w:tc>
      </w:tr>
    </w:tbl>
    <w:p w14:paraId="30A32E08" w14:textId="77777777" w:rsidR="008D20BE" w:rsidRPr="00F550D1" w:rsidRDefault="008D20BE" w:rsidP="008D20BE">
      <w:pPr>
        <w:keepNext/>
        <w:keepLines/>
        <w:spacing w:before="40" w:after="0" w:line="259" w:lineRule="auto"/>
        <w:outlineLvl w:val="1"/>
        <w:rPr>
          <w:rFonts w:ascii="Calibri" w:eastAsiaTheme="majorEastAsia" w:hAnsi="Calibri" w:cs="Calibri"/>
          <w:b/>
          <w:szCs w:val="26"/>
        </w:rPr>
      </w:pPr>
    </w:p>
    <w:p w14:paraId="71CE70A7" w14:textId="77777777" w:rsidR="00F0315A" w:rsidRDefault="00F0315A">
      <w:pPr>
        <w:rPr>
          <w:rFonts w:ascii="Calibri" w:eastAsiaTheme="majorEastAsia" w:hAnsi="Calibri" w:cs="Calibri"/>
          <w:b/>
          <w:szCs w:val="26"/>
        </w:rPr>
      </w:pPr>
      <w:r>
        <w:rPr>
          <w:rFonts w:ascii="Calibri" w:eastAsiaTheme="majorEastAsia" w:hAnsi="Calibri" w:cs="Calibri"/>
          <w:b/>
          <w:szCs w:val="26"/>
        </w:rPr>
        <w:br w:type="page"/>
      </w:r>
    </w:p>
    <w:p w14:paraId="7F29C7D6" w14:textId="176DFEA3" w:rsidR="008D20BE" w:rsidRPr="00F550D1" w:rsidRDefault="008D20BE" w:rsidP="008D20BE">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lastRenderedPageBreak/>
        <w:t>THE VALUE OF NATURE IS RECOGNISED</w:t>
      </w:r>
    </w:p>
    <w:tbl>
      <w:tblPr>
        <w:tblStyle w:val="PlainTable1"/>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559"/>
        <w:gridCol w:w="993"/>
        <w:gridCol w:w="8466"/>
      </w:tblGrid>
      <w:tr w:rsidR="008D20BE" w:rsidRPr="00F550D1" w14:paraId="6255B615" w14:textId="77777777" w:rsidTr="00943F54">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0E46245"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549A988D"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49DB4EDC"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7D6D39F7" w14:textId="01EF8F04" w:rsidR="008D20BE" w:rsidRPr="00F550D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11387D">
              <w:rPr>
                <w:rFonts w:ascii="Calibri" w:hAnsi="Calibri" w:cs="Calibri"/>
                <w:szCs w:val="26"/>
              </w:rPr>
              <w:t>3</w:t>
            </w:r>
            <w:r w:rsidR="008D20BE" w:rsidRPr="00F550D1">
              <w:rPr>
                <w:rFonts w:ascii="Calibri" w:hAnsi="Calibri" w:cs="Calibri"/>
                <w:szCs w:val="26"/>
              </w:rPr>
              <w:t xml:space="preserve"> UPDATE</w:t>
            </w:r>
          </w:p>
        </w:tc>
      </w:tr>
      <w:tr w:rsidR="008D20BE" w:rsidRPr="00F550D1" w14:paraId="1919863C" w14:textId="77777777" w:rsidTr="00943F5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D373F7D" w14:textId="77777777" w:rsidR="008D20BE" w:rsidRPr="00B837E7" w:rsidRDefault="008D20BE" w:rsidP="008D20BE">
            <w:pPr>
              <w:rPr>
                <w:rFonts w:ascii="Calibri" w:hAnsi="Calibri" w:cs="Calibri"/>
                <w:b w:val="0"/>
                <w:color w:val="000000"/>
                <w:szCs w:val="24"/>
              </w:rPr>
            </w:pPr>
            <w:r w:rsidRPr="00B837E7">
              <w:rPr>
                <w:rFonts w:ascii="Calibri" w:hAnsi="Calibri" w:cs="Calibri"/>
                <w:b w:val="0"/>
                <w:color w:val="000000"/>
                <w:szCs w:val="24"/>
              </w:rPr>
              <w:t>Inspire people to connect with nature, increasing appreciation of nature’s value through impactful delivery and communication of our work</w:t>
            </w:r>
          </w:p>
        </w:tc>
        <w:tc>
          <w:tcPr>
            <w:tcW w:w="1559" w:type="dxa"/>
            <w:vAlign w:val="center"/>
          </w:tcPr>
          <w:p w14:paraId="1B8B5B8E"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Nick Halfhide</w:t>
            </w:r>
          </w:p>
        </w:tc>
        <w:tc>
          <w:tcPr>
            <w:tcW w:w="993" w:type="dxa"/>
            <w:shd w:val="clear" w:color="auto" w:fill="FFC000"/>
            <w:vAlign w:val="center"/>
          </w:tcPr>
          <w:p w14:paraId="4C441274" w14:textId="71C03810" w:rsidR="008D20BE" w:rsidRPr="00F550D1" w:rsidRDefault="00B837E7"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szCs w:val="24"/>
              </w:rPr>
              <w:t>AMBER</w:t>
            </w:r>
          </w:p>
        </w:tc>
        <w:tc>
          <w:tcPr>
            <w:tcW w:w="8466" w:type="dxa"/>
            <w:vAlign w:val="center"/>
          </w:tcPr>
          <w:p w14:paraId="283600D4" w14:textId="3485C100" w:rsidR="00B837E7" w:rsidRPr="00B837E7" w:rsidRDefault="00B837E7" w:rsidP="00B837E7">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B837E7">
              <w:rPr>
                <w:rFonts w:ascii="Calibri" w:hAnsi="Calibri" w:cs="Calibri"/>
                <w:color w:val="000000"/>
                <w:szCs w:val="24"/>
              </w:rPr>
              <w:t>S</w:t>
            </w:r>
            <w:r w:rsidR="00075F02">
              <w:rPr>
                <w:rFonts w:ascii="Calibri" w:hAnsi="Calibri" w:cs="Calibri"/>
                <w:color w:val="000000"/>
                <w:szCs w:val="24"/>
              </w:rPr>
              <w:t>tructure Funds (SF)</w:t>
            </w:r>
            <w:r w:rsidRPr="00B837E7">
              <w:rPr>
                <w:rFonts w:ascii="Calibri" w:hAnsi="Calibri" w:cs="Calibri"/>
                <w:color w:val="000000"/>
                <w:szCs w:val="24"/>
              </w:rPr>
              <w:t xml:space="preserve"> - All projects now completed. </w:t>
            </w:r>
            <w:r w:rsidR="004E24F1">
              <w:rPr>
                <w:rFonts w:ascii="Calibri" w:hAnsi="Calibri" w:cs="Calibri"/>
                <w:color w:val="000000"/>
                <w:szCs w:val="24"/>
              </w:rPr>
              <w:t>A</w:t>
            </w:r>
            <w:r w:rsidR="00020D88" w:rsidRPr="00020D88">
              <w:rPr>
                <w:rFonts w:ascii="Calibri" w:hAnsi="Calibri" w:cs="Calibri"/>
                <w:color w:val="000000"/>
                <w:szCs w:val="24"/>
              </w:rPr>
              <w:t>ll claims paid to applicants by end of Q3</w:t>
            </w:r>
            <w:r w:rsidR="004E24F1">
              <w:rPr>
                <w:rFonts w:ascii="Calibri" w:hAnsi="Calibri" w:cs="Calibri"/>
                <w:color w:val="000000"/>
                <w:szCs w:val="24"/>
              </w:rPr>
              <w:t xml:space="preserve">. </w:t>
            </w:r>
            <w:r w:rsidR="00020D88" w:rsidRPr="00020D88">
              <w:rPr>
                <w:rFonts w:ascii="Calibri" w:hAnsi="Calibri" w:cs="Calibri"/>
                <w:color w:val="000000"/>
                <w:szCs w:val="24"/>
              </w:rPr>
              <w:t xml:space="preserve">, </w:t>
            </w:r>
          </w:p>
          <w:p w14:paraId="3ACA883A" w14:textId="4A912849" w:rsidR="00B837E7" w:rsidRPr="00B837E7" w:rsidRDefault="00B837E7" w:rsidP="00B837E7">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B837E7">
              <w:rPr>
                <w:rFonts w:ascii="Calibri" w:hAnsi="Calibri" w:cs="Calibri"/>
                <w:color w:val="000000"/>
                <w:szCs w:val="24"/>
              </w:rPr>
              <w:t>NNRs - Phase 2 Peatland restoration project completed at Ben Wyvis and visitor interpretation installed at Noss; Good progress with visitor management at key sites including Muir of Dinnet, Beinn Eighe and Forvie; Successful roll out of community deer stalking at Creag Meagaidh and Beinn Eighe and eNGO deer management training day held at Creag Meagaidh; and well received volunteer programme on 4 NNRs delivered for 30 staff from Education Scotland and the Scottish Qualifications Authority</w:t>
            </w:r>
            <w:r w:rsidR="002F1049">
              <w:rPr>
                <w:rFonts w:ascii="Calibri" w:hAnsi="Calibri" w:cs="Calibri"/>
                <w:color w:val="000000"/>
                <w:szCs w:val="24"/>
              </w:rPr>
              <w:t>.</w:t>
            </w:r>
          </w:p>
          <w:p w14:paraId="06D8F04A" w14:textId="480156C2" w:rsidR="00B837E7" w:rsidRPr="00B837E7" w:rsidRDefault="00B837E7" w:rsidP="00B837E7">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B837E7">
              <w:rPr>
                <w:rFonts w:ascii="Calibri" w:hAnsi="Calibri" w:cs="Calibri"/>
                <w:color w:val="000000"/>
                <w:szCs w:val="24"/>
              </w:rPr>
              <w:t>Visitor Management - proposals for managing open fire developed with VMS co-ordination group including simplified messaging and signing approach</w:t>
            </w:r>
            <w:r w:rsidR="002F1049">
              <w:rPr>
                <w:rFonts w:ascii="Calibri" w:hAnsi="Calibri" w:cs="Calibri"/>
                <w:color w:val="000000"/>
                <w:szCs w:val="24"/>
              </w:rPr>
              <w:t>.</w:t>
            </w:r>
          </w:p>
          <w:p w14:paraId="4B870AD8" w14:textId="4D751422" w:rsidR="00B837E7" w:rsidRPr="00B837E7" w:rsidRDefault="00B837E7" w:rsidP="00075F02">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B837E7">
              <w:rPr>
                <w:rFonts w:ascii="Calibri" w:hAnsi="Calibri" w:cs="Calibri"/>
                <w:color w:val="000000"/>
                <w:szCs w:val="24"/>
              </w:rPr>
              <w:t>S</w:t>
            </w:r>
            <w:r w:rsidR="00075F02">
              <w:rPr>
                <w:rFonts w:ascii="Calibri" w:hAnsi="Calibri" w:cs="Calibri"/>
                <w:color w:val="000000"/>
                <w:szCs w:val="24"/>
              </w:rPr>
              <w:t>cottish Outdoor Access Code</w:t>
            </w:r>
            <w:r w:rsidR="00454B23">
              <w:rPr>
                <w:rFonts w:ascii="Calibri" w:hAnsi="Calibri" w:cs="Calibri"/>
                <w:color w:val="000000"/>
                <w:szCs w:val="24"/>
              </w:rPr>
              <w:t xml:space="preserve"> (SOAC)</w:t>
            </w:r>
            <w:r w:rsidRPr="00B837E7">
              <w:rPr>
                <w:rFonts w:ascii="Calibri" w:hAnsi="Calibri" w:cs="Calibri"/>
                <w:color w:val="000000"/>
                <w:szCs w:val="24"/>
              </w:rPr>
              <w:t xml:space="preserve"> - </w:t>
            </w:r>
            <w:r w:rsidR="00075F02" w:rsidRPr="00E1234E">
              <w:rPr>
                <w:rFonts w:ascii="Calibri" w:hAnsi="Calibri" w:cs="Calibri"/>
                <w:i/>
                <w:color w:val="000000"/>
                <w:szCs w:val="24"/>
              </w:rPr>
              <w:t>Heading for the Scottish Hills</w:t>
            </w:r>
            <w:r w:rsidR="00075F02" w:rsidRPr="00075F02">
              <w:rPr>
                <w:rFonts w:ascii="Calibri" w:hAnsi="Calibri" w:cs="Calibri"/>
                <w:color w:val="000000"/>
                <w:szCs w:val="24"/>
              </w:rPr>
              <w:t xml:space="preserve"> </w:t>
            </w:r>
            <w:r w:rsidRPr="00B837E7">
              <w:rPr>
                <w:rFonts w:ascii="Calibri" w:hAnsi="Calibri" w:cs="Calibri"/>
                <w:color w:val="000000"/>
                <w:szCs w:val="24"/>
              </w:rPr>
              <w:t>website updates with new information on deer stalking published to support expanded deer seasons.</w:t>
            </w:r>
          </w:p>
          <w:p w14:paraId="7F659C8A" w14:textId="6E76A2DB" w:rsidR="00F0315A" w:rsidRPr="002F1049" w:rsidRDefault="00F0315A" w:rsidP="00B837E7">
            <w:pPr>
              <w:numPr>
                <w:ilvl w:val="0"/>
                <w:numId w:val="10"/>
              </w:numPr>
              <w:contextualSpacing/>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color w:val="000000"/>
                <w:szCs w:val="24"/>
              </w:rPr>
            </w:pPr>
            <w:r>
              <w:rPr>
                <w:rStyle w:val="ui-provider"/>
              </w:rPr>
              <w:t>Scotland’s People and Nature Survey (SPANS) progressing (runs to March 2024), NOS and SOAC completed for 2023 with publication planned for Q4</w:t>
            </w:r>
            <w:r w:rsidR="002F1049">
              <w:rPr>
                <w:rStyle w:val="ui-provider"/>
              </w:rPr>
              <w:t>.</w:t>
            </w:r>
          </w:p>
          <w:p w14:paraId="1003DFBB" w14:textId="439A2CFE" w:rsidR="00DD1243" w:rsidRDefault="00454B23" w:rsidP="00B837E7">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Style w:val="ui-provider"/>
              </w:rPr>
              <w:t>Just Transition - Discussion paper with graphics prepared for December Board – now delayed until March. Input made to Just Transition sector discussion papers on land-use and agriculture, marine and Grangemouth. NatureScot response to the SG consultation on human rights legislation, including the right to a healthy environment, submitted and input made to SG wider implementation legislation group.</w:t>
            </w:r>
          </w:p>
          <w:p w14:paraId="26E27083" w14:textId="440525A8" w:rsidR="00F0315A" w:rsidRPr="00E46449" w:rsidRDefault="00454B23" w:rsidP="00B837E7">
            <w:pPr>
              <w:numPr>
                <w:ilvl w:val="0"/>
                <w:numId w:val="10"/>
              </w:numPr>
              <w:contextualSpacing/>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color w:val="000000"/>
                <w:szCs w:val="24"/>
              </w:rPr>
            </w:pPr>
            <w:r>
              <w:rPr>
                <w:rStyle w:val="ui-provider"/>
              </w:rPr>
              <w:t xml:space="preserve">Better Places Fund - </w:t>
            </w:r>
            <w:r w:rsidR="001B7A15">
              <w:rPr>
                <w:rStyle w:val="ui-provider"/>
              </w:rPr>
              <w:t>Slight delay on claims because of need to resource Structural Fund work, but most claims have been processed and evaluation report in preparation with publication planned for Q4</w:t>
            </w:r>
            <w:r w:rsidR="00806C3E">
              <w:rPr>
                <w:rStyle w:val="ui-provider"/>
              </w:rPr>
              <w:t>.</w:t>
            </w:r>
          </w:p>
          <w:p w14:paraId="16175B62" w14:textId="2F49C84E" w:rsidR="00454B23" w:rsidRPr="004D3D42" w:rsidRDefault="00454B23" w:rsidP="00B837E7">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Style w:val="ui-provider"/>
              </w:rPr>
              <w:t xml:space="preserve">Nature Discovery Map Scotland - </w:t>
            </w:r>
            <w:r w:rsidRPr="00E46449">
              <w:rPr>
                <w:rStyle w:val="ui-provider"/>
              </w:rPr>
              <w:t>Project commissioned with funding agreed with SG.</w:t>
            </w:r>
            <w:r>
              <w:rPr>
                <w:rStyle w:val="ui-provider"/>
              </w:rPr>
              <w:t xml:space="preserve">  </w:t>
            </w:r>
          </w:p>
        </w:tc>
      </w:tr>
      <w:tr w:rsidR="008D20BE" w:rsidRPr="00F550D1" w14:paraId="553D576D" w14:textId="77777777" w:rsidTr="00943F54">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33F7827" w14:textId="77777777" w:rsidR="008D20BE" w:rsidRPr="004F3330" w:rsidRDefault="008D20BE" w:rsidP="008D20BE">
            <w:pPr>
              <w:rPr>
                <w:rFonts w:ascii="Calibri" w:hAnsi="Calibri" w:cs="Calibri"/>
                <w:b w:val="0"/>
                <w:color w:val="000000"/>
                <w:szCs w:val="24"/>
                <w:highlight w:val="yellow"/>
              </w:rPr>
            </w:pPr>
            <w:r w:rsidRPr="00014497">
              <w:rPr>
                <w:rFonts w:ascii="Calibri" w:hAnsi="Calibri" w:cs="Calibri"/>
                <w:b w:val="0"/>
                <w:color w:val="000000"/>
                <w:szCs w:val="24"/>
              </w:rPr>
              <w:lastRenderedPageBreak/>
              <w:t>Influence the regulatory, policy, market and institutional infrastructure needed to stimulate private sector investment into nature</w:t>
            </w:r>
          </w:p>
        </w:tc>
        <w:tc>
          <w:tcPr>
            <w:tcW w:w="1559" w:type="dxa"/>
            <w:vAlign w:val="center"/>
          </w:tcPr>
          <w:p w14:paraId="34F1272B"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22785C8A"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2BFA2CF1" w14:textId="3655BD34" w:rsidR="00B837E7" w:rsidRPr="00B837E7" w:rsidRDefault="00FC0B8A" w:rsidP="00B837E7">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Facility for Investment Ready Nature in Scotland (</w:t>
            </w:r>
            <w:r w:rsidR="00B837E7" w:rsidRPr="00B837E7">
              <w:rPr>
                <w:rFonts w:ascii="Calibri" w:hAnsi="Calibri" w:cs="Calibri"/>
                <w:color w:val="000000"/>
                <w:szCs w:val="24"/>
              </w:rPr>
              <w:t>FIRNS</w:t>
            </w:r>
            <w:r>
              <w:rPr>
                <w:rFonts w:ascii="Calibri" w:hAnsi="Calibri" w:cs="Calibri"/>
                <w:color w:val="000000"/>
                <w:szCs w:val="24"/>
              </w:rPr>
              <w:t>)</w:t>
            </w:r>
            <w:r w:rsidR="00B837E7" w:rsidRPr="00B837E7">
              <w:rPr>
                <w:rFonts w:ascii="Calibri" w:hAnsi="Calibri" w:cs="Calibri"/>
                <w:color w:val="000000"/>
                <w:szCs w:val="24"/>
              </w:rPr>
              <w:t xml:space="preserve"> contracts in place: Parliamentary Reception held to celebrate their launch. Good political coverage.</w:t>
            </w:r>
          </w:p>
          <w:p w14:paraId="379AEF0B" w14:textId="1B0AE859" w:rsidR="00B837E7" w:rsidRPr="00B837E7" w:rsidRDefault="00B837E7" w:rsidP="00B837E7">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B837E7">
              <w:rPr>
                <w:rFonts w:ascii="Calibri" w:hAnsi="Calibri" w:cs="Calibri"/>
                <w:color w:val="000000"/>
                <w:szCs w:val="24"/>
              </w:rPr>
              <w:t xml:space="preserve">Hampdens: Continued negative publicity and press/ </w:t>
            </w:r>
            <w:r w:rsidR="005C611D">
              <w:rPr>
                <w:rFonts w:ascii="Calibri" w:hAnsi="Calibri" w:cs="Calibri"/>
                <w:color w:val="000000"/>
                <w:szCs w:val="24"/>
              </w:rPr>
              <w:t xml:space="preserve">Parliamentary </w:t>
            </w:r>
            <w:r w:rsidRPr="00B837E7">
              <w:rPr>
                <w:rFonts w:ascii="Calibri" w:hAnsi="Calibri" w:cs="Calibri"/>
                <w:color w:val="000000"/>
                <w:szCs w:val="24"/>
              </w:rPr>
              <w:t>Q</w:t>
            </w:r>
            <w:r w:rsidR="005C611D">
              <w:rPr>
                <w:rFonts w:ascii="Calibri" w:hAnsi="Calibri" w:cs="Calibri"/>
                <w:color w:val="000000"/>
                <w:szCs w:val="24"/>
              </w:rPr>
              <w:t>uestion</w:t>
            </w:r>
            <w:r w:rsidRPr="00B837E7">
              <w:rPr>
                <w:rFonts w:ascii="Calibri" w:hAnsi="Calibri" w:cs="Calibri"/>
                <w:color w:val="000000"/>
                <w:szCs w:val="24"/>
              </w:rPr>
              <w:t xml:space="preserve">s. We are working on a proactive </w:t>
            </w:r>
            <w:r w:rsidR="0011387D" w:rsidRPr="00B837E7">
              <w:rPr>
                <w:rFonts w:ascii="Calibri" w:hAnsi="Calibri" w:cs="Calibri"/>
                <w:color w:val="000000"/>
                <w:szCs w:val="24"/>
              </w:rPr>
              <w:t>targeting</w:t>
            </w:r>
            <w:r w:rsidRPr="00B837E7">
              <w:rPr>
                <w:rFonts w:ascii="Calibri" w:hAnsi="Calibri" w:cs="Calibri"/>
                <w:color w:val="000000"/>
                <w:szCs w:val="24"/>
              </w:rPr>
              <w:t xml:space="preserve"> of briefing to head off some of this, e.g. MSPs. </w:t>
            </w:r>
            <w:r w:rsidR="005C611D">
              <w:rPr>
                <w:rFonts w:ascii="Calibri" w:hAnsi="Calibri" w:cs="Calibri"/>
                <w:color w:val="000000"/>
                <w:szCs w:val="24"/>
              </w:rPr>
              <w:t>South of Scotland Enterprise</w:t>
            </w:r>
            <w:r w:rsidR="005C611D" w:rsidRPr="00B837E7">
              <w:rPr>
                <w:rFonts w:ascii="Calibri" w:hAnsi="Calibri" w:cs="Calibri"/>
                <w:color w:val="000000"/>
                <w:szCs w:val="24"/>
              </w:rPr>
              <w:t xml:space="preserve"> </w:t>
            </w:r>
            <w:r w:rsidRPr="00B837E7">
              <w:rPr>
                <w:rFonts w:ascii="Calibri" w:hAnsi="Calibri" w:cs="Calibri"/>
                <w:color w:val="000000"/>
                <w:szCs w:val="24"/>
              </w:rPr>
              <w:t>fundi</w:t>
            </w:r>
            <w:r w:rsidR="0011387D">
              <w:rPr>
                <w:rFonts w:ascii="Calibri" w:hAnsi="Calibri" w:cs="Calibri"/>
                <w:color w:val="000000"/>
                <w:szCs w:val="24"/>
              </w:rPr>
              <w:t>n</w:t>
            </w:r>
            <w:r w:rsidRPr="00B837E7">
              <w:rPr>
                <w:rFonts w:ascii="Calibri" w:hAnsi="Calibri" w:cs="Calibri"/>
                <w:color w:val="000000"/>
                <w:szCs w:val="24"/>
              </w:rPr>
              <w:t xml:space="preserve">g for </w:t>
            </w:r>
            <w:r w:rsidR="005C611D">
              <w:rPr>
                <w:rFonts w:ascii="Calibri" w:hAnsi="Calibri" w:cs="Calibri"/>
                <w:color w:val="000000"/>
                <w:szCs w:val="24"/>
              </w:rPr>
              <w:t>Wetland Health Evaluation Program</w:t>
            </w:r>
            <w:r w:rsidR="005C611D" w:rsidRPr="00B837E7">
              <w:rPr>
                <w:rFonts w:ascii="Calibri" w:hAnsi="Calibri" w:cs="Calibri"/>
                <w:color w:val="000000"/>
                <w:szCs w:val="24"/>
              </w:rPr>
              <w:t xml:space="preserve"> </w:t>
            </w:r>
            <w:r w:rsidRPr="00B837E7">
              <w:rPr>
                <w:rFonts w:ascii="Calibri" w:hAnsi="Calibri" w:cs="Calibri"/>
                <w:color w:val="000000"/>
                <w:szCs w:val="24"/>
              </w:rPr>
              <w:t>Feasibility study now secured.</w:t>
            </w:r>
          </w:p>
          <w:p w14:paraId="73D67CBA" w14:textId="04853EDD" w:rsidR="00B837E7" w:rsidRPr="00B837E7" w:rsidRDefault="00FC0B8A" w:rsidP="00B837E7">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Scottish Marine Environmental Enhancement Fund (</w:t>
            </w:r>
            <w:r w:rsidR="00B837E7" w:rsidRPr="00B837E7">
              <w:rPr>
                <w:rFonts w:ascii="Calibri" w:hAnsi="Calibri" w:cs="Calibri"/>
                <w:color w:val="000000"/>
                <w:szCs w:val="24"/>
              </w:rPr>
              <w:t>SMEEF</w:t>
            </w:r>
            <w:r>
              <w:rPr>
                <w:rFonts w:ascii="Calibri" w:hAnsi="Calibri" w:cs="Calibri"/>
                <w:color w:val="000000"/>
                <w:szCs w:val="24"/>
              </w:rPr>
              <w:t>)</w:t>
            </w:r>
            <w:r w:rsidR="00B837E7" w:rsidRPr="00B837E7">
              <w:rPr>
                <w:rFonts w:ascii="Calibri" w:hAnsi="Calibri" w:cs="Calibri"/>
                <w:color w:val="000000"/>
                <w:szCs w:val="24"/>
              </w:rPr>
              <w:t xml:space="preserve">: </w:t>
            </w:r>
            <w:r w:rsidR="005D0309">
              <w:rPr>
                <w:rStyle w:val="ui-provider"/>
              </w:rPr>
              <w:t xml:space="preserve">SMEEF has a settled Contributions Acceptance Policy which challenges high risk donors on their approach to Just Transition and Scope 1-3 emissions reduction. Currently putting 10 companies through due diligence. Won Highly Commended at Nature of Scotland Awards and shortlisted for Green Energy Awards. FIRNS and SMEEF Insights projects both initiated. </w:t>
            </w:r>
            <w:r w:rsidR="0011387D">
              <w:rPr>
                <w:rFonts w:ascii="Calibri" w:hAnsi="Calibri" w:cs="Calibri"/>
                <w:color w:val="000000"/>
                <w:szCs w:val="24"/>
              </w:rPr>
              <w:t>Fl</w:t>
            </w:r>
            <w:r w:rsidR="00B837E7" w:rsidRPr="00B837E7">
              <w:rPr>
                <w:rFonts w:ascii="Calibri" w:hAnsi="Calibri" w:cs="Calibri"/>
                <w:color w:val="000000"/>
                <w:szCs w:val="24"/>
              </w:rPr>
              <w:t xml:space="preserve">ow Country: </w:t>
            </w:r>
            <w:r w:rsidR="005C611D">
              <w:rPr>
                <w:rFonts w:ascii="Calibri" w:hAnsi="Calibri" w:cs="Calibri"/>
                <w:color w:val="000000"/>
                <w:szCs w:val="24"/>
              </w:rPr>
              <w:t>Scottish Charitable Incorporate Organisation</w:t>
            </w:r>
            <w:r w:rsidR="005C611D" w:rsidRPr="00B837E7">
              <w:rPr>
                <w:rFonts w:ascii="Calibri" w:hAnsi="Calibri" w:cs="Calibri"/>
                <w:color w:val="000000"/>
                <w:szCs w:val="24"/>
              </w:rPr>
              <w:t xml:space="preserve"> </w:t>
            </w:r>
            <w:r w:rsidR="00B837E7" w:rsidRPr="00B837E7">
              <w:rPr>
                <w:rFonts w:ascii="Calibri" w:hAnsi="Calibri" w:cs="Calibri"/>
                <w:color w:val="000000"/>
                <w:szCs w:val="24"/>
              </w:rPr>
              <w:t>Registration submitted to</w:t>
            </w:r>
            <w:r w:rsidR="005C611D">
              <w:rPr>
                <w:rFonts w:ascii="Calibri" w:hAnsi="Calibri" w:cs="Calibri"/>
                <w:color w:val="000000"/>
                <w:szCs w:val="24"/>
              </w:rPr>
              <w:t xml:space="preserve"> the</w:t>
            </w:r>
            <w:r w:rsidR="00B837E7" w:rsidRPr="00B837E7">
              <w:rPr>
                <w:rFonts w:ascii="Calibri" w:hAnsi="Calibri" w:cs="Calibri"/>
                <w:color w:val="000000"/>
                <w:szCs w:val="24"/>
              </w:rPr>
              <w:t xml:space="preserve"> </w:t>
            </w:r>
            <w:r w:rsidR="005C611D">
              <w:rPr>
                <w:rFonts w:ascii="Calibri" w:hAnsi="Calibri" w:cs="Calibri"/>
                <w:color w:val="000000"/>
                <w:szCs w:val="24"/>
              </w:rPr>
              <w:t>Office of the Scottish Charity Regulator</w:t>
            </w:r>
            <w:r w:rsidR="00B837E7" w:rsidRPr="00B837E7">
              <w:rPr>
                <w:rFonts w:ascii="Calibri" w:hAnsi="Calibri" w:cs="Calibri"/>
                <w:color w:val="000000"/>
                <w:szCs w:val="24"/>
              </w:rPr>
              <w:t>, Peatland Officer in place, Project Manager recruitment taking longer than planned but recent interview means offer being made on a day rate basis - still to be agreed.</w:t>
            </w:r>
          </w:p>
          <w:p w14:paraId="13A25256" w14:textId="2D637334" w:rsidR="008D20BE" w:rsidRPr="00467896" w:rsidRDefault="00FC0B8A" w:rsidP="00B837E7">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Private Investment in Natural Capital (</w:t>
            </w:r>
            <w:r w:rsidR="00B837E7" w:rsidRPr="00B837E7">
              <w:rPr>
                <w:rFonts w:ascii="Calibri" w:hAnsi="Calibri" w:cs="Calibri"/>
                <w:color w:val="000000"/>
                <w:szCs w:val="24"/>
              </w:rPr>
              <w:t>PINC</w:t>
            </w:r>
            <w:r>
              <w:rPr>
                <w:rFonts w:ascii="Calibri" w:hAnsi="Calibri" w:cs="Calibri"/>
                <w:color w:val="000000"/>
                <w:szCs w:val="24"/>
              </w:rPr>
              <w:t>)</w:t>
            </w:r>
            <w:r w:rsidR="00B837E7" w:rsidRPr="00B837E7">
              <w:rPr>
                <w:rFonts w:ascii="Calibri" w:hAnsi="Calibri" w:cs="Calibri"/>
                <w:color w:val="000000"/>
                <w:szCs w:val="24"/>
              </w:rPr>
              <w:t xml:space="preserve"> engagement - a number of the NatureScot team attended recent finance training with PINC colleagues at Edinburgh Business School; with staffing now in place in PINC team we hope to build up continued relationship</w:t>
            </w:r>
          </w:p>
        </w:tc>
      </w:tr>
      <w:tr w:rsidR="008D20BE" w:rsidRPr="00F550D1" w14:paraId="46323132" w14:textId="77777777" w:rsidTr="00943F5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D4FD48E" w14:textId="77777777" w:rsidR="008D20BE" w:rsidRPr="00F550D1" w:rsidRDefault="008D20BE" w:rsidP="008D20BE">
            <w:pPr>
              <w:rPr>
                <w:rFonts w:ascii="Calibri" w:hAnsi="Calibri" w:cs="Calibri"/>
                <w:b w:val="0"/>
                <w:color w:val="000000"/>
                <w:szCs w:val="24"/>
              </w:rPr>
            </w:pPr>
            <w:r w:rsidRPr="005C611D">
              <w:rPr>
                <w:rFonts w:ascii="Calibri" w:hAnsi="Calibri" w:cs="Calibri"/>
                <w:b w:val="0"/>
                <w:color w:val="000000"/>
                <w:szCs w:val="24"/>
              </w:rPr>
              <w:t>Drive the establishment of Natural Capital as an integral part of public and private business planning and investment decisions at national, landscape and landholding/business scales</w:t>
            </w:r>
          </w:p>
        </w:tc>
        <w:tc>
          <w:tcPr>
            <w:tcW w:w="1559" w:type="dxa"/>
            <w:vAlign w:val="center"/>
          </w:tcPr>
          <w:p w14:paraId="6A9A0AE6"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32A1060D"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1D22C935" w14:textId="77777777" w:rsidR="00DF3056" w:rsidRPr="00DF3056" w:rsidRDefault="00E94DDE" w:rsidP="00E94DDE">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3A3C">
              <w:rPr>
                <w:rFonts w:ascii="Calibri" w:hAnsi="Calibri" w:cs="Calibri"/>
                <w:szCs w:val="24"/>
              </w:rPr>
              <w:t>Completed Natural Capital Asset Index re-basing workshops</w:t>
            </w:r>
          </w:p>
          <w:p w14:paraId="4E096256" w14:textId="2618B69F" w:rsidR="00DF3056" w:rsidRPr="00DF3056" w:rsidRDefault="00E94DDE" w:rsidP="00E94DDE">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3A3C">
              <w:rPr>
                <w:rFonts w:ascii="Calibri" w:hAnsi="Calibri" w:cs="Calibri"/>
                <w:szCs w:val="24"/>
              </w:rPr>
              <w:t>Initiated a landscape partnership prioritisation exercise to inform natural capital and nature finance expertise input priorities</w:t>
            </w:r>
            <w:r>
              <w:rPr>
                <w:rFonts w:ascii="Calibri" w:hAnsi="Calibri" w:cs="Calibri"/>
                <w:szCs w:val="24"/>
              </w:rPr>
              <w:t>.</w:t>
            </w:r>
          </w:p>
          <w:p w14:paraId="6D500769" w14:textId="77777777" w:rsidR="00DF3056" w:rsidRPr="00DF3056" w:rsidRDefault="00E94DDE" w:rsidP="00E94DDE">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3A3C">
              <w:rPr>
                <w:rFonts w:ascii="Calibri" w:hAnsi="Calibri" w:cs="Calibri"/>
                <w:szCs w:val="24"/>
              </w:rPr>
              <w:t>Confirmed contractors to advise on digital platform models for landscape natural capital tool</w:t>
            </w:r>
          </w:p>
          <w:p w14:paraId="1DB371E0" w14:textId="77777777" w:rsidR="00DF3056" w:rsidRPr="00DF3056" w:rsidRDefault="00E94DDE" w:rsidP="00E94DDE">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3A3C">
              <w:rPr>
                <w:rFonts w:ascii="Calibri" w:hAnsi="Calibri" w:cs="Calibri"/>
                <w:szCs w:val="24"/>
              </w:rPr>
              <w:t>Advised public land cluster partners on natural capital approaches</w:t>
            </w:r>
          </w:p>
          <w:p w14:paraId="32A6DB27" w14:textId="3A63B214" w:rsidR="008D20BE" w:rsidRPr="00F550D1" w:rsidRDefault="00E94DDE" w:rsidP="00E94DDE">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3A3C">
              <w:rPr>
                <w:rFonts w:ascii="Calibri" w:hAnsi="Calibri" w:cs="Calibri"/>
                <w:szCs w:val="24"/>
              </w:rPr>
              <w:t>Supported re-fresh of Scottish Forum on Natural Capital terms of reference.</w:t>
            </w:r>
          </w:p>
        </w:tc>
      </w:tr>
      <w:tr w:rsidR="008D20BE" w:rsidRPr="00F550D1" w14:paraId="0756AC9D" w14:textId="77777777" w:rsidTr="00943F54">
        <w:trPr>
          <w:cantSplit/>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9636B1" w14:textId="3E4D75D2"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lastRenderedPageBreak/>
              <w:t xml:space="preserve">Promote understanding and awareness of skills and capacity needs for the </w:t>
            </w:r>
            <w:r w:rsidR="0037041C" w:rsidRPr="00F550D1">
              <w:rPr>
                <w:rFonts w:ascii="Calibri" w:hAnsi="Calibri" w:cs="Calibri"/>
                <w:b w:val="0"/>
                <w:color w:val="000000"/>
                <w:szCs w:val="24"/>
              </w:rPr>
              <w:t>nature-based</w:t>
            </w:r>
            <w:r w:rsidRPr="00F550D1">
              <w:rPr>
                <w:rFonts w:ascii="Calibri" w:hAnsi="Calibri" w:cs="Calibri"/>
                <w:b w:val="0"/>
                <w:color w:val="000000"/>
                <w:szCs w:val="24"/>
              </w:rPr>
              <w:t xml:space="preserve"> sector</w:t>
            </w:r>
          </w:p>
        </w:tc>
        <w:tc>
          <w:tcPr>
            <w:tcW w:w="1559" w:type="dxa"/>
            <w:vAlign w:val="center"/>
          </w:tcPr>
          <w:p w14:paraId="33BCCA84"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Nick Halfhide</w:t>
            </w:r>
          </w:p>
        </w:tc>
        <w:tc>
          <w:tcPr>
            <w:tcW w:w="993" w:type="dxa"/>
            <w:shd w:val="clear" w:color="auto" w:fill="9BBB59" w:themeFill="accent3"/>
            <w:vAlign w:val="center"/>
          </w:tcPr>
          <w:p w14:paraId="6CB1F5DA"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2CB787DB" w14:textId="77777777" w:rsidR="00E1234E" w:rsidRDefault="00E1234E" w:rsidP="00E1234E">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Careers Week</w:t>
            </w:r>
          </w:p>
          <w:p w14:paraId="7C37932F" w14:textId="212893B7" w:rsidR="00EC6C50" w:rsidRPr="00EC6C50" w:rsidRDefault="00E1234E" w:rsidP="00EC6C50">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9 v</w:t>
            </w:r>
            <w:r w:rsidR="00EC6C50" w:rsidRPr="00EC6C50">
              <w:rPr>
                <w:rFonts w:ascii="Calibri" w:hAnsi="Calibri" w:cs="Calibri"/>
                <w:szCs w:val="24"/>
              </w:rPr>
              <w:t xml:space="preserve">ideos launched </w:t>
            </w:r>
            <w:r>
              <w:rPr>
                <w:rFonts w:ascii="Calibri" w:hAnsi="Calibri" w:cs="Calibri"/>
                <w:szCs w:val="24"/>
              </w:rPr>
              <w:t>with</w:t>
            </w:r>
            <w:r w:rsidR="00EC6C50" w:rsidRPr="00EC6C50">
              <w:rPr>
                <w:rFonts w:ascii="Calibri" w:hAnsi="Calibri" w:cs="Calibri"/>
                <w:szCs w:val="24"/>
              </w:rPr>
              <w:t xml:space="preserve"> very positive feedback.</w:t>
            </w:r>
          </w:p>
          <w:p w14:paraId="23B2A794" w14:textId="51270DA0" w:rsidR="00EC6C50" w:rsidRPr="00EC6C50" w:rsidRDefault="00E1234E" w:rsidP="00EC6C50">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o</w:t>
            </w:r>
            <w:r w:rsidR="00EC6C50" w:rsidRPr="00EC6C50">
              <w:rPr>
                <w:rFonts w:ascii="Calibri" w:hAnsi="Calibri" w:cs="Calibri"/>
                <w:szCs w:val="24"/>
              </w:rPr>
              <w:t xml:space="preserve">nline event for </w:t>
            </w:r>
            <w:r>
              <w:rPr>
                <w:rFonts w:ascii="Calibri" w:hAnsi="Calibri" w:cs="Calibri"/>
                <w:szCs w:val="24"/>
              </w:rPr>
              <w:t>&gt;100 undergraduates delivered</w:t>
            </w:r>
          </w:p>
          <w:p w14:paraId="6423056F" w14:textId="77777777" w:rsidR="00E1234E" w:rsidRDefault="00E1234E" w:rsidP="00E1234E">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Scotsman Green Jobs Conference</w:t>
            </w:r>
          </w:p>
          <w:p w14:paraId="17D3A139" w14:textId="3703371C" w:rsidR="00EC6C50" w:rsidRDefault="00EC6C50" w:rsidP="00E1234E">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1234E">
              <w:rPr>
                <w:rFonts w:ascii="Calibri" w:hAnsi="Calibri" w:cs="Calibri"/>
                <w:szCs w:val="24"/>
              </w:rPr>
              <w:t>Delivered panel session as part of with over &gt;100 attendees</w:t>
            </w:r>
          </w:p>
          <w:p w14:paraId="1165ED17" w14:textId="12CA3928" w:rsidR="00E1234E" w:rsidRPr="00E1234E" w:rsidRDefault="00E1234E" w:rsidP="00E1234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1234E">
              <w:rPr>
                <w:rFonts w:ascii="Calibri" w:hAnsi="Calibri" w:cs="Calibri"/>
                <w:szCs w:val="24"/>
              </w:rPr>
              <w:t>Other</w:t>
            </w:r>
          </w:p>
          <w:p w14:paraId="2CDCD3FC" w14:textId="5C516A24" w:rsidR="00EC6C50" w:rsidRPr="00EC6C50" w:rsidRDefault="00EC6C50" w:rsidP="00EC6C50">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C6C50">
              <w:rPr>
                <w:rFonts w:ascii="Calibri" w:hAnsi="Calibri" w:cs="Calibri"/>
                <w:szCs w:val="24"/>
              </w:rPr>
              <w:t>Peatland Pathways Graphic completed</w:t>
            </w:r>
          </w:p>
          <w:p w14:paraId="2EBD40F1" w14:textId="687AB923" w:rsidR="00EC6C50" w:rsidRPr="00EC6C50" w:rsidRDefault="0011387D" w:rsidP="00EC6C50">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Nature</w:t>
            </w:r>
            <w:r w:rsidR="00843646">
              <w:rPr>
                <w:rFonts w:ascii="Calibri" w:hAnsi="Calibri" w:cs="Calibri"/>
                <w:szCs w:val="24"/>
              </w:rPr>
              <w:t>S</w:t>
            </w:r>
            <w:r>
              <w:rPr>
                <w:rFonts w:ascii="Calibri" w:hAnsi="Calibri" w:cs="Calibri"/>
                <w:szCs w:val="24"/>
              </w:rPr>
              <w:t>cot commit</w:t>
            </w:r>
            <w:r w:rsidR="00EC6C50" w:rsidRPr="00EC6C50">
              <w:rPr>
                <w:rFonts w:ascii="Calibri" w:hAnsi="Calibri" w:cs="Calibri"/>
                <w:szCs w:val="24"/>
              </w:rPr>
              <w:t>t</w:t>
            </w:r>
            <w:r w:rsidR="00E1234E">
              <w:rPr>
                <w:rFonts w:ascii="Calibri" w:hAnsi="Calibri" w:cs="Calibri"/>
                <w:szCs w:val="24"/>
              </w:rPr>
              <w:t>ed</w:t>
            </w:r>
            <w:r w:rsidR="00EC6C50" w:rsidRPr="00EC6C50">
              <w:rPr>
                <w:rFonts w:ascii="Calibri" w:hAnsi="Calibri" w:cs="Calibri"/>
                <w:szCs w:val="24"/>
              </w:rPr>
              <w:t xml:space="preserve"> to </w:t>
            </w:r>
            <w:r w:rsidR="00EC6C50" w:rsidRPr="00E1234E">
              <w:rPr>
                <w:rFonts w:ascii="Calibri" w:hAnsi="Calibri" w:cs="Calibri"/>
                <w:i/>
                <w:szCs w:val="24"/>
              </w:rPr>
              <w:t>Force for Nature Campaign</w:t>
            </w:r>
            <w:r w:rsidR="00EC6C50" w:rsidRPr="00EC6C50">
              <w:rPr>
                <w:rFonts w:ascii="Calibri" w:hAnsi="Calibri" w:cs="Calibri"/>
                <w:szCs w:val="24"/>
              </w:rPr>
              <w:t xml:space="preserve"> to support increasing dive</w:t>
            </w:r>
            <w:r w:rsidR="00E1234E">
              <w:rPr>
                <w:rFonts w:ascii="Calibri" w:hAnsi="Calibri" w:cs="Calibri"/>
                <w:szCs w:val="24"/>
              </w:rPr>
              <w:t>r</w:t>
            </w:r>
            <w:r w:rsidR="00EC6C50" w:rsidRPr="00EC6C50">
              <w:rPr>
                <w:rFonts w:ascii="Calibri" w:hAnsi="Calibri" w:cs="Calibri"/>
                <w:szCs w:val="24"/>
              </w:rPr>
              <w:t>sity in our sector</w:t>
            </w:r>
          </w:p>
          <w:p w14:paraId="3368A8AD" w14:textId="72B539FB" w:rsidR="008D20BE" w:rsidRDefault="00454B23" w:rsidP="00EC6C50">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Style w:val="ui-provider"/>
              </w:rPr>
              <w:t>Science, Technology, Engineering &amp; Mathematics (STEM)</w:t>
            </w:r>
            <w:r w:rsidR="00AB736C">
              <w:rPr>
                <w:rStyle w:val="ui-provider"/>
              </w:rPr>
              <w:t xml:space="preserve"> </w:t>
            </w:r>
            <w:r w:rsidR="00EC6C50" w:rsidRPr="00EC6C50">
              <w:rPr>
                <w:rFonts w:ascii="Calibri" w:hAnsi="Calibri" w:cs="Calibri"/>
                <w:szCs w:val="24"/>
              </w:rPr>
              <w:t>strategy</w:t>
            </w:r>
            <w:r>
              <w:rPr>
                <w:rFonts w:ascii="Calibri" w:hAnsi="Calibri" w:cs="Calibri"/>
                <w:szCs w:val="24"/>
              </w:rPr>
              <w:t xml:space="preserve"> r</w:t>
            </w:r>
            <w:r>
              <w:rPr>
                <w:rStyle w:val="ui-provider"/>
              </w:rPr>
              <w:t>eview has concluded and draft strategy is with SLT leads for sign-off</w:t>
            </w:r>
            <w:r w:rsidR="0051324F">
              <w:rPr>
                <w:rStyle w:val="ui-provider"/>
              </w:rPr>
              <w:t>.</w:t>
            </w:r>
            <w:r w:rsidR="005D0456">
              <w:rPr>
                <w:rFonts w:ascii="Calibri" w:hAnsi="Calibri" w:cs="Calibri"/>
                <w:szCs w:val="24"/>
              </w:rPr>
              <w:t xml:space="preserve"> </w:t>
            </w:r>
          </w:p>
          <w:p w14:paraId="7A1EB6C5" w14:textId="4C8A7D89" w:rsidR="005D0456" w:rsidRPr="00C34985" w:rsidRDefault="00454B23" w:rsidP="00EC6C50">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M</w:t>
            </w:r>
            <w:r w:rsidR="005D0456">
              <w:rPr>
                <w:rFonts w:ascii="Calibri" w:hAnsi="Calibri" w:cs="Calibri"/>
                <w:szCs w:val="24"/>
              </w:rPr>
              <w:t>ake your mark webpages</w:t>
            </w:r>
            <w:r>
              <w:rPr>
                <w:rFonts w:ascii="Calibri" w:hAnsi="Calibri" w:cs="Calibri"/>
                <w:szCs w:val="24"/>
              </w:rPr>
              <w:t xml:space="preserve"> - </w:t>
            </w:r>
            <w:r>
              <w:rPr>
                <w:rStyle w:val="ui-provider"/>
              </w:rPr>
              <w:t>Rebranding designs agreed though further work needed on nature content of branding and portal.</w:t>
            </w:r>
          </w:p>
        </w:tc>
      </w:tr>
    </w:tbl>
    <w:p w14:paraId="29A46E1C" w14:textId="4A60A05D" w:rsidR="00943F54" w:rsidRDefault="00943F54" w:rsidP="008D20BE">
      <w:pPr>
        <w:spacing w:after="160" w:line="259" w:lineRule="auto"/>
        <w:rPr>
          <w:rFonts w:ascii="Calibri" w:eastAsiaTheme="majorEastAsia" w:hAnsi="Calibri" w:cs="Calibri"/>
          <w:b/>
          <w:szCs w:val="26"/>
        </w:rPr>
      </w:pPr>
    </w:p>
    <w:p w14:paraId="77F4E31A" w14:textId="77777777" w:rsidR="00943F54" w:rsidRDefault="00943F54">
      <w:pPr>
        <w:rPr>
          <w:rFonts w:ascii="Calibri" w:eastAsiaTheme="majorEastAsia" w:hAnsi="Calibri" w:cs="Calibri"/>
          <w:b/>
          <w:szCs w:val="26"/>
        </w:rPr>
      </w:pPr>
      <w:r>
        <w:rPr>
          <w:rFonts w:ascii="Calibri" w:eastAsiaTheme="majorEastAsia" w:hAnsi="Calibri" w:cs="Calibri"/>
          <w:b/>
          <w:szCs w:val="26"/>
        </w:rPr>
        <w:br w:type="page"/>
      </w:r>
    </w:p>
    <w:p w14:paraId="6D364284" w14:textId="393F2170" w:rsidR="008D20BE" w:rsidRPr="00F550D1" w:rsidRDefault="004F3330" w:rsidP="008D20BE">
      <w:pPr>
        <w:keepNext/>
        <w:keepLines/>
        <w:shd w:val="clear" w:color="auto" w:fill="007DC3"/>
        <w:spacing w:before="40" w:after="0" w:line="259" w:lineRule="auto"/>
        <w:jc w:val="center"/>
        <w:outlineLvl w:val="1"/>
        <w:rPr>
          <w:rFonts w:ascii="Calibri" w:eastAsiaTheme="majorEastAsia" w:hAnsi="Calibri" w:cs="Calibri"/>
          <w:b/>
          <w:szCs w:val="26"/>
        </w:rPr>
      </w:pPr>
      <w:r>
        <w:rPr>
          <w:rFonts w:ascii="Calibri" w:eastAsiaTheme="majorEastAsia" w:hAnsi="Calibri" w:cs="Calibri"/>
          <w:b/>
          <w:szCs w:val="26"/>
        </w:rPr>
        <w:lastRenderedPageBreak/>
        <w:t>W</w:t>
      </w:r>
      <w:r w:rsidR="008D20BE" w:rsidRPr="00F550D1">
        <w:rPr>
          <w:rFonts w:ascii="Calibri" w:eastAsiaTheme="majorEastAsia" w:hAnsi="Calibri" w:cs="Calibri"/>
          <w:b/>
          <w:szCs w:val="26"/>
        </w:rPr>
        <w:t>E HAVE TRANSFORMED HOW WE WORK</w:t>
      </w: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1134"/>
        <w:gridCol w:w="8309"/>
      </w:tblGrid>
      <w:tr w:rsidR="008D20BE" w:rsidRPr="00F550D1" w14:paraId="37B02CDA" w14:textId="77777777" w:rsidTr="002402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5A2B844" w14:textId="77777777" w:rsidR="008D20BE" w:rsidRPr="00F550D1" w:rsidRDefault="008D20BE" w:rsidP="008D20BE">
            <w:pPr>
              <w:rPr>
                <w:rFonts w:ascii="Calibri" w:hAnsi="Calibri" w:cs="Calibri"/>
                <w:szCs w:val="26"/>
              </w:rPr>
            </w:pPr>
            <w:r>
              <w:rPr>
                <w:rFonts w:ascii="Calibri" w:hAnsi="Calibri" w:cs="Calibri"/>
                <w:szCs w:val="26"/>
              </w:rPr>
              <w:t xml:space="preserve"> </w:t>
            </w:r>
            <w:r w:rsidRPr="00F550D1">
              <w:rPr>
                <w:rFonts w:ascii="Calibri" w:hAnsi="Calibri" w:cs="Calibri"/>
                <w:szCs w:val="26"/>
              </w:rPr>
              <w:t>CORPORATE PLAN OBJECTIVE</w:t>
            </w:r>
          </w:p>
        </w:tc>
        <w:tc>
          <w:tcPr>
            <w:tcW w:w="1560" w:type="dxa"/>
            <w:vAlign w:val="center"/>
          </w:tcPr>
          <w:p w14:paraId="5E83DB59"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1134" w:type="dxa"/>
            <w:vAlign w:val="center"/>
          </w:tcPr>
          <w:p w14:paraId="0382CC96"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309" w:type="dxa"/>
            <w:vAlign w:val="center"/>
          </w:tcPr>
          <w:p w14:paraId="4BEF5582" w14:textId="0FE761F2"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11387D">
              <w:rPr>
                <w:rFonts w:ascii="Calibri" w:hAnsi="Calibri" w:cs="Calibri"/>
                <w:szCs w:val="26"/>
              </w:rPr>
              <w:t xml:space="preserve">3 </w:t>
            </w:r>
            <w:r w:rsidR="008D20BE" w:rsidRPr="00F550D1">
              <w:rPr>
                <w:rFonts w:ascii="Calibri" w:hAnsi="Calibri" w:cs="Calibri"/>
                <w:szCs w:val="26"/>
              </w:rPr>
              <w:t>UPDATE</w:t>
            </w:r>
          </w:p>
        </w:tc>
      </w:tr>
      <w:tr w:rsidR="008D20BE" w:rsidRPr="00F550D1" w14:paraId="0CABD062" w14:textId="77777777" w:rsidTr="00240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CB56BC0" w14:textId="77777777" w:rsidR="008D20BE" w:rsidRPr="00EC6C50" w:rsidRDefault="008D20BE" w:rsidP="008D20BE">
            <w:pPr>
              <w:rPr>
                <w:rFonts w:ascii="Calibri" w:hAnsi="Calibri" w:cs="Calibri"/>
                <w:b w:val="0"/>
                <w:color w:val="000000"/>
                <w:szCs w:val="24"/>
                <w:highlight w:val="yellow"/>
              </w:rPr>
            </w:pPr>
            <w:r w:rsidRPr="005C611D">
              <w:rPr>
                <w:rFonts w:ascii="Calibri" w:hAnsi="Calibri" w:cs="Calibri"/>
                <w:b w:val="0"/>
                <w:color w:val="000000"/>
                <w:szCs w:val="24"/>
              </w:rPr>
              <w:t>Deliver new ways of working to stimulate achievement of our ambitions</w:t>
            </w:r>
          </w:p>
        </w:tc>
        <w:tc>
          <w:tcPr>
            <w:tcW w:w="1560" w:type="dxa"/>
            <w:vAlign w:val="center"/>
          </w:tcPr>
          <w:p w14:paraId="56F3ACAB"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1134" w:type="dxa"/>
            <w:shd w:val="clear" w:color="auto" w:fill="9BBB59" w:themeFill="accent3"/>
            <w:vAlign w:val="center"/>
          </w:tcPr>
          <w:p w14:paraId="5D340924" w14:textId="3C13F04F" w:rsidR="008D20BE" w:rsidRPr="00F550D1" w:rsidRDefault="00B4733C"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szCs w:val="24"/>
              </w:rPr>
              <w:t>GREEN</w:t>
            </w:r>
          </w:p>
        </w:tc>
        <w:tc>
          <w:tcPr>
            <w:tcW w:w="8309" w:type="dxa"/>
            <w:vAlign w:val="center"/>
          </w:tcPr>
          <w:p w14:paraId="44C4F524" w14:textId="77777777" w:rsidR="00B4733C" w:rsidRPr="00B4733C" w:rsidRDefault="004B0300" w:rsidP="00B4733C">
            <w:pPr>
              <w:cnfStyle w:val="000000100000" w:firstRow="0" w:lastRow="0" w:firstColumn="0" w:lastColumn="0" w:oddVBand="0" w:evenVBand="0" w:oddHBand="1" w:evenHBand="0" w:firstRowFirstColumn="0" w:firstRowLastColumn="0" w:lastRowFirstColumn="0" w:lastRowLastColumn="0"/>
              <w:rPr>
                <w:rStyle w:val="ui-provider"/>
              </w:rPr>
            </w:pPr>
            <w:r w:rsidRPr="00B4733C">
              <w:rPr>
                <w:rStyle w:val="ui-provider"/>
              </w:rPr>
              <w:t xml:space="preserve">Q3 has once again seen good progress with both the transformational and business as usual aspects of our enabling Objectives which support and facilitate progress across the full remit of our delivery plans. </w:t>
            </w:r>
          </w:p>
          <w:p w14:paraId="5F74A896" w14:textId="376023BA" w:rsidR="004B0300" w:rsidRPr="00B4733C" w:rsidRDefault="004B0300" w:rsidP="00B4733C">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sidRPr="00B4733C">
              <w:rPr>
                <w:rStyle w:val="ui-provider"/>
              </w:rPr>
              <w:t xml:space="preserve">We have moved apace with our Estates Strategy work having been given notice to quit from out landlords at both Clydebank and Cupar. Options appraisals for these sites are now being taken forward and this has meant a rescheduling of the programme. The Workplaces Programme Board will </w:t>
            </w:r>
            <w:r w:rsidR="005D0456" w:rsidRPr="00B4733C">
              <w:rPr>
                <w:rStyle w:val="ui-provider"/>
              </w:rPr>
              <w:t>also take</w:t>
            </w:r>
            <w:r w:rsidRPr="00B4733C">
              <w:rPr>
                <w:rStyle w:val="ui-provider"/>
              </w:rPr>
              <w:t xml:space="preserve"> a decision on Dunoon early in the New Year. Work is continuing on the implementation of the decision to move our Battleby presence to Strathearn House. All options actively look at our Estates needs in the wider context of Public Service Reform.  In terms of specific Net-zero works on our buildings, </w:t>
            </w:r>
            <w:r w:rsidRPr="00B4733C">
              <w:rPr>
                <w:rStyle w:val="ui-provider"/>
                <w:rFonts w:cstheme="minorHAnsi"/>
                <w:szCs w:val="24"/>
              </w:rPr>
              <w:t>all the new photovoltaics (PV) have been installed on the east and south roofs of GGH, including cabling, inverters and batteries. The West wing PV repairs have been completed; and new mains cables and electrical boards were installed before Christmas. </w:t>
            </w:r>
          </w:p>
          <w:p w14:paraId="1974591D" w14:textId="77777777" w:rsidR="004B0300" w:rsidRPr="00B4733C" w:rsidRDefault="004B0300" w:rsidP="00B4733C">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Style w:val="ui-provider"/>
              </w:rPr>
            </w:pPr>
            <w:r w:rsidRPr="00B4733C">
              <w:rPr>
                <w:rStyle w:val="ui-provider"/>
              </w:rPr>
              <w:t>Following the closure of the Silvan House Data Centre in Q2, this Quarter has seen continued focus on network re-design, together with the resumption of work to address a number of outstanding security related tasks. This work is fundamental to ensuring the new network operates efficiently and also underpins the automated processes Technology and Digital Services (TDS) are currently implementing to more efficiently build, secure, deploy and manage devices and applications. Work on the ZPA Pilot has been deferred to 2024/25and will now include a review of the Microsoft Entra PA (as per recommendations from the recent M365 Roadmap refresh).</w:t>
            </w:r>
          </w:p>
          <w:p w14:paraId="1F8B601D" w14:textId="77777777" w:rsidR="004B0300" w:rsidRPr="00E66F6C" w:rsidRDefault="004B0300" w:rsidP="00B4733C">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sidRPr="00E66F6C">
              <w:rPr>
                <w:rStyle w:val="ui-provider"/>
                <w:rFonts w:cstheme="minorHAnsi"/>
                <w:szCs w:val="24"/>
              </w:rPr>
              <w:t>We have completed our procurement of replacement Storage Area Network Servers to budget and these will be installed in Q4. Work is also substantially complete, with full spend, on the AC unit replacement for the server room. This will not however be switched on until mid Feb as we need to plan for a date when all power to the building can be switched off.</w:t>
            </w:r>
            <w:r>
              <w:rPr>
                <w:rStyle w:val="ui-provider"/>
                <w:rFonts w:cstheme="minorHAnsi"/>
                <w:szCs w:val="24"/>
              </w:rPr>
              <w:t xml:space="preserve"> </w:t>
            </w:r>
            <w:r w:rsidRPr="00E66F6C">
              <w:rPr>
                <w:rStyle w:val="ui-provider"/>
                <w:rFonts w:cstheme="minorHAnsi"/>
                <w:szCs w:val="24"/>
              </w:rPr>
              <w:t xml:space="preserve">We are now 80% of </w:t>
            </w:r>
            <w:r w:rsidRPr="00E66F6C">
              <w:rPr>
                <w:rStyle w:val="ui-provider"/>
                <w:rFonts w:cstheme="minorHAnsi"/>
                <w:szCs w:val="24"/>
              </w:rPr>
              <w:lastRenderedPageBreak/>
              <w:t xml:space="preserve">the way through this year’s planned laptop replacement.  The final batch of laptops has been ordered </w:t>
            </w:r>
            <w:r>
              <w:rPr>
                <w:rStyle w:val="ui-provider"/>
                <w:rFonts w:cstheme="minorHAnsi"/>
                <w:szCs w:val="24"/>
              </w:rPr>
              <w:t>concluding</w:t>
            </w:r>
            <w:r w:rsidRPr="00E66F6C">
              <w:rPr>
                <w:rStyle w:val="ui-provider"/>
                <w:rFonts w:cstheme="minorHAnsi"/>
                <w:szCs w:val="24"/>
              </w:rPr>
              <w:t xml:space="preserve"> 2023/24 spend on end-user devices.</w:t>
            </w:r>
          </w:p>
          <w:p w14:paraId="40F30350" w14:textId="77777777" w:rsidR="004B0300" w:rsidRPr="00E66F6C" w:rsidRDefault="004B0300" w:rsidP="00B4733C">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sidRPr="00E66F6C">
              <w:rPr>
                <w:rStyle w:val="ui-provider"/>
                <w:rFonts w:cstheme="minorHAnsi"/>
                <w:szCs w:val="24"/>
              </w:rPr>
              <w:t>Good progress has been made on reviewing data needs from across the organisation and we are looking at ways to more fully integrate the findings of this work with system requirements.</w:t>
            </w:r>
          </w:p>
          <w:p w14:paraId="45D2F88B" w14:textId="77777777" w:rsidR="004B0300" w:rsidRPr="00E66F6C" w:rsidRDefault="004B0300" w:rsidP="00B4733C">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sidRPr="00E66F6C">
              <w:rPr>
                <w:rStyle w:val="ui-provider"/>
                <w:rFonts w:cstheme="minorHAnsi"/>
                <w:szCs w:val="24"/>
              </w:rPr>
              <w:t xml:space="preserve">We have engaged in monthly cyber tests to ensure security of internal IT services and external websites also supporting external agencies such as </w:t>
            </w:r>
            <w:r>
              <w:rPr>
                <w:rStyle w:val="ui-provider"/>
                <w:rFonts w:cstheme="minorHAnsi"/>
                <w:szCs w:val="24"/>
              </w:rPr>
              <w:t>N</w:t>
            </w:r>
            <w:r w:rsidRPr="00B4733C">
              <w:rPr>
                <w:rStyle w:val="ui-provider"/>
                <w:rFonts w:cstheme="minorHAnsi"/>
                <w:szCs w:val="24"/>
              </w:rPr>
              <w:t>ational Biodiversity Network (NBN)</w:t>
            </w:r>
            <w:r w:rsidRPr="00E66F6C">
              <w:rPr>
                <w:rStyle w:val="ui-provider"/>
                <w:rFonts w:cstheme="minorHAnsi"/>
                <w:szCs w:val="24"/>
              </w:rPr>
              <w:t xml:space="preserve"> Atlas and JNCC Marine Recorder team and have been able to support the Beaver damage application to go live. We have also stood-up our winter business continuity protocols, including testing our emergency response / SMS Service</w:t>
            </w:r>
            <w:r>
              <w:rPr>
                <w:rStyle w:val="ui-provider"/>
                <w:rFonts w:cstheme="minorHAnsi"/>
                <w:szCs w:val="24"/>
              </w:rPr>
              <w:t>.</w:t>
            </w:r>
            <w:r w:rsidRPr="00E66F6C">
              <w:rPr>
                <w:rStyle w:val="ui-provider"/>
                <w:rFonts w:cstheme="minorHAnsi"/>
                <w:szCs w:val="24"/>
              </w:rPr>
              <w:t xml:space="preserve"> We continue to deliver against our </w:t>
            </w:r>
            <w:r>
              <w:rPr>
                <w:rStyle w:val="ui-provider"/>
                <w:rFonts w:cstheme="minorHAnsi"/>
                <w:szCs w:val="24"/>
              </w:rPr>
              <w:t>Freedom of Information/Environmental Information Regulations</w:t>
            </w:r>
            <w:r w:rsidRPr="00E66F6C">
              <w:rPr>
                <w:rStyle w:val="ui-provider"/>
                <w:rFonts w:cstheme="minorHAnsi"/>
                <w:szCs w:val="24"/>
              </w:rPr>
              <w:t xml:space="preserve"> and Records Management responsibilities meeting targets on compliance.</w:t>
            </w:r>
          </w:p>
          <w:p w14:paraId="4995B63A" w14:textId="02720F5F" w:rsidR="004B0300" w:rsidRDefault="004B0300" w:rsidP="00B4733C">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sidRPr="00E66F6C">
              <w:rPr>
                <w:rStyle w:val="ui-provider"/>
                <w:rFonts w:cstheme="minorHAnsi"/>
                <w:szCs w:val="24"/>
              </w:rPr>
              <w:t xml:space="preserve">Much effort this quarter has gone into budget scenario planning and embedding our strategic resource management approach in decision making processes, including in the commissioning of a new Transformation and Resourcing Sponsor Group which will be reinforced by a </w:t>
            </w:r>
            <w:r>
              <w:rPr>
                <w:rStyle w:val="ui-provider"/>
                <w:rFonts w:cstheme="minorHAnsi"/>
                <w:szCs w:val="24"/>
              </w:rPr>
              <w:t>Programme Management Office (PMO)</w:t>
            </w:r>
            <w:r w:rsidRPr="00E66F6C">
              <w:rPr>
                <w:rStyle w:val="ui-provider"/>
                <w:rFonts w:cstheme="minorHAnsi"/>
                <w:szCs w:val="24"/>
              </w:rPr>
              <w:t xml:space="preserve">. This </w:t>
            </w:r>
            <w:r>
              <w:rPr>
                <w:rStyle w:val="ui-provider"/>
                <w:rFonts w:cstheme="minorHAnsi"/>
                <w:szCs w:val="24"/>
              </w:rPr>
              <w:t>team</w:t>
            </w:r>
            <w:r w:rsidRPr="00E66F6C">
              <w:rPr>
                <w:rStyle w:val="ui-provider"/>
                <w:rFonts w:cstheme="minorHAnsi"/>
                <w:szCs w:val="24"/>
              </w:rPr>
              <w:t xml:space="preserve"> will also have responsibility for supporting wider project and programme management across the organisation. </w:t>
            </w:r>
            <w:r w:rsidRPr="001228D9">
              <w:rPr>
                <w:rStyle w:val="ui-provider"/>
                <w:rFonts w:cstheme="minorHAnsi"/>
                <w:szCs w:val="24"/>
              </w:rPr>
              <w:t>The annual report and accounts were signed off</w:t>
            </w:r>
            <w:r w:rsidRPr="00800E13">
              <w:rPr>
                <w:rStyle w:val="ui-provider"/>
                <w:rFonts w:cstheme="minorHAnsi"/>
                <w:szCs w:val="24"/>
              </w:rPr>
              <w:t xml:space="preserve"> </w:t>
            </w:r>
            <w:r w:rsidRPr="00E66F6C">
              <w:rPr>
                <w:rStyle w:val="ui-provider"/>
                <w:rFonts w:cstheme="minorHAnsi"/>
                <w:szCs w:val="24"/>
              </w:rPr>
              <w:t xml:space="preserve">by </w:t>
            </w:r>
            <w:r w:rsidR="00294C71">
              <w:rPr>
                <w:rStyle w:val="ui-provider"/>
                <w:rFonts w:cstheme="minorHAnsi"/>
                <w:szCs w:val="24"/>
              </w:rPr>
              <w:t>ARC</w:t>
            </w:r>
            <w:r w:rsidRPr="001228D9">
              <w:rPr>
                <w:rStyle w:val="ui-provider"/>
                <w:rFonts w:cstheme="minorHAnsi"/>
                <w:szCs w:val="24"/>
              </w:rPr>
              <w:t>,</w:t>
            </w:r>
            <w:r w:rsidRPr="00800E13">
              <w:rPr>
                <w:rStyle w:val="ui-provider"/>
                <w:rFonts w:cstheme="minorHAnsi"/>
                <w:szCs w:val="24"/>
              </w:rPr>
              <w:t xml:space="preserve"> </w:t>
            </w:r>
            <w:r w:rsidRPr="001228D9">
              <w:rPr>
                <w:rStyle w:val="ui-provider"/>
                <w:rFonts w:cstheme="minorHAnsi"/>
                <w:szCs w:val="24"/>
              </w:rPr>
              <w:t>and laid before Parliament in December.</w:t>
            </w:r>
            <w:r w:rsidRPr="00B4733C">
              <w:rPr>
                <w:rStyle w:val="ui-provider"/>
                <w:rFonts w:cstheme="minorHAnsi"/>
                <w:szCs w:val="24"/>
              </w:rPr>
              <w:t xml:space="preserve"> </w:t>
            </w:r>
            <w:r>
              <w:rPr>
                <w:rStyle w:val="ui-provider"/>
                <w:rFonts w:cstheme="minorHAnsi"/>
                <w:szCs w:val="24"/>
              </w:rPr>
              <w:t>We</w:t>
            </w:r>
            <w:r w:rsidRPr="00E66F6C">
              <w:rPr>
                <w:rStyle w:val="ui-provider"/>
                <w:rFonts w:cstheme="minorHAnsi"/>
                <w:szCs w:val="24"/>
              </w:rPr>
              <w:t xml:space="preserve"> will feedback our experiences of th</w:t>
            </w:r>
            <w:r w:rsidR="00294C71">
              <w:rPr>
                <w:rStyle w:val="ui-provider"/>
                <w:rFonts w:cstheme="minorHAnsi"/>
                <w:szCs w:val="24"/>
              </w:rPr>
              <w:t>e</w:t>
            </w:r>
            <w:r w:rsidRPr="00E66F6C">
              <w:rPr>
                <w:rStyle w:val="ui-provider"/>
                <w:rFonts w:cstheme="minorHAnsi"/>
                <w:szCs w:val="24"/>
              </w:rPr>
              <w:t xml:space="preserve"> new </w:t>
            </w:r>
            <w:r w:rsidR="00294C71">
              <w:rPr>
                <w:rStyle w:val="ui-provider"/>
                <w:rFonts w:cstheme="minorHAnsi"/>
                <w:szCs w:val="24"/>
              </w:rPr>
              <w:t xml:space="preserve">external audit (Mazars) </w:t>
            </w:r>
            <w:r w:rsidRPr="00E66F6C">
              <w:rPr>
                <w:rStyle w:val="ui-provider"/>
                <w:rFonts w:cstheme="minorHAnsi"/>
                <w:szCs w:val="24"/>
              </w:rPr>
              <w:t>contract to Audit Scotland and SG.</w:t>
            </w:r>
          </w:p>
          <w:p w14:paraId="0EE3CB6C" w14:textId="39DF5893" w:rsidR="00B4733C" w:rsidRDefault="00B4733C" w:rsidP="00B4733C">
            <w:pPr>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sidRPr="00B4733C">
              <w:rPr>
                <w:rStyle w:val="ui-provider"/>
                <w:rFonts w:cstheme="minorHAnsi"/>
                <w:szCs w:val="24"/>
              </w:rPr>
              <w:t>Our commissioned survey of MSPs</w:t>
            </w:r>
            <w:r>
              <w:rPr>
                <w:rStyle w:val="ui-provider"/>
                <w:rFonts w:cstheme="minorHAnsi"/>
                <w:szCs w:val="24"/>
              </w:rPr>
              <w:t xml:space="preserve"> d</w:t>
            </w:r>
            <w:r w:rsidRPr="00B4733C">
              <w:rPr>
                <w:rStyle w:val="ui-provider"/>
                <w:rFonts w:cstheme="minorHAnsi"/>
                <w:szCs w:val="24"/>
              </w:rPr>
              <w:t>emonstrated</w:t>
            </w:r>
            <w:r>
              <w:rPr>
                <w:rStyle w:val="ui-provider"/>
                <w:rFonts w:cstheme="minorHAnsi"/>
                <w:szCs w:val="24"/>
              </w:rPr>
              <w:t xml:space="preserve"> that</w:t>
            </w:r>
            <w:r w:rsidRPr="00B4733C">
              <w:rPr>
                <w:rStyle w:val="ui-provider"/>
                <w:rFonts w:cstheme="minorHAnsi"/>
                <w:szCs w:val="24"/>
              </w:rPr>
              <w:t xml:space="preserve"> most MSPs think favourably of NatureScot with two thirds having reasonable knowledge of our work. However, other measures showed more mixed perceptions amongst Parliamentarians. Survey results to be shared with SLT and the Board and used as basis to shape NatureScot’s engagement with MSPs and Scottish Parliament.</w:t>
            </w:r>
          </w:p>
          <w:p w14:paraId="51573698" w14:textId="5DDC92CF" w:rsidR="00B4733C" w:rsidRPr="00B4733C" w:rsidRDefault="00B4733C" w:rsidP="00B4733C">
            <w:pPr>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sidRPr="00B4733C">
              <w:rPr>
                <w:rStyle w:val="ui-provider"/>
                <w:rFonts w:cstheme="minorHAnsi"/>
                <w:szCs w:val="24"/>
              </w:rPr>
              <w:t>A well-attended Scottish Parliamentary reception</w:t>
            </w:r>
            <w:r>
              <w:rPr>
                <w:rStyle w:val="ui-provider"/>
                <w:rFonts w:cstheme="minorHAnsi"/>
                <w:szCs w:val="24"/>
              </w:rPr>
              <w:t xml:space="preserve"> was held on the </w:t>
            </w:r>
            <w:r w:rsidRPr="00B4733C">
              <w:rPr>
                <w:rStyle w:val="ui-provider"/>
                <w:rFonts w:cstheme="minorHAnsi"/>
                <w:szCs w:val="24"/>
              </w:rPr>
              <w:t>importance of nature finance with focus on the FIRNS programme</w:t>
            </w:r>
            <w:r>
              <w:rPr>
                <w:rStyle w:val="ui-provider"/>
                <w:rFonts w:cstheme="minorHAnsi"/>
                <w:szCs w:val="24"/>
              </w:rPr>
              <w:t xml:space="preserve">, </w:t>
            </w:r>
            <w:r w:rsidRPr="00B4733C">
              <w:rPr>
                <w:rStyle w:val="ui-provider"/>
                <w:rFonts w:cstheme="minorHAnsi"/>
                <w:szCs w:val="24"/>
              </w:rPr>
              <w:t xml:space="preserve">in collaboration with the National Lottery Heritage Fund. </w:t>
            </w:r>
            <w:r>
              <w:rPr>
                <w:rStyle w:val="ui-provider"/>
                <w:rFonts w:cstheme="minorHAnsi"/>
                <w:szCs w:val="24"/>
              </w:rPr>
              <w:t>It was well p</w:t>
            </w:r>
            <w:r w:rsidRPr="00B4733C">
              <w:rPr>
                <w:rStyle w:val="ui-provider"/>
                <w:rFonts w:cstheme="minorHAnsi"/>
                <w:szCs w:val="24"/>
              </w:rPr>
              <w:t xml:space="preserve">romoted to MSPs and senior stakeholders including the Minister for Energy and the Environment. </w:t>
            </w:r>
          </w:p>
          <w:p w14:paraId="4AEA97DF" w14:textId="65348691" w:rsidR="00B4733C" w:rsidRPr="00B4733C" w:rsidRDefault="00B4733C" w:rsidP="00B4733C">
            <w:pPr>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sidRPr="00B4733C">
              <w:rPr>
                <w:rStyle w:val="ui-provider"/>
                <w:rFonts w:cstheme="minorHAnsi"/>
                <w:szCs w:val="24"/>
              </w:rPr>
              <w:lastRenderedPageBreak/>
              <w:t xml:space="preserve">NatureScot sponsored and co-hosted </w:t>
            </w:r>
            <w:r>
              <w:rPr>
                <w:rStyle w:val="ui-provider"/>
                <w:rFonts w:cstheme="minorHAnsi"/>
                <w:szCs w:val="24"/>
              </w:rPr>
              <w:t xml:space="preserve">the </w:t>
            </w:r>
            <w:r w:rsidRPr="00B4733C">
              <w:rPr>
                <w:rStyle w:val="ui-provider"/>
                <w:rFonts w:cstheme="minorHAnsi"/>
                <w:szCs w:val="24"/>
              </w:rPr>
              <w:t xml:space="preserve">Nature of Scotland Awards and had strong profile through our support of winning and highly commended projects with NatureScot partnership and funding. Discussion </w:t>
            </w:r>
            <w:r>
              <w:rPr>
                <w:rStyle w:val="ui-provider"/>
                <w:rFonts w:cstheme="minorHAnsi"/>
                <w:szCs w:val="24"/>
              </w:rPr>
              <w:t xml:space="preserve">is </w:t>
            </w:r>
            <w:r w:rsidRPr="00B4733C">
              <w:rPr>
                <w:rStyle w:val="ui-provider"/>
                <w:rFonts w:cstheme="minorHAnsi"/>
                <w:szCs w:val="24"/>
              </w:rPr>
              <w:t>ongoing as to our level of sponsorship/participation for next year’s awards</w:t>
            </w:r>
          </w:p>
          <w:p w14:paraId="24D123D3" w14:textId="4D1F40C3" w:rsidR="00B4733C" w:rsidRPr="00B4733C" w:rsidRDefault="00B4733C" w:rsidP="00B4733C">
            <w:pPr>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cstheme="minorHAnsi"/>
                <w:szCs w:val="24"/>
              </w:rPr>
            </w:pPr>
            <w:r>
              <w:rPr>
                <w:rStyle w:val="ui-provider"/>
                <w:rFonts w:cstheme="minorHAnsi"/>
                <w:szCs w:val="24"/>
              </w:rPr>
              <w:t xml:space="preserve">The </w:t>
            </w:r>
            <w:r w:rsidRPr="00B4733C">
              <w:rPr>
                <w:rStyle w:val="ui-provider"/>
                <w:rFonts w:cstheme="minorHAnsi"/>
                <w:szCs w:val="24"/>
              </w:rPr>
              <w:t>Scottish Land and Estates Helping It Happen awards further affirmed NatureScot’s close working relationship with SLE. NatureScot were headline sponsors at this important engagement opportunity with key stakeholders.</w:t>
            </w:r>
          </w:p>
          <w:p w14:paraId="3C22F467" w14:textId="77777777" w:rsidR="008D20BE" w:rsidRPr="00F96EF0" w:rsidRDefault="00B4733C" w:rsidP="00F0315A">
            <w:pPr>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Pr>
                <w:rFonts w:ascii="Calibri" w:eastAsia="Times New Roman" w:hAnsi="Calibri" w:cs="Calibri"/>
              </w:rPr>
              <w:t xml:space="preserve">We will consider the implications of the budget outcome before SLT make decision on a </w:t>
            </w:r>
            <w:r w:rsidRPr="00B4733C">
              <w:rPr>
                <w:rStyle w:val="ui-provider"/>
                <w:rFonts w:cstheme="minorHAnsi"/>
                <w:szCs w:val="24"/>
              </w:rPr>
              <w:t>2024 staff conference.</w:t>
            </w:r>
          </w:p>
          <w:p w14:paraId="78C730E6" w14:textId="1C90BE55" w:rsidR="00154FDE" w:rsidRPr="00F0315A" w:rsidRDefault="00154FDE" w:rsidP="00F0315A">
            <w:pPr>
              <w:numPr>
                <w:ilvl w:val="0"/>
                <w:numId w:val="37"/>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Pr>
                <w:rStyle w:val="ui-provider"/>
              </w:rPr>
              <w:t xml:space="preserve">Our draft NatureScot Climate </w:t>
            </w:r>
            <w:r w:rsidR="0045169F">
              <w:rPr>
                <w:rStyle w:val="ui-provider"/>
              </w:rPr>
              <w:t>C</w:t>
            </w:r>
            <w:r>
              <w:rPr>
                <w:rStyle w:val="ui-provider"/>
              </w:rPr>
              <w:t>hange Adaptation Plan is due to be reviewed by the Climate Nature Forum on 31 January, with final publication now delayed until end Q4.</w:t>
            </w:r>
          </w:p>
        </w:tc>
      </w:tr>
    </w:tbl>
    <w:p w14:paraId="466ED31D" w14:textId="1BE9DF0A" w:rsidR="00240285" w:rsidRDefault="00240285"/>
    <w:p w14:paraId="761E34D5" w14:textId="77777777" w:rsidR="00240285" w:rsidRDefault="00240285">
      <w:r>
        <w:br w:type="page"/>
      </w: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1134"/>
        <w:gridCol w:w="8309"/>
      </w:tblGrid>
      <w:tr w:rsidR="00240285" w:rsidRPr="00F550D1" w14:paraId="28566CBE" w14:textId="77777777" w:rsidTr="002402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FF17F7D" w14:textId="77777777" w:rsidR="00240285" w:rsidRPr="00F550D1" w:rsidRDefault="00240285" w:rsidP="005057F6">
            <w:pPr>
              <w:rPr>
                <w:rFonts w:ascii="Calibri" w:hAnsi="Calibri" w:cs="Calibri"/>
                <w:szCs w:val="26"/>
              </w:rPr>
            </w:pPr>
            <w:r>
              <w:rPr>
                <w:rFonts w:ascii="Calibri" w:hAnsi="Calibri" w:cs="Calibri"/>
                <w:szCs w:val="26"/>
              </w:rPr>
              <w:lastRenderedPageBreak/>
              <w:t xml:space="preserve"> </w:t>
            </w:r>
            <w:r w:rsidRPr="00F550D1">
              <w:rPr>
                <w:rFonts w:ascii="Calibri" w:hAnsi="Calibri" w:cs="Calibri"/>
                <w:szCs w:val="26"/>
              </w:rPr>
              <w:t>CORPORATE PLAN OBJECTIVE</w:t>
            </w:r>
          </w:p>
        </w:tc>
        <w:tc>
          <w:tcPr>
            <w:tcW w:w="1560" w:type="dxa"/>
            <w:vAlign w:val="center"/>
          </w:tcPr>
          <w:p w14:paraId="6EB4DEAF" w14:textId="77777777" w:rsidR="00240285" w:rsidRPr="00240285" w:rsidRDefault="00240285" w:rsidP="005057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240285">
              <w:rPr>
                <w:rFonts w:ascii="Calibri" w:hAnsi="Calibri" w:cs="Calibri"/>
                <w:szCs w:val="26"/>
              </w:rPr>
              <w:t>SLT LEAD</w:t>
            </w:r>
          </w:p>
        </w:tc>
        <w:tc>
          <w:tcPr>
            <w:tcW w:w="1134" w:type="dxa"/>
            <w:vAlign w:val="center"/>
          </w:tcPr>
          <w:p w14:paraId="2BCFDE94" w14:textId="77777777" w:rsidR="00240285" w:rsidRPr="00240285" w:rsidRDefault="00240285" w:rsidP="005057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240285">
              <w:rPr>
                <w:rFonts w:ascii="Calibri" w:hAnsi="Calibri" w:cs="Calibri"/>
                <w:szCs w:val="26"/>
              </w:rPr>
              <w:t>RAG SCORE</w:t>
            </w:r>
          </w:p>
        </w:tc>
        <w:tc>
          <w:tcPr>
            <w:tcW w:w="8309" w:type="dxa"/>
            <w:vAlign w:val="center"/>
          </w:tcPr>
          <w:p w14:paraId="609AA91B" w14:textId="77777777" w:rsidR="00240285" w:rsidRPr="00240285" w:rsidRDefault="00240285" w:rsidP="005057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240285">
              <w:rPr>
                <w:rFonts w:ascii="Calibri" w:hAnsi="Calibri" w:cs="Calibri"/>
                <w:szCs w:val="26"/>
              </w:rPr>
              <w:t>Q3 UPDATE</w:t>
            </w:r>
          </w:p>
        </w:tc>
      </w:tr>
      <w:tr w:rsidR="008D20BE" w:rsidRPr="00F550D1" w14:paraId="4B9E57BD" w14:textId="77777777" w:rsidTr="002402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65F793" w14:textId="77777777" w:rsidR="008D20BE" w:rsidRPr="00804D5C" w:rsidRDefault="008D20BE" w:rsidP="008D20BE">
            <w:pPr>
              <w:rPr>
                <w:rFonts w:ascii="Calibri" w:hAnsi="Calibri" w:cs="Calibri"/>
                <w:b w:val="0"/>
                <w:color w:val="000000"/>
                <w:szCs w:val="24"/>
              </w:rPr>
            </w:pPr>
            <w:r w:rsidRPr="00804D5C">
              <w:rPr>
                <w:rFonts w:ascii="Calibri" w:hAnsi="Calibri" w:cs="Calibri"/>
                <w:b w:val="0"/>
                <w:color w:val="000000"/>
                <w:szCs w:val="24"/>
              </w:rPr>
              <w:t>Transform our individual and collective leadership capability</w:t>
            </w:r>
          </w:p>
        </w:tc>
        <w:tc>
          <w:tcPr>
            <w:tcW w:w="1560" w:type="dxa"/>
            <w:vAlign w:val="center"/>
          </w:tcPr>
          <w:p w14:paraId="00D7902F"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1134" w:type="dxa"/>
            <w:shd w:val="clear" w:color="auto" w:fill="9BBB59" w:themeFill="accent3"/>
            <w:vAlign w:val="center"/>
          </w:tcPr>
          <w:p w14:paraId="68C2FD04"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b/>
                <w:szCs w:val="24"/>
              </w:rPr>
              <w:t>GREEN</w:t>
            </w:r>
          </w:p>
        </w:tc>
        <w:tc>
          <w:tcPr>
            <w:tcW w:w="8309" w:type="dxa"/>
            <w:vAlign w:val="center"/>
          </w:tcPr>
          <w:p w14:paraId="6FBE48B4" w14:textId="464D009C" w:rsidR="004B0300" w:rsidRPr="00EC6C50" w:rsidRDefault="004B0300" w:rsidP="004B0300">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EC6C50">
              <w:rPr>
                <w:rFonts w:ascii="Calibri" w:hAnsi="Calibri" w:cs="Calibri"/>
                <w:szCs w:val="24"/>
              </w:rPr>
              <w:t>Inner Development Goals</w:t>
            </w:r>
            <w:r>
              <w:rPr>
                <w:rFonts w:ascii="Calibri" w:hAnsi="Calibri" w:cs="Calibri"/>
                <w:szCs w:val="24"/>
              </w:rPr>
              <w:t xml:space="preserve"> (IDGs)</w:t>
            </w:r>
            <w:r w:rsidRPr="00EC6C50">
              <w:rPr>
                <w:rFonts w:ascii="Calibri" w:hAnsi="Calibri" w:cs="Calibri"/>
                <w:szCs w:val="24"/>
              </w:rPr>
              <w:t xml:space="preserve"> have been presented to </w:t>
            </w:r>
            <w:r>
              <w:rPr>
                <w:rFonts w:ascii="Calibri" w:hAnsi="Calibri" w:cs="Calibri"/>
                <w:szCs w:val="24"/>
              </w:rPr>
              <w:t>E</w:t>
            </w:r>
            <w:r>
              <w:rPr>
                <w:rFonts w:ascii="Calibri" w:hAnsi="Calibri" w:cs="Calibri"/>
              </w:rPr>
              <w:t>xtended Leadership Team (</w:t>
            </w:r>
            <w:r w:rsidRPr="00EC6C50">
              <w:rPr>
                <w:rFonts w:ascii="Calibri" w:hAnsi="Calibri" w:cs="Calibri"/>
                <w:szCs w:val="24"/>
              </w:rPr>
              <w:t>ELT</w:t>
            </w:r>
            <w:r>
              <w:rPr>
                <w:rFonts w:ascii="Calibri" w:hAnsi="Calibri" w:cs="Calibri"/>
                <w:szCs w:val="24"/>
              </w:rPr>
              <w:t>)</w:t>
            </w:r>
            <w:r w:rsidRPr="00EC6C50">
              <w:rPr>
                <w:rFonts w:ascii="Calibri" w:hAnsi="Calibri" w:cs="Calibri"/>
                <w:szCs w:val="24"/>
              </w:rPr>
              <w:t xml:space="preserve"> and SLT with a commitment to explore</w:t>
            </w:r>
            <w:r>
              <w:rPr>
                <w:rFonts w:ascii="Calibri" w:hAnsi="Calibri" w:cs="Calibri"/>
                <w:szCs w:val="24"/>
              </w:rPr>
              <w:t xml:space="preserve"> further</w:t>
            </w:r>
            <w:r w:rsidRPr="00EC6C50">
              <w:rPr>
                <w:rFonts w:ascii="Calibri" w:hAnsi="Calibri" w:cs="Calibri"/>
                <w:szCs w:val="24"/>
              </w:rPr>
              <w:t xml:space="preserve"> in </w:t>
            </w:r>
            <w:r>
              <w:rPr>
                <w:rFonts w:ascii="Calibri" w:hAnsi="Calibri" w:cs="Calibri"/>
                <w:szCs w:val="24"/>
              </w:rPr>
              <w:t>2</w:t>
            </w:r>
            <w:r>
              <w:rPr>
                <w:rFonts w:ascii="Calibri" w:hAnsi="Calibri" w:cs="Calibri"/>
              </w:rPr>
              <w:t>0</w:t>
            </w:r>
            <w:r w:rsidRPr="00EC6C50">
              <w:rPr>
                <w:rFonts w:ascii="Calibri" w:hAnsi="Calibri" w:cs="Calibri"/>
                <w:szCs w:val="24"/>
              </w:rPr>
              <w:t>24/25</w:t>
            </w:r>
            <w:r>
              <w:rPr>
                <w:rFonts w:ascii="Calibri" w:hAnsi="Calibri" w:cs="Calibri"/>
                <w:szCs w:val="24"/>
              </w:rPr>
              <w:t xml:space="preserve">. </w:t>
            </w:r>
            <w:r w:rsidRPr="00EC6C50">
              <w:rPr>
                <w:rFonts w:ascii="Calibri" w:hAnsi="Calibri" w:cs="Calibri"/>
                <w:szCs w:val="24"/>
              </w:rPr>
              <w:t xml:space="preserve"> </w:t>
            </w:r>
            <w:r>
              <w:rPr>
                <w:rFonts w:ascii="Calibri" w:hAnsi="Calibri" w:cs="Calibri"/>
                <w:szCs w:val="24"/>
              </w:rPr>
              <w:t>A</w:t>
            </w:r>
            <w:r w:rsidRPr="00EC6C50">
              <w:rPr>
                <w:rFonts w:ascii="Calibri" w:hAnsi="Calibri" w:cs="Calibri"/>
                <w:szCs w:val="24"/>
              </w:rPr>
              <w:t>n application</w:t>
            </w:r>
            <w:r>
              <w:rPr>
                <w:rFonts w:ascii="Calibri" w:hAnsi="Calibri" w:cs="Calibri"/>
                <w:szCs w:val="24"/>
              </w:rPr>
              <w:t xml:space="preserve"> has been</w:t>
            </w:r>
            <w:r w:rsidRPr="00EC6C50">
              <w:rPr>
                <w:rFonts w:ascii="Calibri" w:hAnsi="Calibri" w:cs="Calibri"/>
                <w:szCs w:val="24"/>
              </w:rPr>
              <w:t xml:space="preserve"> submitted for </w:t>
            </w:r>
            <w:r w:rsidR="0045169F">
              <w:rPr>
                <w:rFonts w:ascii="Calibri" w:hAnsi="Calibri" w:cs="Calibri"/>
                <w:szCs w:val="24"/>
              </w:rPr>
              <w:t>p</w:t>
            </w:r>
            <w:r w:rsidR="0045169F">
              <w:rPr>
                <w:rFonts w:ascii="Calibri" w:hAnsi="Calibri" w:cs="Calibri"/>
              </w:rPr>
              <w:t>l</w:t>
            </w:r>
            <w:r w:rsidRPr="00EC6C50">
              <w:rPr>
                <w:rFonts w:ascii="Calibri" w:hAnsi="Calibri" w:cs="Calibri"/>
                <w:szCs w:val="24"/>
              </w:rPr>
              <w:t>aces</w:t>
            </w:r>
            <w:r>
              <w:rPr>
                <w:rFonts w:ascii="Calibri" w:hAnsi="Calibri" w:cs="Calibri"/>
                <w:szCs w:val="24"/>
              </w:rPr>
              <w:t xml:space="preserve"> on</w:t>
            </w:r>
            <w:r w:rsidRPr="00EC6C50">
              <w:rPr>
                <w:rFonts w:ascii="Calibri" w:hAnsi="Calibri" w:cs="Calibri"/>
                <w:szCs w:val="24"/>
              </w:rPr>
              <w:t xml:space="preserve"> the Global Leadership for Sustainable Development Course which starts in early </w:t>
            </w:r>
            <w:r>
              <w:rPr>
                <w:rFonts w:ascii="Calibri" w:hAnsi="Calibri" w:cs="Calibri"/>
                <w:szCs w:val="24"/>
              </w:rPr>
              <w:t>20</w:t>
            </w:r>
            <w:r w:rsidRPr="00EC6C50">
              <w:rPr>
                <w:rFonts w:ascii="Calibri" w:hAnsi="Calibri" w:cs="Calibri"/>
                <w:szCs w:val="24"/>
              </w:rPr>
              <w:t>24.</w:t>
            </w:r>
          </w:p>
          <w:p w14:paraId="71F81F91" w14:textId="02F2B389" w:rsidR="004B0300" w:rsidRDefault="004B0300" w:rsidP="004B0300">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The m</w:t>
            </w:r>
            <w:r w:rsidRPr="00ED4CAD">
              <w:rPr>
                <w:rFonts w:ascii="Calibri" w:hAnsi="Calibri" w:cs="Calibri"/>
                <w:szCs w:val="24"/>
              </w:rPr>
              <w:t>ajority of ELT ha</w:t>
            </w:r>
            <w:r>
              <w:rPr>
                <w:rFonts w:ascii="Calibri" w:hAnsi="Calibri" w:cs="Calibri"/>
                <w:szCs w:val="24"/>
              </w:rPr>
              <w:t>ve</w:t>
            </w:r>
            <w:r w:rsidRPr="00ED4CAD">
              <w:rPr>
                <w:rFonts w:ascii="Calibri" w:hAnsi="Calibri" w:cs="Calibri"/>
                <w:szCs w:val="24"/>
              </w:rPr>
              <w:t xml:space="preserve"> undertaken</w:t>
            </w:r>
            <w:r>
              <w:rPr>
                <w:rFonts w:ascii="Calibri" w:hAnsi="Calibri" w:cs="Calibri"/>
                <w:szCs w:val="24"/>
              </w:rPr>
              <w:t xml:space="preserve"> an</w:t>
            </w:r>
            <w:r w:rsidRPr="00ED4CAD">
              <w:rPr>
                <w:rFonts w:ascii="Calibri" w:hAnsi="Calibri" w:cs="Calibri"/>
                <w:szCs w:val="24"/>
              </w:rPr>
              <w:t xml:space="preserve"> Insights discovery </w:t>
            </w:r>
            <w:r w:rsidR="0045169F" w:rsidRPr="00ED4CAD">
              <w:rPr>
                <w:rFonts w:ascii="Calibri" w:hAnsi="Calibri" w:cs="Calibri"/>
                <w:szCs w:val="24"/>
              </w:rPr>
              <w:t>assessment,</w:t>
            </w:r>
            <w:r w:rsidRPr="00ED4CAD">
              <w:rPr>
                <w:rFonts w:ascii="Calibri" w:hAnsi="Calibri" w:cs="Calibri"/>
                <w:szCs w:val="24"/>
              </w:rPr>
              <w:t xml:space="preserve"> and </w:t>
            </w:r>
            <w:r>
              <w:rPr>
                <w:rFonts w:ascii="Calibri" w:hAnsi="Calibri" w:cs="Calibri"/>
                <w:szCs w:val="24"/>
              </w:rPr>
              <w:t xml:space="preserve">the </w:t>
            </w:r>
            <w:r w:rsidRPr="00ED4CAD">
              <w:rPr>
                <w:rFonts w:ascii="Calibri" w:hAnsi="Calibri" w:cs="Calibri"/>
                <w:szCs w:val="24"/>
              </w:rPr>
              <w:t>Head of People and Organisational Development (POD) is now trained in Insights delivery</w:t>
            </w:r>
            <w:r>
              <w:rPr>
                <w:rFonts w:ascii="Calibri" w:hAnsi="Calibri" w:cs="Calibri"/>
                <w:szCs w:val="24"/>
              </w:rPr>
              <w:t>.</w:t>
            </w:r>
            <w:r w:rsidRPr="00ED4CAD">
              <w:rPr>
                <w:rFonts w:ascii="Calibri" w:hAnsi="Calibri" w:cs="Calibri"/>
                <w:szCs w:val="24"/>
              </w:rPr>
              <w:t xml:space="preserve"> </w:t>
            </w:r>
            <w:r>
              <w:rPr>
                <w:rFonts w:ascii="Calibri" w:hAnsi="Calibri" w:cs="Calibri"/>
                <w:szCs w:val="24"/>
              </w:rPr>
              <w:t>N</w:t>
            </w:r>
            <w:r w:rsidRPr="00ED4CAD">
              <w:rPr>
                <w:rFonts w:ascii="Calibri" w:hAnsi="Calibri" w:cs="Calibri"/>
                <w:szCs w:val="24"/>
              </w:rPr>
              <w:t>ext steps for Insights to be scoped for 2024/25 once</w:t>
            </w:r>
            <w:r>
              <w:rPr>
                <w:rFonts w:ascii="Calibri" w:hAnsi="Calibri" w:cs="Calibri"/>
                <w:szCs w:val="24"/>
              </w:rPr>
              <w:t xml:space="preserve"> the new</w:t>
            </w:r>
            <w:r w:rsidRPr="00ED4CAD">
              <w:rPr>
                <w:rFonts w:ascii="Calibri" w:hAnsi="Calibri" w:cs="Calibri"/>
                <w:szCs w:val="24"/>
              </w:rPr>
              <w:t xml:space="preserve"> Organisational Development (OD) Manager </w:t>
            </w:r>
            <w:r>
              <w:rPr>
                <w:rFonts w:ascii="Calibri" w:hAnsi="Calibri" w:cs="Calibri"/>
                <w:szCs w:val="24"/>
              </w:rPr>
              <w:t>joins in Feb 2024</w:t>
            </w:r>
            <w:r w:rsidRPr="00ED4CAD">
              <w:rPr>
                <w:rFonts w:ascii="Calibri" w:hAnsi="Calibri" w:cs="Calibri"/>
                <w:szCs w:val="24"/>
              </w:rPr>
              <w:t>.</w:t>
            </w:r>
          </w:p>
          <w:p w14:paraId="5D88291E" w14:textId="33DE4458" w:rsidR="00663359" w:rsidRPr="00F96EF0" w:rsidRDefault="004B0300" w:rsidP="00F96EF0">
            <w:pPr>
              <w:numPr>
                <w:ilvl w:val="0"/>
                <w:numId w:val="1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ED4CAD">
              <w:rPr>
                <w:rFonts w:ascii="Calibri" w:hAnsi="Calibri" w:cs="Calibri"/>
                <w:szCs w:val="24"/>
              </w:rPr>
              <w:t>Work to review the embedding of the new operating model is underway, with</w:t>
            </w:r>
            <w:r>
              <w:rPr>
                <w:rFonts w:ascii="Calibri" w:hAnsi="Calibri" w:cs="Calibri"/>
                <w:szCs w:val="24"/>
              </w:rPr>
              <w:t xml:space="preserve"> the Allocations Task Group nearing completion of proposals re vacancy management processes</w:t>
            </w:r>
            <w:r w:rsidR="0045169F">
              <w:rPr>
                <w:rFonts w:ascii="Calibri" w:hAnsi="Calibri" w:cs="Calibri"/>
                <w:szCs w:val="24"/>
              </w:rPr>
              <w:t>,</w:t>
            </w:r>
            <w:r>
              <w:rPr>
                <w:rFonts w:ascii="Calibri" w:hAnsi="Calibri" w:cs="Calibri"/>
                <w:szCs w:val="24"/>
              </w:rPr>
              <w:t xml:space="preserve"> and the </w:t>
            </w:r>
            <w:r w:rsidRPr="00ED4CAD">
              <w:rPr>
                <w:rFonts w:ascii="Calibri" w:hAnsi="Calibri" w:cs="Calibri"/>
                <w:szCs w:val="24"/>
              </w:rPr>
              <w:t>Strategic Workforce P</w:t>
            </w:r>
            <w:r>
              <w:rPr>
                <w:rFonts w:ascii="Calibri" w:hAnsi="Calibri" w:cs="Calibri"/>
                <w:szCs w:val="24"/>
              </w:rPr>
              <w:t>lanning Group</w:t>
            </w:r>
            <w:r w:rsidRPr="00ED4CAD">
              <w:rPr>
                <w:rFonts w:ascii="Calibri" w:hAnsi="Calibri" w:cs="Calibri"/>
                <w:szCs w:val="24"/>
              </w:rPr>
              <w:t xml:space="preserve"> </w:t>
            </w:r>
            <w:r>
              <w:rPr>
                <w:rFonts w:ascii="Calibri" w:hAnsi="Calibri" w:cs="Calibri"/>
                <w:szCs w:val="24"/>
              </w:rPr>
              <w:t>has been set up</w:t>
            </w:r>
            <w:r w:rsidR="00F96EF0">
              <w:rPr>
                <w:rFonts w:ascii="Calibri" w:hAnsi="Calibri" w:cs="Calibri"/>
                <w:szCs w:val="24"/>
              </w:rPr>
              <w:t>.</w:t>
            </w:r>
          </w:p>
        </w:tc>
      </w:tr>
      <w:tr w:rsidR="008D20BE" w:rsidRPr="00F550D1" w14:paraId="7AF6A97C" w14:textId="77777777" w:rsidTr="00240285">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498C075" w14:textId="77777777" w:rsidR="008D20BE" w:rsidRPr="00804D5C" w:rsidRDefault="008D20BE" w:rsidP="008D20BE">
            <w:pPr>
              <w:rPr>
                <w:rFonts w:ascii="Calibri" w:hAnsi="Calibri" w:cs="Calibri"/>
                <w:b w:val="0"/>
                <w:color w:val="000000"/>
                <w:szCs w:val="24"/>
              </w:rPr>
            </w:pPr>
            <w:r w:rsidRPr="00804D5C">
              <w:rPr>
                <w:rFonts w:ascii="Calibri" w:hAnsi="Calibri" w:cs="Calibri"/>
                <w:b w:val="0"/>
                <w:color w:val="000000"/>
                <w:szCs w:val="24"/>
              </w:rPr>
              <w:t>Sustain our focus on developing a happy and resilient workforce</w:t>
            </w:r>
          </w:p>
        </w:tc>
        <w:tc>
          <w:tcPr>
            <w:tcW w:w="1560" w:type="dxa"/>
            <w:vAlign w:val="center"/>
          </w:tcPr>
          <w:p w14:paraId="431C1754"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1134" w:type="dxa"/>
            <w:shd w:val="clear" w:color="auto" w:fill="FFC000"/>
            <w:vAlign w:val="center"/>
          </w:tcPr>
          <w:p w14:paraId="27B7CEA7" w14:textId="1ED6D633" w:rsidR="008D20BE" w:rsidRPr="00F550D1" w:rsidRDefault="00EC6C50"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szCs w:val="24"/>
              </w:rPr>
              <w:t>AMBER</w:t>
            </w:r>
          </w:p>
        </w:tc>
        <w:tc>
          <w:tcPr>
            <w:tcW w:w="8309" w:type="dxa"/>
            <w:vAlign w:val="center"/>
          </w:tcPr>
          <w:p w14:paraId="206351FE" w14:textId="77777777" w:rsidR="00B4733C" w:rsidRDefault="00B4733C" w:rsidP="00B4733C">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Things have moved slightly more slowly than planned with some elements of our work to deliver a Happy and Resilient Workforce, hence the Amber rating. This slippage is considered to be recoverable in Q4.</w:t>
            </w:r>
          </w:p>
          <w:p w14:paraId="6D3B8B7E" w14:textId="77777777" w:rsidR="00B4733C" w:rsidRDefault="00B4733C" w:rsidP="00B4733C">
            <w:pPr>
              <w:tabs>
                <w:tab w:val="center" w:pos="4513"/>
                <w:tab w:val="right" w:pos="9026"/>
              </w:tabs>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p w14:paraId="66FC0EB3" w14:textId="12CD68D6" w:rsidR="004B0300" w:rsidRPr="00EC6C50" w:rsidRDefault="004B0300" w:rsidP="004B0300">
            <w:pPr>
              <w:numPr>
                <w:ilvl w:val="0"/>
                <w:numId w:val="14"/>
              </w:numPr>
              <w:tabs>
                <w:tab w:val="center" w:pos="4513"/>
                <w:tab w:val="right" w:pos="9026"/>
              </w:tabs>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C6C50">
              <w:rPr>
                <w:rFonts w:ascii="Calibri" w:hAnsi="Calibri" w:cs="Calibri"/>
                <w:szCs w:val="24"/>
              </w:rPr>
              <w:t>Talent programme may need to be paused with some aspects prioritised and others placed on hold given</w:t>
            </w:r>
            <w:r>
              <w:rPr>
                <w:rFonts w:ascii="Calibri" w:hAnsi="Calibri" w:cs="Calibri"/>
                <w:szCs w:val="24"/>
              </w:rPr>
              <w:t xml:space="preserve"> the current</w:t>
            </w:r>
            <w:r w:rsidRPr="00EC6C50">
              <w:rPr>
                <w:rFonts w:ascii="Calibri" w:hAnsi="Calibri" w:cs="Calibri"/>
                <w:szCs w:val="24"/>
              </w:rPr>
              <w:t xml:space="preserve"> </w:t>
            </w:r>
            <w:r>
              <w:rPr>
                <w:rFonts w:ascii="Calibri" w:hAnsi="Calibri" w:cs="Calibri"/>
                <w:szCs w:val="24"/>
              </w:rPr>
              <w:t xml:space="preserve">external </w:t>
            </w:r>
            <w:r w:rsidRPr="00EC6C50">
              <w:rPr>
                <w:rFonts w:ascii="Calibri" w:hAnsi="Calibri" w:cs="Calibri"/>
                <w:szCs w:val="24"/>
              </w:rPr>
              <w:t>recruitment freeze.</w:t>
            </w:r>
          </w:p>
          <w:p w14:paraId="6ECCE45B" w14:textId="77777777" w:rsidR="004B0300" w:rsidRPr="00EC6C50" w:rsidRDefault="004B0300" w:rsidP="004B0300">
            <w:pPr>
              <w:numPr>
                <w:ilvl w:val="0"/>
                <w:numId w:val="14"/>
              </w:numPr>
              <w:tabs>
                <w:tab w:val="center" w:pos="4513"/>
                <w:tab w:val="right" w:pos="9026"/>
              </w:tabs>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We have paused the selection of a new </w:t>
            </w:r>
            <w:r w:rsidRPr="00EC6C50">
              <w:rPr>
                <w:rFonts w:ascii="Calibri" w:hAnsi="Calibri" w:cs="Calibri"/>
                <w:szCs w:val="24"/>
              </w:rPr>
              <w:t>Flexi system provider to allow time to embed meaningful conversations with leaders on the trends based on Power BI data</w:t>
            </w:r>
            <w:r>
              <w:rPr>
                <w:rFonts w:ascii="Calibri" w:hAnsi="Calibri" w:cs="Calibri"/>
                <w:szCs w:val="24"/>
              </w:rPr>
              <w:t>; and to consider</w:t>
            </w:r>
            <w:r w:rsidRPr="00EC6C50">
              <w:rPr>
                <w:rFonts w:ascii="Calibri" w:hAnsi="Calibri" w:cs="Calibri"/>
                <w:szCs w:val="24"/>
              </w:rPr>
              <w:t xml:space="preserve"> IT risks</w:t>
            </w:r>
            <w:r>
              <w:rPr>
                <w:rFonts w:ascii="Calibri" w:hAnsi="Calibri" w:cs="Calibri"/>
                <w:szCs w:val="24"/>
              </w:rPr>
              <w:t>, which will be detailed in an updated paper</w:t>
            </w:r>
            <w:r w:rsidRPr="00EC6C50">
              <w:rPr>
                <w:rFonts w:ascii="Calibri" w:hAnsi="Calibri" w:cs="Calibri"/>
                <w:szCs w:val="24"/>
              </w:rPr>
              <w:t>.</w:t>
            </w:r>
          </w:p>
          <w:p w14:paraId="45617683" w14:textId="1059C062" w:rsidR="004B0300" w:rsidRPr="00EC6C50" w:rsidRDefault="004B0300" w:rsidP="004B0300">
            <w:pPr>
              <w:numPr>
                <w:ilvl w:val="0"/>
                <w:numId w:val="14"/>
              </w:numPr>
              <w:tabs>
                <w:tab w:val="center" w:pos="4513"/>
                <w:tab w:val="right" w:pos="9026"/>
              </w:tabs>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A </w:t>
            </w:r>
            <w:r w:rsidRPr="00EC6C50">
              <w:rPr>
                <w:rFonts w:ascii="Calibri" w:hAnsi="Calibri" w:cs="Calibri"/>
                <w:szCs w:val="24"/>
              </w:rPr>
              <w:t xml:space="preserve">Career MOT training provider booked </w:t>
            </w:r>
            <w:r>
              <w:rPr>
                <w:rFonts w:ascii="Calibri" w:hAnsi="Calibri" w:cs="Calibri"/>
                <w:szCs w:val="24"/>
              </w:rPr>
              <w:t xml:space="preserve">for courses in early Q4 </w:t>
            </w:r>
            <w:r w:rsidRPr="00EC6C50">
              <w:rPr>
                <w:rFonts w:ascii="Calibri" w:hAnsi="Calibri" w:cs="Calibri"/>
                <w:szCs w:val="24"/>
              </w:rPr>
              <w:t xml:space="preserve">and </w:t>
            </w:r>
            <w:r>
              <w:rPr>
                <w:rFonts w:ascii="Calibri" w:hAnsi="Calibri" w:cs="Calibri"/>
                <w:szCs w:val="24"/>
              </w:rPr>
              <w:t xml:space="preserve">an </w:t>
            </w:r>
            <w:r w:rsidRPr="00EC6C50">
              <w:rPr>
                <w:rFonts w:ascii="Calibri" w:hAnsi="Calibri" w:cs="Calibri"/>
                <w:szCs w:val="24"/>
              </w:rPr>
              <w:t xml:space="preserve">open invitation shared </w:t>
            </w:r>
            <w:r w:rsidR="0045169F">
              <w:rPr>
                <w:rFonts w:ascii="Calibri" w:hAnsi="Calibri" w:cs="Calibri"/>
                <w:szCs w:val="24"/>
              </w:rPr>
              <w:t>t</w:t>
            </w:r>
            <w:r w:rsidR="0045169F">
              <w:rPr>
                <w:rFonts w:ascii="Calibri" w:hAnsi="Calibri" w:cs="Calibri"/>
              </w:rPr>
              <w:t>o the</w:t>
            </w:r>
            <w:r w:rsidRPr="00EC6C50">
              <w:rPr>
                <w:rFonts w:ascii="Calibri" w:hAnsi="Calibri" w:cs="Calibri"/>
                <w:szCs w:val="24"/>
              </w:rPr>
              <w:t xml:space="preserve"> wider organisation.</w:t>
            </w:r>
          </w:p>
          <w:p w14:paraId="470C5861" w14:textId="457597D2" w:rsidR="004B0300" w:rsidRDefault="004B0300" w:rsidP="004B0300">
            <w:pPr>
              <w:numPr>
                <w:ilvl w:val="0"/>
                <w:numId w:val="14"/>
              </w:numPr>
              <w:tabs>
                <w:tab w:val="center" w:pos="4513"/>
                <w:tab w:val="right" w:pos="9026"/>
              </w:tabs>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Contract with current lone working provider has been confirmed for the next year. We will review future requirements ahead of the next procurement exercise. Focus on</w:t>
            </w:r>
            <w:r w:rsidRPr="00EC6C50">
              <w:rPr>
                <w:rFonts w:ascii="Calibri" w:hAnsi="Calibri" w:cs="Calibri"/>
                <w:szCs w:val="24"/>
              </w:rPr>
              <w:t xml:space="preserve"> H&amp;S Coordinator role</w:t>
            </w:r>
            <w:r w:rsidR="00F96EF0">
              <w:rPr>
                <w:rFonts w:ascii="Calibri" w:hAnsi="Calibri" w:cs="Calibri"/>
                <w:szCs w:val="24"/>
              </w:rPr>
              <w:t xml:space="preserve"> </w:t>
            </w:r>
            <w:r>
              <w:rPr>
                <w:rFonts w:ascii="Calibri" w:hAnsi="Calibri" w:cs="Calibri"/>
                <w:szCs w:val="24"/>
              </w:rPr>
              <w:t>will now shift to</w:t>
            </w:r>
            <w:r w:rsidR="00F96EF0">
              <w:rPr>
                <w:rFonts w:ascii="Calibri" w:hAnsi="Calibri" w:cs="Calibri"/>
                <w:szCs w:val="24"/>
              </w:rPr>
              <w:t xml:space="preserve"> </w:t>
            </w:r>
            <w:r w:rsidRPr="00EC6C50">
              <w:rPr>
                <w:rFonts w:ascii="Calibri" w:hAnsi="Calibri" w:cs="Calibri"/>
                <w:szCs w:val="24"/>
              </w:rPr>
              <w:t>embed</w:t>
            </w:r>
            <w:r>
              <w:rPr>
                <w:rFonts w:ascii="Calibri" w:hAnsi="Calibri" w:cs="Calibri"/>
                <w:szCs w:val="24"/>
              </w:rPr>
              <w:t>ding</w:t>
            </w:r>
            <w:r w:rsidRPr="00EC6C50">
              <w:rPr>
                <w:rFonts w:ascii="Calibri" w:hAnsi="Calibri" w:cs="Calibri"/>
                <w:szCs w:val="24"/>
              </w:rPr>
              <w:t xml:space="preserve"> development and training.</w:t>
            </w:r>
          </w:p>
          <w:p w14:paraId="3FA76472" w14:textId="312A6FCB" w:rsidR="004B0300" w:rsidRDefault="004B0300" w:rsidP="004B0300">
            <w:pPr>
              <w:numPr>
                <w:ilvl w:val="0"/>
                <w:numId w:val="14"/>
              </w:numPr>
              <w:tabs>
                <w:tab w:val="center" w:pos="4513"/>
                <w:tab w:val="right" w:pos="9026"/>
              </w:tabs>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EC6C50">
              <w:rPr>
                <w:rFonts w:ascii="Calibri" w:hAnsi="Calibri" w:cs="Calibri"/>
                <w:szCs w:val="24"/>
              </w:rPr>
              <w:t>Continuous improvement forum set up</w:t>
            </w:r>
            <w:r w:rsidR="0045169F">
              <w:rPr>
                <w:rFonts w:ascii="Calibri" w:hAnsi="Calibri" w:cs="Calibri"/>
                <w:szCs w:val="24"/>
              </w:rPr>
              <w:t xml:space="preserve"> in POD</w:t>
            </w:r>
            <w:r>
              <w:rPr>
                <w:rFonts w:ascii="Calibri" w:hAnsi="Calibri" w:cs="Calibri"/>
                <w:szCs w:val="24"/>
              </w:rPr>
              <w:t>.</w:t>
            </w:r>
            <w:r w:rsidRPr="00EC6C50">
              <w:rPr>
                <w:rFonts w:ascii="Calibri" w:hAnsi="Calibri" w:cs="Calibri"/>
                <w:szCs w:val="24"/>
              </w:rPr>
              <w:t xml:space="preserve"> </w:t>
            </w:r>
            <w:r>
              <w:rPr>
                <w:rFonts w:ascii="Calibri" w:hAnsi="Calibri" w:cs="Calibri"/>
                <w:szCs w:val="24"/>
              </w:rPr>
              <w:t xml:space="preserve">Priority for Q4 will be on providing </w:t>
            </w:r>
            <w:r w:rsidRPr="00EC6C50">
              <w:rPr>
                <w:rFonts w:ascii="Calibri" w:hAnsi="Calibri" w:cs="Calibri"/>
                <w:szCs w:val="24"/>
              </w:rPr>
              <w:t>clarity o</w:t>
            </w:r>
            <w:r>
              <w:rPr>
                <w:rFonts w:ascii="Calibri" w:hAnsi="Calibri" w:cs="Calibri"/>
                <w:szCs w:val="24"/>
              </w:rPr>
              <w:t>f</w:t>
            </w:r>
            <w:r w:rsidRPr="00EC6C50">
              <w:rPr>
                <w:rFonts w:ascii="Calibri" w:hAnsi="Calibri" w:cs="Calibri"/>
                <w:szCs w:val="24"/>
              </w:rPr>
              <w:t xml:space="preserve"> approach and focus on tasks.</w:t>
            </w:r>
          </w:p>
          <w:p w14:paraId="33D7DAEE" w14:textId="5502C994" w:rsidR="002929E5" w:rsidRPr="00C97C1C" w:rsidRDefault="002929E5" w:rsidP="004B0300">
            <w:pPr>
              <w:tabs>
                <w:tab w:val="center" w:pos="4513"/>
                <w:tab w:val="right" w:pos="9026"/>
              </w:tabs>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r>
    </w:tbl>
    <w:p w14:paraId="700EAC5A" w14:textId="378FEAE7" w:rsidR="008D20BE" w:rsidRDefault="008D20BE" w:rsidP="008D20BE">
      <w:pPr>
        <w:pStyle w:val="Heading1"/>
        <w:rPr>
          <w:rFonts w:ascii="Calibri" w:eastAsiaTheme="minorHAnsi" w:hAnsi="Calibri" w:cs="Calibri"/>
          <w:color w:val="007DC3"/>
          <w:szCs w:val="22"/>
        </w:rPr>
      </w:pPr>
      <w:r w:rsidRPr="009A7A96">
        <w:rPr>
          <w:rFonts w:ascii="Calibri" w:eastAsiaTheme="minorHAnsi" w:hAnsi="Calibri" w:cs="Calibri"/>
          <w:color w:val="007DC3"/>
          <w:szCs w:val="22"/>
        </w:rPr>
        <w:lastRenderedPageBreak/>
        <w:t>PERFORMANCE DASHBOARD</w:t>
      </w:r>
      <w:r>
        <w:rPr>
          <w:rFonts w:ascii="Calibri" w:eastAsiaTheme="minorHAnsi" w:hAnsi="Calibri" w:cs="Calibri"/>
          <w:color w:val="007DC3"/>
          <w:szCs w:val="22"/>
        </w:rPr>
        <w:t xml:space="preserve"> </w:t>
      </w:r>
    </w:p>
    <w:p w14:paraId="0A2C1BD2" w14:textId="54AF5C34" w:rsidR="00B80F36" w:rsidRPr="00B80F36" w:rsidRDefault="00B80F36" w:rsidP="00B80F36">
      <w:pPr>
        <w:pStyle w:val="Heading1"/>
        <w:spacing w:before="0"/>
        <w:rPr>
          <w:rFonts w:ascii="Calibri" w:hAnsi="Calibri" w:cs="Calibri"/>
          <w:sz w:val="16"/>
          <w:szCs w:val="16"/>
        </w:rPr>
      </w:pPr>
      <w:r w:rsidRPr="00B80F36">
        <w:rPr>
          <w:rFonts w:ascii="Calibri" w:hAnsi="Calibri" w:cs="Calibri"/>
          <w:sz w:val="16"/>
          <w:szCs w:val="16"/>
        </w:rPr>
        <w:t>A dashboard is a high level overview of performance. For more information please click on the measure title that will take you to the source data. RAG status has been removed from the dashboard until we have mature measures.</w:t>
      </w:r>
    </w:p>
    <w:p w14:paraId="03CEE2BA" w14:textId="021BA85E" w:rsidR="001126C6" w:rsidRPr="00B80F36" w:rsidRDefault="008D20BE" w:rsidP="00B80F36">
      <w:pPr>
        <w:pStyle w:val="Heading2"/>
        <w:shd w:val="clear" w:color="auto" w:fill="007DC3"/>
        <w:jc w:val="center"/>
        <w:rPr>
          <w:rFonts w:ascii="Calibri" w:hAnsi="Calibri" w:cs="Calibri"/>
          <w:szCs w:val="28"/>
        </w:rPr>
      </w:pPr>
      <w:r w:rsidRPr="00B80F36">
        <w:rPr>
          <w:rFonts w:ascii="Calibri" w:hAnsi="Calibri" w:cs="Calibri"/>
          <w:szCs w:val="28"/>
        </w:rPr>
        <w:t>WE HAVE PROTECTED NATUR</w:t>
      </w:r>
      <w:r w:rsidR="001126C6" w:rsidRPr="00B80F36">
        <w:rPr>
          <w:rFonts w:ascii="Calibri" w:hAnsi="Calibri" w:cs="Calibri"/>
          <w:szCs w:val="28"/>
        </w:rPr>
        <w:t>E</w:t>
      </w:r>
    </w:p>
    <w:tbl>
      <w:tblPr>
        <w:tblW w:w="15951" w:type="dxa"/>
        <w:jc w:val="center"/>
        <w:tblLayout w:type="fixed"/>
        <w:tblLook w:val="04A0" w:firstRow="1" w:lastRow="0" w:firstColumn="1" w:lastColumn="0" w:noHBand="0" w:noVBand="1"/>
      </w:tblPr>
      <w:tblGrid>
        <w:gridCol w:w="2024"/>
        <w:gridCol w:w="3183"/>
        <w:gridCol w:w="1065"/>
        <w:gridCol w:w="5033"/>
        <w:gridCol w:w="4646"/>
      </w:tblGrid>
      <w:tr w:rsidR="00540A77" w:rsidRPr="001428C1" w14:paraId="52F29391" w14:textId="77777777" w:rsidTr="00567986">
        <w:trPr>
          <w:cantSplit/>
          <w:trHeight w:val="149"/>
          <w:tblHeader/>
          <w:jc w:val="center"/>
        </w:trPr>
        <w:tc>
          <w:tcPr>
            <w:tcW w:w="2024" w:type="dxa"/>
            <w:tcBorders>
              <w:bottom w:val="single" w:sz="4" w:space="0" w:color="548DD4" w:themeColor="text2" w:themeTint="99"/>
            </w:tcBorders>
          </w:tcPr>
          <w:p w14:paraId="00AE7D92" w14:textId="77777777" w:rsidR="001126C6" w:rsidRPr="00330547" w:rsidRDefault="001126C6" w:rsidP="00E80188">
            <w:pPr>
              <w:spacing w:after="0"/>
              <w:jc w:val="center"/>
              <w:rPr>
                <w:rFonts w:ascii="Calibri" w:hAnsi="Calibri" w:cs="Calibri"/>
                <w:b/>
              </w:rPr>
            </w:pPr>
            <w:r w:rsidRPr="00330547">
              <w:rPr>
                <w:rFonts w:ascii="Calibri" w:hAnsi="Calibri" w:cs="Calibri"/>
                <w:b/>
              </w:rPr>
              <w:t>Measure</w:t>
            </w:r>
          </w:p>
        </w:tc>
        <w:tc>
          <w:tcPr>
            <w:tcW w:w="3183" w:type="dxa"/>
            <w:tcBorders>
              <w:bottom w:val="single" w:sz="4" w:space="0" w:color="548DD4" w:themeColor="text2" w:themeTint="99"/>
            </w:tcBorders>
          </w:tcPr>
          <w:p w14:paraId="4113EE74" w14:textId="77777777" w:rsidR="001126C6" w:rsidRPr="00330547" w:rsidRDefault="001126C6" w:rsidP="00E80188">
            <w:pPr>
              <w:spacing w:after="0"/>
              <w:jc w:val="center"/>
              <w:rPr>
                <w:rFonts w:ascii="Calibri" w:hAnsi="Calibri" w:cs="Calibri"/>
                <w:b/>
              </w:rPr>
            </w:pPr>
            <w:r w:rsidRPr="00330547">
              <w:rPr>
                <w:rFonts w:ascii="Calibri" w:hAnsi="Calibri" w:cs="Calibri"/>
                <w:b/>
              </w:rPr>
              <w:t>Performance Overview</w:t>
            </w:r>
          </w:p>
        </w:tc>
        <w:tc>
          <w:tcPr>
            <w:tcW w:w="1065" w:type="dxa"/>
            <w:tcBorders>
              <w:bottom w:val="single" w:sz="4" w:space="0" w:color="548DD4" w:themeColor="text2" w:themeTint="99"/>
            </w:tcBorders>
          </w:tcPr>
          <w:p w14:paraId="34AFBC9F" w14:textId="77777777" w:rsidR="001126C6" w:rsidRPr="005265DA" w:rsidRDefault="001126C6" w:rsidP="00E80188">
            <w:pPr>
              <w:spacing w:after="0"/>
              <w:jc w:val="center"/>
              <w:rPr>
                <w:rFonts w:ascii="Calibri" w:hAnsi="Calibri" w:cs="Calibri"/>
                <w:b/>
              </w:rPr>
            </w:pPr>
            <w:r w:rsidRPr="005265DA">
              <w:rPr>
                <w:rFonts w:ascii="Calibri" w:hAnsi="Calibri" w:cs="Calibri"/>
                <w:b/>
              </w:rPr>
              <w:t>Actual</w:t>
            </w:r>
          </w:p>
        </w:tc>
        <w:tc>
          <w:tcPr>
            <w:tcW w:w="5033" w:type="dxa"/>
            <w:tcBorders>
              <w:bottom w:val="single" w:sz="4" w:space="0" w:color="548DD4" w:themeColor="text2" w:themeTint="99"/>
            </w:tcBorders>
          </w:tcPr>
          <w:p w14:paraId="54E3F4F4" w14:textId="77777777" w:rsidR="001126C6" w:rsidRPr="00330547" w:rsidRDefault="001126C6" w:rsidP="00E80188">
            <w:pPr>
              <w:spacing w:after="0"/>
              <w:jc w:val="center"/>
              <w:rPr>
                <w:rFonts w:ascii="Calibri" w:hAnsi="Calibri" w:cs="Calibri"/>
                <w:b/>
              </w:rPr>
            </w:pPr>
            <w:r w:rsidRPr="00330547">
              <w:rPr>
                <w:rFonts w:ascii="Calibri" w:hAnsi="Calibri" w:cs="Calibri"/>
                <w:b/>
              </w:rPr>
              <w:t>Cause</w:t>
            </w:r>
          </w:p>
        </w:tc>
        <w:tc>
          <w:tcPr>
            <w:tcW w:w="4646" w:type="dxa"/>
            <w:tcBorders>
              <w:bottom w:val="single" w:sz="4" w:space="0" w:color="548DD4" w:themeColor="text2" w:themeTint="99"/>
            </w:tcBorders>
          </w:tcPr>
          <w:p w14:paraId="483922A3" w14:textId="77777777" w:rsidR="001126C6" w:rsidRPr="00330547" w:rsidRDefault="001126C6" w:rsidP="00E80188">
            <w:pPr>
              <w:spacing w:after="0"/>
              <w:jc w:val="center"/>
              <w:rPr>
                <w:rFonts w:ascii="Calibri" w:hAnsi="Calibri" w:cs="Calibri"/>
                <w:b/>
              </w:rPr>
            </w:pPr>
            <w:r w:rsidRPr="00330547">
              <w:rPr>
                <w:rFonts w:ascii="Calibri" w:hAnsi="Calibri" w:cs="Calibri"/>
                <w:b/>
              </w:rPr>
              <w:t>Response</w:t>
            </w:r>
          </w:p>
        </w:tc>
      </w:tr>
      <w:tr w:rsidR="00540A77" w:rsidRPr="0014395C" w14:paraId="05851F79" w14:textId="77777777" w:rsidTr="00567986">
        <w:trPr>
          <w:trHeight w:val="908"/>
          <w:tblHeader/>
          <w:jc w:val="center"/>
        </w:trPr>
        <w:tc>
          <w:tcPr>
            <w:tcW w:w="2024" w:type="dxa"/>
            <w:tcBorders>
              <w:bottom w:val="single" w:sz="4" w:space="0" w:color="548DD4" w:themeColor="text2" w:themeTint="99"/>
            </w:tcBorders>
            <w:vAlign w:val="center"/>
          </w:tcPr>
          <w:p w14:paraId="3F13FF09" w14:textId="62AB67B6" w:rsidR="001126C6" w:rsidRPr="004F7386" w:rsidRDefault="00000000" w:rsidP="00E80188">
            <w:pPr>
              <w:spacing w:after="0"/>
              <w:jc w:val="center"/>
              <w:rPr>
                <w:rFonts w:cstheme="minorHAnsi"/>
                <w:b/>
                <w:sz w:val="20"/>
                <w:szCs w:val="20"/>
                <w:highlight w:val="yellow"/>
              </w:rPr>
            </w:pPr>
            <w:hyperlink r:id="rId12" w:history="1">
              <w:r w:rsidR="001126C6" w:rsidRPr="002976DD">
                <w:rPr>
                  <w:rStyle w:val="Hyperlink"/>
                  <w:rFonts w:cstheme="minorHAnsi"/>
                  <w:b/>
                  <w:iCs/>
                  <w:color w:val="808080" w:themeColor="background1" w:themeShade="80"/>
                  <w:sz w:val="20"/>
                  <w:szCs w:val="20"/>
                </w:rPr>
                <w:t>Stakeholder interest in MPA Information</w:t>
              </w:r>
            </w:hyperlink>
            <w:r w:rsidR="00F63AD7" w:rsidRPr="002976DD">
              <w:rPr>
                <w:rStyle w:val="Hyperlink"/>
                <w:rFonts w:cstheme="minorHAnsi"/>
                <w:b/>
                <w:iCs/>
                <w:color w:val="808080" w:themeColor="background1" w:themeShade="80"/>
                <w:sz w:val="20"/>
                <w:szCs w:val="20"/>
              </w:rPr>
              <w:t xml:space="preserve"> (hits on webpages)</w:t>
            </w:r>
          </w:p>
        </w:tc>
        <w:tc>
          <w:tcPr>
            <w:tcW w:w="3183" w:type="dxa"/>
            <w:tcBorders>
              <w:bottom w:val="single" w:sz="4" w:space="0" w:color="548DD4" w:themeColor="text2" w:themeTint="99"/>
            </w:tcBorders>
            <w:vAlign w:val="center"/>
          </w:tcPr>
          <w:p w14:paraId="179EEC61" w14:textId="3EE7DAC6" w:rsidR="001126C6" w:rsidRPr="0014395C" w:rsidRDefault="00567986" w:rsidP="00E80188">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67FB8FAA" wp14:editId="246E84C2">
                  <wp:extent cx="1975485" cy="572770"/>
                  <wp:effectExtent l="0" t="0" r="0" b="0"/>
                  <wp:docPr id="120243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5485" cy="572770"/>
                          </a:xfrm>
                          <a:prstGeom prst="rect">
                            <a:avLst/>
                          </a:prstGeom>
                          <a:noFill/>
                        </pic:spPr>
                      </pic:pic>
                    </a:graphicData>
                  </a:graphic>
                </wp:inline>
              </w:drawing>
            </w:r>
          </w:p>
        </w:tc>
        <w:tc>
          <w:tcPr>
            <w:tcW w:w="1065" w:type="dxa"/>
            <w:tcBorders>
              <w:bottom w:val="single" w:sz="4" w:space="0" w:color="548DD4" w:themeColor="text2" w:themeTint="99"/>
            </w:tcBorders>
            <w:vAlign w:val="center"/>
          </w:tcPr>
          <w:p w14:paraId="46DEFEB5" w14:textId="070D9FFA" w:rsidR="001126C6" w:rsidRPr="005265DA" w:rsidRDefault="002976DD" w:rsidP="00E80188">
            <w:pPr>
              <w:spacing w:after="0"/>
              <w:jc w:val="center"/>
              <w:rPr>
                <w:rFonts w:ascii="Calibri" w:hAnsi="Calibri" w:cs="Calibri"/>
                <w:b/>
                <w:color w:val="808080" w:themeColor="background1" w:themeShade="80"/>
                <w:sz w:val="20"/>
                <w:szCs w:val="20"/>
              </w:rPr>
            </w:pPr>
            <w:r>
              <w:rPr>
                <w:rFonts w:ascii="Calibri" w:hAnsi="Calibri" w:cs="Calibri"/>
                <w:b/>
                <w:color w:val="808080" w:themeColor="background1" w:themeShade="80"/>
                <w:sz w:val="20"/>
                <w:szCs w:val="20"/>
              </w:rPr>
              <w:t>1043</w:t>
            </w:r>
          </w:p>
        </w:tc>
        <w:tc>
          <w:tcPr>
            <w:tcW w:w="5033" w:type="dxa"/>
            <w:tcBorders>
              <w:bottom w:val="single" w:sz="4" w:space="0" w:color="548DD4" w:themeColor="text2" w:themeTint="99"/>
            </w:tcBorders>
            <w:vAlign w:val="center"/>
          </w:tcPr>
          <w:p w14:paraId="73DE4BCE" w14:textId="4263FC50" w:rsidR="001126C6" w:rsidRPr="003A5820" w:rsidRDefault="002976DD" w:rsidP="002976DD">
            <w:pPr>
              <w:spacing w:after="0"/>
              <w:jc w:val="both"/>
              <w:rPr>
                <w:rFonts w:ascii="Calibri" w:hAnsi="Calibri" w:cs="Calibri"/>
                <w:color w:val="808080" w:themeColor="background1" w:themeShade="80"/>
                <w:sz w:val="19"/>
                <w:szCs w:val="19"/>
              </w:rPr>
            </w:pPr>
            <w:r w:rsidRPr="002976DD">
              <w:rPr>
                <w:rFonts w:ascii="Calibri" w:hAnsi="Calibri" w:cs="Calibri"/>
                <w:color w:val="808080" w:themeColor="background1" w:themeShade="80"/>
                <w:sz w:val="19"/>
                <w:szCs w:val="19"/>
              </w:rPr>
              <w:t xml:space="preserve">Our page on Enhancing the </w:t>
            </w:r>
            <w:r w:rsidR="00567986" w:rsidRPr="002976DD">
              <w:rPr>
                <w:rFonts w:ascii="Calibri" w:hAnsi="Calibri" w:cs="Calibri"/>
                <w:color w:val="808080" w:themeColor="background1" w:themeShade="80"/>
                <w:sz w:val="19"/>
                <w:szCs w:val="19"/>
              </w:rPr>
              <w:t>protection</w:t>
            </w:r>
            <w:r w:rsidRPr="002976DD">
              <w:rPr>
                <w:rFonts w:ascii="Calibri" w:hAnsi="Calibri" w:cs="Calibri"/>
                <w:color w:val="808080" w:themeColor="background1" w:themeShade="80"/>
                <w:sz w:val="19"/>
                <w:szCs w:val="19"/>
              </w:rPr>
              <w:t xml:space="preserve"> of our seas received 111 views this quarter. While our page on Marine Protected Areas (MPAs) received 932 </w:t>
            </w:r>
            <w:r w:rsidR="00567986" w:rsidRPr="002976DD">
              <w:rPr>
                <w:rFonts w:ascii="Calibri" w:hAnsi="Calibri" w:cs="Calibri"/>
                <w:color w:val="808080" w:themeColor="background1" w:themeShade="80"/>
                <w:sz w:val="19"/>
                <w:szCs w:val="19"/>
              </w:rPr>
              <w:t>page views</w:t>
            </w:r>
            <w:r w:rsidRPr="002976DD">
              <w:rPr>
                <w:rFonts w:ascii="Calibri" w:hAnsi="Calibri" w:cs="Calibri"/>
                <w:color w:val="808080" w:themeColor="background1" w:themeShade="80"/>
                <w:sz w:val="19"/>
                <w:szCs w:val="19"/>
              </w:rPr>
              <w:t xml:space="preserve">. </w:t>
            </w:r>
          </w:p>
        </w:tc>
        <w:tc>
          <w:tcPr>
            <w:tcW w:w="4646" w:type="dxa"/>
            <w:tcBorders>
              <w:bottom w:val="single" w:sz="4" w:space="0" w:color="548DD4" w:themeColor="text2" w:themeTint="99"/>
            </w:tcBorders>
            <w:vAlign w:val="center"/>
          </w:tcPr>
          <w:p w14:paraId="320F06D0" w14:textId="7845AC1A" w:rsidR="001126C6" w:rsidRPr="003A5820" w:rsidRDefault="00567986" w:rsidP="00E80188">
            <w:pPr>
              <w:spacing w:after="0"/>
              <w:jc w:val="both"/>
              <w:rPr>
                <w:rFonts w:ascii="Calibri" w:hAnsi="Calibri" w:cs="Calibri"/>
                <w:color w:val="808080" w:themeColor="background1" w:themeShade="80"/>
                <w:sz w:val="19"/>
                <w:szCs w:val="19"/>
              </w:rPr>
            </w:pPr>
            <w:r>
              <w:rPr>
                <w:rFonts w:ascii="Calibri" w:hAnsi="Calibri" w:cs="Calibri"/>
                <w:color w:val="808080" w:themeColor="background1" w:themeShade="80"/>
                <w:sz w:val="19"/>
                <w:szCs w:val="19"/>
              </w:rPr>
              <w:t>We reviewed this measure this quarter and concluded that a</w:t>
            </w:r>
            <w:r w:rsidR="002976DD" w:rsidRPr="002976DD">
              <w:rPr>
                <w:rFonts w:ascii="Calibri" w:hAnsi="Calibri" w:cs="Calibri"/>
                <w:color w:val="808080" w:themeColor="background1" w:themeShade="80"/>
                <w:sz w:val="19"/>
                <w:szCs w:val="19"/>
              </w:rPr>
              <w:t xml:space="preserve">s it is a new measure with little data to date </w:t>
            </w:r>
            <w:r>
              <w:rPr>
                <w:rFonts w:ascii="Calibri" w:hAnsi="Calibri" w:cs="Calibri"/>
                <w:color w:val="808080" w:themeColor="background1" w:themeShade="80"/>
                <w:sz w:val="19"/>
                <w:szCs w:val="19"/>
              </w:rPr>
              <w:t>we will</w:t>
            </w:r>
            <w:r w:rsidR="002976DD" w:rsidRPr="002976DD">
              <w:rPr>
                <w:rFonts w:ascii="Calibri" w:hAnsi="Calibri" w:cs="Calibri"/>
                <w:color w:val="808080" w:themeColor="background1" w:themeShade="80"/>
                <w:sz w:val="19"/>
                <w:szCs w:val="19"/>
              </w:rPr>
              <w:t xml:space="preserve"> continue with this measure for the time being.</w:t>
            </w:r>
          </w:p>
        </w:tc>
      </w:tr>
      <w:tr w:rsidR="00540A77" w:rsidRPr="0014395C" w14:paraId="548C1438" w14:textId="77777777" w:rsidTr="00567986">
        <w:trPr>
          <w:cantSplit/>
          <w:trHeight w:val="1289"/>
          <w:tblHeader/>
          <w:jc w:val="center"/>
        </w:trPr>
        <w:tc>
          <w:tcPr>
            <w:tcW w:w="2024" w:type="dxa"/>
            <w:tcBorders>
              <w:bottom w:val="single" w:sz="4" w:space="0" w:color="548DD4" w:themeColor="text2" w:themeTint="99"/>
            </w:tcBorders>
            <w:vAlign w:val="center"/>
          </w:tcPr>
          <w:p w14:paraId="5F152A7D" w14:textId="77777777" w:rsidR="001126C6" w:rsidRPr="004F7386" w:rsidRDefault="00000000" w:rsidP="00E80188">
            <w:pPr>
              <w:spacing w:after="0"/>
              <w:jc w:val="center"/>
              <w:rPr>
                <w:rFonts w:ascii="Calibri" w:hAnsi="Calibri" w:cs="Calibri"/>
                <w:b/>
                <w:iCs/>
                <w:color w:val="808080" w:themeColor="background1" w:themeShade="80"/>
                <w:sz w:val="20"/>
                <w:szCs w:val="20"/>
                <w:highlight w:val="yellow"/>
              </w:rPr>
            </w:pPr>
            <w:hyperlink r:id="rId14" w:history="1">
              <w:r w:rsidR="001126C6" w:rsidRPr="00540A77">
                <w:rPr>
                  <w:rStyle w:val="Hyperlink"/>
                  <w:rFonts w:ascii="Calibri" w:hAnsi="Calibri" w:cs="Calibri"/>
                  <w:b/>
                  <w:iCs/>
                  <w:color w:val="808080" w:themeColor="background1" w:themeShade="80"/>
                  <w:sz w:val="20"/>
                  <w:szCs w:val="20"/>
                </w:rPr>
                <w:t>No. of restoration projects for which we’ve provided advice</w:t>
              </w:r>
            </w:hyperlink>
          </w:p>
        </w:tc>
        <w:tc>
          <w:tcPr>
            <w:tcW w:w="3183" w:type="dxa"/>
            <w:tcBorders>
              <w:bottom w:val="single" w:sz="4" w:space="0" w:color="548DD4" w:themeColor="text2" w:themeTint="99"/>
            </w:tcBorders>
            <w:vAlign w:val="center"/>
          </w:tcPr>
          <w:p w14:paraId="4A0BECD4" w14:textId="0F5332B0" w:rsidR="001126C6" w:rsidRPr="0014395C" w:rsidRDefault="00F25B05" w:rsidP="00E80188">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5A79B4E0" wp14:editId="4BB5202D">
                  <wp:extent cx="2371350" cy="765545"/>
                  <wp:effectExtent l="0" t="0" r="0" b="0"/>
                  <wp:docPr id="32509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298" cy="770693"/>
                          </a:xfrm>
                          <a:prstGeom prst="rect">
                            <a:avLst/>
                          </a:prstGeom>
                          <a:noFill/>
                        </pic:spPr>
                      </pic:pic>
                    </a:graphicData>
                  </a:graphic>
                </wp:inline>
              </w:drawing>
            </w:r>
          </w:p>
        </w:tc>
        <w:tc>
          <w:tcPr>
            <w:tcW w:w="1065" w:type="dxa"/>
            <w:tcBorders>
              <w:bottom w:val="single" w:sz="4" w:space="0" w:color="548DD4" w:themeColor="text2" w:themeTint="99"/>
            </w:tcBorders>
            <w:vAlign w:val="center"/>
          </w:tcPr>
          <w:p w14:paraId="46895EAD" w14:textId="683FE137" w:rsidR="001126C6" w:rsidRPr="005265DA" w:rsidRDefault="00F25B05" w:rsidP="00E80188">
            <w:pPr>
              <w:spacing w:after="0"/>
              <w:jc w:val="center"/>
              <w:rPr>
                <w:rFonts w:ascii="Calibri" w:hAnsi="Calibri" w:cs="Calibri"/>
                <w:b/>
                <w:color w:val="808080" w:themeColor="background1" w:themeShade="80"/>
                <w:sz w:val="20"/>
                <w:szCs w:val="20"/>
              </w:rPr>
            </w:pPr>
            <w:r>
              <w:rPr>
                <w:rFonts w:ascii="Calibri" w:hAnsi="Calibri" w:cs="Calibri"/>
                <w:b/>
                <w:color w:val="808080" w:themeColor="background1" w:themeShade="80"/>
                <w:sz w:val="20"/>
                <w:szCs w:val="20"/>
              </w:rPr>
              <w:t>16</w:t>
            </w:r>
          </w:p>
        </w:tc>
        <w:tc>
          <w:tcPr>
            <w:tcW w:w="5033" w:type="dxa"/>
            <w:tcBorders>
              <w:bottom w:val="single" w:sz="4" w:space="0" w:color="548DD4" w:themeColor="text2" w:themeTint="99"/>
            </w:tcBorders>
            <w:vAlign w:val="center"/>
          </w:tcPr>
          <w:p w14:paraId="1F01EEA3" w14:textId="0F90B07E" w:rsidR="001126C6" w:rsidRPr="003A5820" w:rsidRDefault="004E33E8" w:rsidP="00E80188">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We have continued to provide advice to existing projects e.g. Restoration Forth but we have also been providing advice on new projects and development cases that are looking at enhancement options to address impacts and be nature positive. We expect this kind of casework advice to increase.</w:t>
            </w:r>
          </w:p>
        </w:tc>
        <w:tc>
          <w:tcPr>
            <w:tcW w:w="4646" w:type="dxa"/>
            <w:tcBorders>
              <w:bottom w:val="single" w:sz="4" w:space="0" w:color="548DD4" w:themeColor="text2" w:themeTint="99"/>
            </w:tcBorders>
            <w:vAlign w:val="center"/>
          </w:tcPr>
          <w:p w14:paraId="282CAA40" w14:textId="1B9999F2" w:rsidR="001126C6" w:rsidRPr="003A5820" w:rsidRDefault="004E33E8" w:rsidP="00E80188">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 xml:space="preserve">We have continued to provide advice to internal and Scottish Government colleagues and have shared our experiences with others through conferences, UK </w:t>
            </w:r>
            <w:r w:rsidR="003A5820" w:rsidRPr="003A5820">
              <w:rPr>
                <w:rFonts w:ascii="Calibri" w:hAnsi="Calibri" w:cs="Calibri"/>
                <w:color w:val="808080" w:themeColor="background1" w:themeShade="80"/>
                <w:sz w:val="19"/>
                <w:szCs w:val="19"/>
              </w:rPr>
              <w:t xml:space="preserve">level </w:t>
            </w:r>
            <w:r w:rsidR="00E22BCA" w:rsidRPr="00E22BCA">
              <w:rPr>
                <w:rFonts w:ascii="Calibri" w:hAnsi="Calibri" w:cs="Calibri"/>
                <w:color w:val="808080" w:themeColor="background1" w:themeShade="80"/>
                <w:sz w:val="19"/>
                <w:szCs w:val="19"/>
              </w:rPr>
              <w:t>Statutory Nature Conservation Body</w:t>
            </w:r>
            <w:r w:rsidR="00E22BCA">
              <w:rPr>
                <w:rFonts w:ascii="Calibri" w:hAnsi="Calibri" w:cs="Calibri"/>
                <w:color w:val="808080" w:themeColor="background1" w:themeShade="80"/>
                <w:sz w:val="19"/>
                <w:szCs w:val="19"/>
              </w:rPr>
              <w:t xml:space="preserve"> (</w:t>
            </w:r>
            <w:r w:rsidR="003A5820" w:rsidRPr="00567986">
              <w:rPr>
                <w:rFonts w:ascii="Calibri" w:hAnsi="Calibri" w:cs="Calibri"/>
                <w:color w:val="808080" w:themeColor="background1" w:themeShade="80"/>
                <w:sz w:val="19"/>
                <w:szCs w:val="19"/>
              </w:rPr>
              <w:t>SNCB</w:t>
            </w:r>
            <w:r w:rsidR="00E22BCA">
              <w:rPr>
                <w:rFonts w:ascii="Calibri" w:hAnsi="Calibri" w:cs="Calibri"/>
                <w:color w:val="808080" w:themeColor="background1" w:themeShade="80"/>
                <w:sz w:val="19"/>
                <w:szCs w:val="19"/>
              </w:rPr>
              <w:t>)</w:t>
            </w:r>
            <w:r w:rsidRPr="003A5820">
              <w:rPr>
                <w:rFonts w:ascii="Calibri" w:hAnsi="Calibri" w:cs="Calibri"/>
                <w:color w:val="808080" w:themeColor="background1" w:themeShade="80"/>
                <w:sz w:val="19"/>
                <w:szCs w:val="19"/>
              </w:rPr>
              <w:t xml:space="preserve"> meetings and </w:t>
            </w:r>
            <w:r w:rsidRPr="00567986">
              <w:rPr>
                <w:rFonts w:ascii="Calibri" w:hAnsi="Calibri" w:cs="Calibri"/>
                <w:color w:val="808080" w:themeColor="background1" w:themeShade="80"/>
                <w:sz w:val="19"/>
                <w:szCs w:val="19"/>
              </w:rPr>
              <w:t>OSPAR</w:t>
            </w:r>
            <w:r w:rsidRPr="003A5820">
              <w:rPr>
                <w:rFonts w:ascii="Calibri" w:hAnsi="Calibri" w:cs="Calibri"/>
                <w:color w:val="808080" w:themeColor="background1" w:themeShade="80"/>
                <w:sz w:val="19"/>
                <w:szCs w:val="19"/>
              </w:rPr>
              <w:t xml:space="preserve"> best practice.</w:t>
            </w:r>
          </w:p>
        </w:tc>
      </w:tr>
      <w:bookmarkStart w:id="3" w:name="_Hlk157176679"/>
      <w:tr w:rsidR="00540A77" w:rsidRPr="0014395C" w14:paraId="20947602" w14:textId="77777777" w:rsidTr="00567986">
        <w:trPr>
          <w:cantSplit/>
          <w:trHeight w:val="1172"/>
          <w:tblHeader/>
          <w:jc w:val="center"/>
        </w:trPr>
        <w:tc>
          <w:tcPr>
            <w:tcW w:w="2024" w:type="dxa"/>
            <w:tcBorders>
              <w:bottom w:val="single" w:sz="4" w:space="0" w:color="548DD4" w:themeColor="text2" w:themeTint="99"/>
            </w:tcBorders>
            <w:vAlign w:val="center"/>
          </w:tcPr>
          <w:p w14:paraId="1CF08050" w14:textId="3191D674" w:rsidR="001126C6" w:rsidRPr="0014395C" w:rsidRDefault="00000000" w:rsidP="00E80188">
            <w:pPr>
              <w:spacing w:after="0"/>
              <w:jc w:val="center"/>
              <w:rPr>
                <w:rFonts w:ascii="Calibri" w:hAnsi="Calibri" w:cs="Calibri"/>
                <w:b/>
                <w:iCs/>
                <w:color w:val="808080" w:themeColor="background1" w:themeShade="80"/>
                <w:sz w:val="20"/>
                <w:szCs w:val="20"/>
              </w:rPr>
            </w:pPr>
            <w:r>
              <w:fldChar w:fldCharType="begin"/>
            </w:r>
            <w:r>
              <w:instrText>HYPERLINK "https://naturescot.nexus.objective.co.uk/documents/A3972998/details"</w:instrText>
            </w:r>
            <w:r>
              <w:fldChar w:fldCharType="separate"/>
            </w:r>
            <w:r w:rsidR="00B80F36" w:rsidRPr="0014395C">
              <w:rPr>
                <w:rStyle w:val="Hyperlink"/>
                <w:rFonts w:ascii="Calibri" w:hAnsi="Calibri" w:cs="Calibri"/>
                <w:b/>
                <w:iCs/>
                <w:color w:val="808080" w:themeColor="background1" w:themeShade="80"/>
                <w:sz w:val="20"/>
                <w:szCs w:val="20"/>
              </w:rPr>
              <w:t>Li</w:t>
            </w:r>
            <w:r w:rsidR="001126C6" w:rsidRPr="0014395C">
              <w:rPr>
                <w:rStyle w:val="Hyperlink"/>
                <w:rFonts w:ascii="Calibri" w:hAnsi="Calibri" w:cs="Calibri"/>
                <w:b/>
                <w:iCs/>
                <w:color w:val="808080" w:themeColor="background1" w:themeShade="80"/>
                <w:sz w:val="20"/>
                <w:szCs w:val="20"/>
              </w:rPr>
              <w:t>cense applications turnaround time within standards</w:t>
            </w:r>
            <w:r>
              <w:rPr>
                <w:rStyle w:val="Hyperlink"/>
                <w:rFonts w:ascii="Calibri" w:hAnsi="Calibri" w:cs="Calibri"/>
                <w:b/>
                <w:iCs/>
                <w:color w:val="808080" w:themeColor="background1" w:themeShade="80"/>
                <w:sz w:val="20"/>
                <w:szCs w:val="20"/>
              </w:rPr>
              <w:fldChar w:fldCharType="end"/>
            </w:r>
          </w:p>
        </w:tc>
        <w:tc>
          <w:tcPr>
            <w:tcW w:w="3183" w:type="dxa"/>
            <w:tcBorders>
              <w:bottom w:val="single" w:sz="4" w:space="0" w:color="548DD4" w:themeColor="text2" w:themeTint="99"/>
            </w:tcBorders>
            <w:vAlign w:val="center"/>
          </w:tcPr>
          <w:p w14:paraId="517739FA" w14:textId="71D97836" w:rsidR="001126C6" w:rsidRPr="0014395C" w:rsidRDefault="004F7386" w:rsidP="00E80188">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28FEF937" wp14:editId="05AA0D4F">
                  <wp:extent cx="2178050" cy="711917"/>
                  <wp:effectExtent l="0" t="0" r="0" b="0"/>
                  <wp:docPr id="225347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9007" cy="715498"/>
                          </a:xfrm>
                          <a:prstGeom prst="rect">
                            <a:avLst/>
                          </a:prstGeom>
                          <a:noFill/>
                        </pic:spPr>
                      </pic:pic>
                    </a:graphicData>
                  </a:graphic>
                </wp:inline>
              </w:drawing>
            </w:r>
          </w:p>
        </w:tc>
        <w:tc>
          <w:tcPr>
            <w:tcW w:w="1065" w:type="dxa"/>
            <w:tcBorders>
              <w:bottom w:val="single" w:sz="4" w:space="0" w:color="548DD4" w:themeColor="text2" w:themeTint="99"/>
            </w:tcBorders>
            <w:vAlign w:val="center"/>
          </w:tcPr>
          <w:p w14:paraId="65F81F82" w14:textId="66C40DE7" w:rsidR="001126C6" w:rsidRPr="005265DA" w:rsidRDefault="004F7386" w:rsidP="00E80188">
            <w:pPr>
              <w:spacing w:after="0"/>
              <w:jc w:val="center"/>
              <w:rPr>
                <w:rFonts w:ascii="Calibri" w:hAnsi="Calibri" w:cs="Calibri"/>
                <w:b/>
                <w:color w:val="808080" w:themeColor="background1" w:themeShade="80"/>
                <w:sz w:val="20"/>
                <w:szCs w:val="20"/>
              </w:rPr>
            </w:pPr>
            <w:r w:rsidRPr="005265DA">
              <w:rPr>
                <w:rFonts w:ascii="Calibri" w:hAnsi="Calibri" w:cs="Calibri"/>
                <w:b/>
                <w:color w:val="808080" w:themeColor="background1" w:themeShade="80"/>
                <w:sz w:val="20"/>
                <w:szCs w:val="20"/>
              </w:rPr>
              <w:t>443</w:t>
            </w:r>
          </w:p>
        </w:tc>
        <w:tc>
          <w:tcPr>
            <w:tcW w:w="5033" w:type="dxa"/>
            <w:tcBorders>
              <w:bottom w:val="single" w:sz="4" w:space="0" w:color="548DD4" w:themeColor="text2" w:themeTint="99"/>
            </w:tcBorders>
            <w:vAlign w:val="center"/>
          </w:tcPr>
          <w:p w14:paraId="7ADDA972" w14:textId="325E9CA7" w:rsidR="001126C6" w:rsidRPr="003A5820" w:rsidRDefault="004F7386" w:rsidP="00E80188">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The only data we have around this measure is the number of applications that have been issued this quarter which is 443. Until we can report the turnaround time within standards we will report on the number or applications issued in the quarter.</w:t>
            </w:r>
          </w:p>
        </w:tc>
        <w:tc>
          <w:tcPr>
            <w:tcW w:w="4646" w:type="dxa"/>
            <w:tcBorders>
              <w:bottom w:val="single" w:sz="4" w:space="0" w:color="548DD4" w:themeColor="text2" w:themeTint="99"/>
            </w:tcBorders>
            <w:vAlign w:val="center"/>
          </w:tcPr>
          <w:p w14:paraId="24BA77D9" w14:textId="2225C104" w:rsidR="001126C6" w:rsidRPr="003A5820" w:rsidRDefault="00D533D1" w:rsidP="00044D57">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We ar</w:t>
            </w:r>
            <w:r w:rsidR="004F7386" w:rsidRPr="003A5820">
              <w:rPr>
                <w:rFonts w:ascii="Calibri" w:hAnsi="Calibri" w:cs="Calibri"/>
                <w:color w:val="808080" w:themeColor="background1" w:themeShade="80"/>
                <w:sz w:val="19"/>
                <w:szCs w:val="19"/>
              </w:rPr>
              <w:t>e</w:t>
            </w:r>
            <w:r w:rsidR="005B4B54">
              <w:rPr>
                <w:rFonts w:ascii="Calibri" w:hAnsi="Calibri" w:cs="Calibri"/>
                <w:color w:val="808080" w:themeColor="background1" w:themeShade="80"/>
                <w:sz w:val="19"/>
                <w:szCs w:val="19"/>
              </w:rPr>
              <w:t xml:space="preserve"> not</w:t>
            </w:r>
            <w:r w:rsidRPr="003A5820">
              <w:rPr>
                <w:rFonts w:ascii="Calibri" w:hAnsi="Calibri" w:cs="Calibri"/>
                <w:color w:val="808080" w:themeColor="background1" w:themeShade="80"/>
                <w:sz w:val="19"/>
                <w:szCs w:val="19"/>
              </w:rPr>
              <w:t xml:space="preserve"> </w:t>
            </w:r>
            <w:r w:rsidR="003A5820" w:rsidRPr="003A5820">
              <w:rPr>
                <w:rFonts w:ascii="Calibri" w:hAnsi="Calibri" w:cs="Calibri"/>
                <w:color w:val="808080" w:themeColor="background1" w:themeShade="80"/>
                <w:sz w:val="19"/>
                <w:szCs w:val="19"/>
              </w:rPr>
              <w:t>able</w:t>
            </w:r>
            <w:r w:rsidRPr="003A5820">
              <w:rPr>
                <w:rFonts w:ascii="Calibri" w:hAnsi="Calibri" w:cs="Calibri"/>
                <w:color w:val="808080" w:themeColor="background1" w:themeShade="80"/>
                <w:sz w:val="19"/>
                <w:szCs w:val="19"/>
              </w:rPr>
              <w:t xml:space="preserve"> to advise </w:t>
            </w:r>
            <w:r w:rsidR="004F7386" w:rsidRPr="003A5820">
              <w:rPr>
                <w:rFonts w:ascii="Calibri" w:hAnsi="Calibri" w:cs="Calibri"/>
                <w:color w:val="808080" w:themeColor="background1" w:themeShade="80"/>
                <w:sz w:val="19"/>
                <w:szCs w:val="19"/>
              </w:rPr>
              <w:t>whether the</w:t>
            </w:r>
            <w:r w:rsidRPr="003A5820">
              <w:rPr>
                <w:rFonts w:ascii="Calibri" w:hAnsi="Calibri" w:cs="Calibri"/>
                <w:color w:val="808080" w:themeColor="background1" w:themeShade="80"/>
                <w:sz w:val="19"/>
                <w:szCs w:val="19"/>
              </w:rPr>
              <w:t xml:space="preserve"> licences have been issued in accordance with an agreed turnaround time – as we do not as yet have a service level statement with an agreed turnaround time</w:t>
            </w:r>
            <w:r w:rsidR="004F7386" w:rsidRPr="003A5820">
              <w:rPr>
                <w:rFonts w:ascii="Calibri" w:hAnsi="Calibri" w:cs="Calibri"/>
                <w:color w:val="808080" w:themeColor="background1" w:themeShade="80"/>
                <w:sz w:val="19"/>
                <w:szCs w:val="19"/>
              </w:rPr>
              <w:t>.</w:t>
            </w:r>
            <w:r w:rsidRPr="003A5820">
              <w:rPr>
                <w:rFonts w:ascii="Calibri" w:hAnsi="Calibri" w:cs="Calibri"/>
                <w:color w:val="808080" w:themeColor="background1" w:themeShade="80"/>
                <w:sz w:val="19"/>
                <w:szCs w:val="19"/>
              </w:rPr>
              <w:t xml:space="preserve"> </w:t>
            </w:r>
            <w:r w:rsidR="00B80F36" w:rsidRPr="003A5820">
              <w:rPr>
                <w:rFonts w:ascii="Calibri" w:hAnsi="Calibri" w:cs="Calibri"/>
                <w:color w:val="808080" w:themeColor="background1" w:themeShade="80"/>
                <w:sz w:val="19"/>
                <w:szCs w:val="19"/>
              </w:rPr>
              <w:t xml:space="preserve">The aim is to be able to report by </w:t>
            </w:r>
            <w:r w:rsidR="001126C6" w:rsidRPr="003A5820">
              <w:rPr>
                <w:rFonts w:ascii="Calibri" w:hAnsi="Calibri" w:cs="Calibri"/>
                <w:color w:val="808080" w:themeColor="background1" w:themeShade="80"/>
                <w:sz w:val="19"/>
                <w:szCs w:val="19"/>
              </w:rPr>
              <w:t>in Q</w:t>
            </w:r>
            <w:r w:rsidR="00044D57" w:rsidRPr="003A5820">
              <w:rPr>
                <w:rFonts w:ascii="Calibri" w:hAnsi="Calibri" w:cs="Calibri"/>
                <w:color w:val="808080" w:themeColor="background1" w:themeShade="80"/>
                <w:sz w:val="19"/>
                <w:szCs w:val="19"/>
              </w:rPr>
              <w:t>4</w:t>
            </w:r>
            <w:r w:rsidR="001126C6" w:rsidRPr="003A5820">
              <w:rPr>
                <w:rFonts w:ascii="Calibri" w:hAnsi="Calibri" w:cs="Calibri"/>
                <w:color w:val="808080" w:themeColor="background1" w:themeShade="80"/>
                <w:sz w:val="19"/>
                <w:szCs w:val="19"/>
              </w:rPr>
              <w:t xml:space="preserve">. </w:t>
            </w:r>
          </w:p>
        </w:tc>
      </w:tr>
      <w:bookmarkStart w:id="4" w:name="_Hlk155774122"/>
      <w:tr w:rsidR="00540A77" w:rsidRPr="0014395C" w14:paraId="2644D0BA" w14:textId="77777777" w:rsidTr="00567986">
        <w:trPr>
          <w:cantSplit/>
          <w:trHeight w:val="1039"/>
          <w:tblHeader/>
          <w:jc w:val="center"/>
        </w:trPr>
        <w:tc>
          <w:tcPr>
            <w:tcW w:w="2024" w:type="dxa"/>
            <w:tcBorders>
              <w:bottom w:val="single" w:sz="4" w:space="0" w:color="548DD4" w:themeColor="text2" w:themeTint="99"/>
            </w:tcBorders>
            <w:vAlign w:val="center"/>
          </w:tcPr>
          <w:p w14:paraId="7A7FEAB6" w14:textId="77777777" w:rsidR="001126C6" w:rsidRPr="009C109E" w:rsidRDefault="002976DD" w:rsidP="00E80188">
            <w:pPr>
              <w:spacing w:after="0"/>
              <w:jc w:val="center"/>
              <w:rPr>
                <w:rFonts w:ascii="Calibri" w:hAnsi="Calibri" w:cs="Calibri"/>
                <w:b/>
                <w:iCs/>
                <w:color w:val="808080" w:themeColor="background1" w:themeShade="80"/>
                <w:sz w:val="20"/>
                <w:szCs w:val="20"/>
              </w:rPr>
            </w:pPr>
            <w:r w:rsidRPr="009C109E">
              <w:rPr>
                <w:highlight w:val="red"/>
              </w:rPr>
              <w:fldChar w:fldCharType="begin"/>
            </w:r>
            <w:r w:rsidRPr="009C109E">
              <w:instrText xml:space="preserve"> HYPERLINK "https://naturescot.nexus.objective.co.uk/documents/A3920276/details" </w:instrText>
            </w:r>
            <w:r w:rsidRPr="009C109E">
              <w:rPr>
                <w:highlight w:val="red"/>
              </w:rPr>
            </w:r>
            <w:r w:rsidRPr="009C109E">
              <w:rPr>
                <w:highlight w:val="red"/>
              </w:rPr>
              <w:fldChar w:fldCharType="separate"/>
            </w:r>
            <w:r w:rsidR="001126C6" w:rsidRPr="009C109E">
              <w:rPr>
                <w:rStyle w:val="Hyperlink"/>
                <w:rFonts w:ascii="Calibri" w:hAnsi="Calibri" w:cs="Calibri"/>
                <w:b/>
                <w:iCs/>
                <w:color w:val="808080" w:themeColor="background1" w:themeShade="80"/>
                <w:sz w:val="20"/>
                <w:szCs w:val="20"/>
              </w:rPr>
              <w:t>No. and Types of licences that are processed through the online system</w:t>
            </w:r>
            <w:r w:rsidRPr="009C109E">
              <w:rPr>
                <w:rStyle w:val="Hyperlink"/>
                <w:rFonts w:ascii="Calibri" w:hAnsi="Calibri" w:cs="Calibri"/>
                <w:b/>
                <w:iCs/>
                <w:color w:val="808080" w:themeColor="background1" w:themeShade="80"/>
                <w:sz w:val="20"/>
                <w:szCs w:val="20"/>
                <w:highlight w:val="red"/>
              </w:rPr>
              <w:fldChar w:fldCharType="end"/>
            </w:r>
            <w:bookmarkEnd w:id="4"/>
          </w:p>
        </w:tc>
        <w:tc>
          <w:tcPr>
            <w:tcW w:w="3183" w:type="dxa"/>
            <w:tcBorders>
              <w:bottom w:val="single" w:sz="4" w:space="0" w:color="548DD4" w:themeColor="text2" w:themeTint="99"/>
            </w:tcBorders>
            <w:vAlign w:val="center"/>
          </w:tcPr>
          <w:p w14:paraId="185C4CF8" w14:textId="1163EEE4" w:rsidR="001126C6" w:rsidRPr="009C109E" w:rsidRDefault="00567986" w:rsidP="00044D57">
            <w:pPr>
              <w:spacing w:after="0"/>
              <w:jc w:val="center"/>
              <w:rPr>
                <w:rFonts w:ascii="Calibri" w:hAnsi="Calibri" w:cs="Calibri"/>
                <w:b/>
                <w:color w:val="808080" w:themeColor="background1" w:themeShade="80"/>
                <w:sz w:val="20"/>
                <w:szCs w:val="20"/>
              </w:rPr>
            </w:pPr>
            <w:r w:rsidRPr="009C109E">
              <w:rPr>
                <w:rFonts w:ascii="Calibri" w:hAnsi="Calibri" w:cs="Calibri"/>
                <w:b/>
                <w:noProof/>
                <w:color w:val="808080" w:themeColor="background1" w:themeShade="80"/>
                <w:sz w:val="20"/>
                <w:szCs w:val="20"/>
                <w:lang w:eastAsia="en-GB"/>
              </w:rPr>
              <w:drawing>
                <wp:inline distT="0" distB="0" distL="0" distR="0" wp14:anchorId="5903C76A" wp14:editId="54DC5C29">
                  <wp:extent cx="1973666" cy="584790"/>
                  <wp:effectExtent l="0" t="0" r="0" b="0"/>
                  <wp:docPr id="1692330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7862" cy="588996"/>
                          </a:xfrm>
                          <a:prstGeom prst="rect">
                            <a:avLst/>
                          </a:prstGeom>
                          <a:noFill/>
                        </pic:spPr>
                      </pic:pic>
                    </a:graphicData>
                  </a:graphic>
                </wp:inline>
              </w:drawing>
            </w:r>
          </w:p>
        </w:tc>
        <w:tc>
          <w:tcPr>
            <w:tcW w:w="1065" w:type="dxa"/>
            <w:tcBorders>
              <w:bottom w:val="single" w:sz="4" w:space="0" w:color="548DD4" w:themeColor="text2" w:themeTint="99"/>
            </w:tcBorders>
            <w:vAlign w:val="center"/>
          </w:tcPr>
          <w:p w14:paraId="28017B85" w14:textId="4ADB0D60" w:rsidR="001126C6" w:rsidRPr="009C109E" w:rsidRDefault="009C109E" w:rsidP="00E80188">
            <w:pPr>
              <w:spacing w:after="0"/>
              <w:jc w:val="center"/>
              <w:rPr>
                <w:rFonts w:ascii="Calibri" w:hAnsi="Calibri" w:cs="Calibri"/>
                <w:b/>
                <w:color w:val="808080" w:themeColor="background1" w:themeShade="80"/>
                <w:sz w:val="20"/>
                <w:szCs w:val="20"/>
              </w:rPr>
            </w:pPr>
            <w:r w:rsidRPr="009C109E">
              <w:rPr>
                <w:rFonts w:ascii="Calibri" w:hAnsi="Calibri" w:cs="Calibri"/>
                <w:b/>
                <w:color w:val="808080" w:themeColor="background1" w:themeShade="80"/>
                <w:sz w:val="20"/>
                <w:szCs w:val="20"/>
              </w:rPr>
              <w:t>66</w:t>
            </w:r>
          </w:p>
        </w:tc>
        <w:tc>
          <w:tcPr>
            <w:tcW w:w="5033" w:type="dxa"/>
            <w:tcBorders>
              <w:bottom w:val="single" w:sz="4" w:space="0" w:color="548DD4" w:themeColor="text2" w:themeTint="99"/>
            </w:tcBorders>
            <w:vAlign w:val="center"/>
          </w:tcPr>
          <w:p w14:paraId="5BEC6459" w14:textId="6E9A6A7A" w:rsidR="001126C6" w:rsidRPr="009C109E" w:rsidRDefault="009C109E" w:rsidP="00E80188">
            <w:pPr>
              <w:spacing w:after="0"/>
              <w:jc w:val="both"/>
              <w:rPr>
                <w:rFonts w:ascii="Calibri" w:hAnsi="Calibri" w:cs="Calibri"/>
                <w:color w:val="808080" w:themeColor="background1" w:themeShade="80"/>
                <w:sz w:val="19"/>
                <w:szCs w:val="19"/>
              </w:rPr>
            </w:pPr>
            <w:r w:rsidRPr="009C109E">
              <w:rPr>
                <w:rFonts w:ascii="Calibri" w:hAnsi="Calibri" w:cs="Calibri"/>
                <w:color w:val="808080" w:themeColor="background1" w:themeShade="80"/>
                <w:sz w:val="19"/>
                <w:szCs w:val="19"/>
              </w:rPr>
              <w:t xml:space="preserve"> There were a total of 66 licence applications in Q3. 49 were Scottish Forestry Operations, 13 were for Traps, 4 were gulls and 4 were withdrawn.</w:t>
            </w:r>
          </w:p>
        </w:tc>
        <w:tc>
          <w:tcPr>
            <w:tcW w:w="4646" w:type="dxa"/>
            <w:tcBorders>
              <w:bottom w:val="single" w:sz="4" w:space="0" w:color="548DD4" w:themeColor="text2" w:themeTint="99"/>
            </w:tcBorders>
            <w:vAlign w:val="center"/>
          </w:tcPr>
          <w:p w14:paraId="16D28BAB" w14:textId="13DB2BED" w:rsidR="001126C6" w:rsidRPr="009C109E" w:rsidRDefault="009C109E" w:rsidP="00E80188">
            <w:pPr>
              <w:spacing w:after="0"/>
              <w:jc w:val="both"/>
              <w:rPr>
                <w:rFonts w:ascii="Calibri" w:hAnsi="Calibri" w:cs="Calibri"/>
                <w:color w:val="808080" w:themeColor="background1" w:themeShade="80"/>
                <w:sz w:val="19"/>
                <w:szCs w:val="19"/>
              </w:rPr>
            </w:pPr>
            <w:r w:rsidRPr="009C109E">
              <w:rPr>
                <w:rFonts w:ascii="Calibri" w:hAnsi="Calibri" w:cs="Calibri"/>
                <w:color w:val="808080" w:themeColor="background1" w:themeShade="80"/>
                <w:sz w:val="19"/>
                <w:szCs w:val="19"/>
              </w:rPr>
              <w:t xml:space="preserve">The 4 licences that were withdrawn were because they applied for a licence too early and therefore we couldn’t issue a licence. </w:t>
            </w:r>
          </w:p>
        </w:tc>
      </w:tr>
      <w:bookmarkEnd w:id="3"/>
      <w:tr w:rsidR="00540A77" w:rsidRPr="0014395C" w14:paraId="241E2554" w14:textId="77777777" w:rsidTr="00567986">
        <w:trPr>
          <w:cantSplit/>
          <w:trHeight w:val="856"/>
          <w:tblHeader/>
          <w:jc w:val="center"/>
        </w:trPr>
        <w:tc>
          <w:tcPr>
            <w:tcW w:w="2024" w:type="dxa"/>
            <w:tcBorders>
              <w:bottom w:val="single" w:sz="4" w:space="0" w:color="548DD4" w:themeColor="text2" w:themeTint="99"/>
            </w:tcBorders>
            <w:vAlign w:val="center"/>
          </w:tcPr>
          <w:p w14:paraId="39082C7D" w14:textId="77777777" w:rsidR="001126C6" w:rsidRPr="0014395C" w:rsidRDefault="00000000" w:rsidP="00E80188">
            <w:pPr>
              <w:spacing w:after="0"/>
              <w:jc w:val="center"/>
              <w:rPr>
                <w:rFonts w:ascii="Calibri" w:hAnsi="Calibri" w:cs="Calibri"/>
                <w:b/>
                <w:iCs/>
                <w:color w:val="808080" w:themeColor="background1" w:themeShade="80"/>
                <w:sz w:val="20"/>
                <w:szCs w:val="20"/>
              </w:rPr>
            </w:pPr>
            <w:r>
              <w:fldChar w:fldCharType="begin"/>
            </w:r>
            <w:r>
              <w:instrText>HYPERLINK "https://naturescot.nexus.objective.co.uk/documents/A3920275/details"</w:instrText>
            </w:r>
            <w:r>
              <w:fldChar w:fldCharType="separate"/>
            </w:r>
            <w:r w:rsidR="001126C6" w:rsidRPr="0014395C">
              <w:rPr>
                <w:rStyle w:val="Hyperlink"/>
                <w:rFonts w:ascii="Calibri" w:hAnsi="Calibri" w:cs="Calibri"/>
                <w:b/>
                <w:iCs/>
                <w:color w:val="808080" w:themeColor="background1" w:themeShade="80"/>
                <w:sz w:val="20"/>
                <w:szCs w:val="20"/>
              </w:rPr>
              <w:t>No. of catchments with established beaver populations</w:t>
            </w:r>
            <w:r>
              <w:rPr>
                <w:rStyle w:val="Hyperlink"/>
                <w:rFonts w:ascii="Calibri" w:hAnsi="Calibri" w:cs="Calibri"/>
                <w:b/>
                <w:iCs/>
                <w:color w:val="808080" w:themeColor="background1" w:themeShade="80"/>
                <w:sz w:val="20"/>
                <w:szCs w:val="20"/>
              </w:rPr>
              <w:fldChar w:fldCharType="end"/>
            </w:r>
          </w:p>
        </w:tc>
        <w:tc>
          <w:tcPr>
            <w:tcW w:w="3183" w:type="dxa"/>
            <w:tcBorders>
              <w:bottom w:val="single" w:sz="4" w:space="0" w:color="548DD4" w:themeColor="text2" w:themeTint="99"/>
            </w:tcBorders>
            <w:vAlign w:val="center"/>
          </w:tcPr>
          <w:p w14:paraId="099F84BD" w14:textId="3FD199EA" w:rsidR="001126C6" w:rsidRPr="0014395C" w:rsidRDefault="00A06BFC" w:rsidP="00E80188">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5F2DFC49" wp14:editId="10C59AA9">
                  <wp:extent cx="1917700" cy="610535"/>
                  <wp:effectExtent l="0" t="0" r="6350" b="0"/>
                  <wp:docPr id="14411906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8388" cy="613938"/>
                          </a:xfrm>
                          <a:prstGeom prst="rect">
                            <a:avLst/>
                          </a:prstGeom>
                          <a:noFill/>
                        </pic:spPr>
                      </pic:pic>
                    </a:graphicData>
                  </a:graphic>
                </wp:inline>
              </w:drawing>
            </w:r>
          </w:p>
        </w:tc>
        <w:tc>
          <w:tcPr>
            <w:tcW w:w="1065" w:type="dxa"/>
            <w:tcBorders>
              <w:bottom w:val="single" w:sz="4" w:space="0" w:color="548DD4" w:themeColor="text2" w:themeTint="99"/>
            </w:tcBorders>
            <w:vAlign w:val="center"/>
          </w:tcPr>
          <w:p w14:paraId="47B40B85" w14:textId="1196BCE9" w:rsidR="001126C6" w:rsidRPr="005265DA" w:rsidRDefault="00BC6B69" w:rsidP="00E80188">
            <w:pPr>
              <w:spacing w:after="0"/>
              <w:jc w:val="center"/>
              <w:rPr>
                <w:rFonts w:ascii="Calibri" w:hAnsi="Calibri" w:cs="Calibri"/>
                <w:b/>
                <w:color w:val="808080" w:themeColor="background1" w:themeShade="80"/>
                <w:sz w:val="20"/>
                <w:szCs w:val="20"/>
              </w:rPr>
            </w:pPr>
            <w:r w:rsidRPr="005265DA">
              <w:rPr>
                <w:rFonts w:ascii="Calibri" w:hAnsi="Calibri" w:cs="Calibri"/>
                <w:b/>
                <w:color w:val="808080" w:themeColor="background1" w:themeShade="80"/>
                <w:sz w:val="20"/>
                <w:szCs w:val="20"/>
              </w:rPr>
              <w:t>5</w:t>
            </w:r>
          </w:p>
        </w:tc>
        <w:tc>
          <w:tcPr>
            <w:tcW w:w="5033" w:type="dxa"/>
            <w:tcBorders>
              <w:bottom w:val="single" w:sz="4" w:space="0" w:color="548DD4" w:themeColor="text2" w:themeTint="99"/>
            </w:tcBorders>
            <w:vAlign w:val="center"/>
          </w:tcPr>
          <w:p w14:paraId="612AC462" w14:textId="6E59E51C" w:rsidR="001126C6" w:rsidRPr="003A5820" w:rsidRDefault="00BC6B69" w:rsidP="00E80188">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The licence for the Spey catchment was issued in December and the beavers were released in late December</w:t>
            </w:r>
          </w:p>
        </w:tc>
        <w:tc>
          <w:tcPr>
            <w:tcW w:w="4646" w:type="dxa"/>
            <w:tcBorders>
              <w:bottom w:val="single" w:sz="4" w:space="0" w:color="548DD4" w:themeColor="text2" w:themeTint="99"/>
            </w:tcBorders>
            <w:vAlign w:val="center"/>
          </w:tcPr>
          <w:p w14:paraId="40BCBFFD" w14:textId="5E39C17F" w:rsidR="001126C6" w:rsidRPr="003A5820" w:rsidRDefault="00BC6B69" w:rsidP="00E80188">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The release of beavers took place in late December. The Beauly application has stalled but we are anticipating it, there have early discussions about a release in Abriachan</w:t>
            </w:r>
            <w:r w:rsidR="005B4B54">
              <w:rPr>
                <w:rFonts w:ascii="Calibri" w:hAnsi="Calibri" w:cs="Calibri"/>
                <w:color w:val="808080" w:themeColor="background1" w:themeShade="80"/>
                <w:sz w:val="19"/>
                <w:szCs w:val="19"/>
              </w:rPr>
              <w:t>.</w:t>
            </w:r>
          </w:p>
        </w:tc>
      </w:tr>
      <w:tr w:rsidR="00540A77" w:rsidRPr="0014395C" w14:paraId="1FBCF7F4" w14:textId="77777777" w:rsidTr="00567986">
        <w:trPr>
          <w:cantSplit/>
          <w:trHeight w:val="861"/>
          <w:tblHeader/>
          <w:jc w:val="center"/>
        </w:trPr>
        <w:tc>
          <w:tcPr>
            <w:tcW w:w="2024" w:type="dxa"/>
            <w:tcBorders>
              <w:bottom w:val="single" w:sz="4" w:space="0" w:color="548DD4" w:themeColor="text2" w:themeTint="99"/>
            </w:tcBorders>
            <w:vAlign w:val="center"/>
          </w:tcPr>
          <w:p w14:paraId="338AC7E1" w14:textId="77777777" w:rsidR="001126C6" w:rsidRPr="0014395C" w:rsidRDefault="00000000" w:rsidP="00E80188">
            <w:pPr>
              <w:spacing w:after="0"/>
              <w:jc w:val="center"/>
              <w:rPr>
                <w:rFonts w:ascii="Calibri" w:hAnsi="Calibri" w:cs="Calibri"/>
                <w:b/>
                <w:iCs/>
                <w:color w:val="808080" w:themeColor="background1" w:themeShade="80"/>
                <w:sz w:val="20"/>
                <w:szCs w:val="20"/>
              </w:rPr>
            </w:pPr>
            <w:hyperlink r:id="rId19" w:history="1">
              <w:r w:rsidR="001126C6" w:rsidRPr="0014395C">
                <w:rPr>
                  <w:rStyle w:val="Hyperlink"/>
                  <w:rFonts w:ascii="Calibri" w:hAnsi="Calibri" w:cs="Calibri"/>
                  <w:b/>
                  <w:iCs/>
                  <w:color w:val="808080" w:themeColor="background1" w:themeShade="80"/>
                  <w:sz w:val="20"/>
                  <w:szCs w:val="20"/>
                </w:rPr>
                <w:t>No. of successful resolutions to the mitigation requests</w:t>
              </w:r>
            </w:hyperlink>
          </w:p>
        </w:tc>
        <w:tc>
          <w:tcPr>
            <w:tcW w:w="3183" w:type="dxa"/>
            <w:tcBorders>
              <w:bottom w:val="single" w:sz="4" w:space="0" w:color="548DD4" w:themeColor="text2" w:themeTint="99"/>
            </w:tcBorders>
            <w:vAlign w:val="center"/>
          </w:tcPr>
          <w:p w14:paraId="6E22DDB3" w14:textId="77777777" w:rsidR="001126C6" w:rsidRPr="0014395C" w:rsidRDefault="001126C6" w:rsidP="00E80188">
            <w:pPr>
              <w:spacing w:after="0"/>
              <w:jc w:val="center"/>
              <w:rPr>
                <w:rFonts w:ascii="Calibri" w:hAnsi="Calibri" w:cs="Calibri"/>
                <w:b/>
                <w:color w:val="808080" w:themeColor="background1" w:themeShade="80"/>
                <w:sz w:val="20"/>
                <w:szCs w:val="20"/>
              </w:rPr>
            </w:pPr>
            <w:r w:rsidRPr="0014395C">
              <w:rPr>
                <w:rFonts w:ascii="Calibri" w:hAnsi="Calibri" w:cs="Calibri"/>
                <w:b/>
                <w:color w:val="808080" w:themeColor="background1" w:themeShade="80"/>
                <w:sz w:val="20"/>
                <w:szCs w:val="20"/>
              </w:rPr>
              <w:t>Not Ready to Report</w:t>
            </w:r>
          </w:p>
        </w:tc>
        <w:tc>
          <w:tcPr>
            <w:tcW w:w="1065" w:type="dxa"/>
            <w:tcBorders>
              <w:bottom w:val="single" w:sz="4" w:space="0" w:color="548DD4" w:themeColor="text2" w:themeTint="99"/>
            </w:tcBorders>
            <w:vAlign w:val="center"/>
          </w:tcPr>
          <w:p w14:paraId="4AA0097F" w14:textId="77777777" w:rsidR="001126C6" w:rsidRPr="005265DA" w:rsidRDefault="001126C6" w:rsidP="00E80188">
            <w:pPr>
              <w:spacing w:after="0"/>
              <w:jc w:val="center"/>
              <w:rPr>
                <w:rFonts w:ascii="Calibri" w:hAnsi="Calibri" w:cs="Calibri"/>
                <w:b/>
                <w:color w:val="808080" w:themeColor="background1" w:themeShade="80"/>
                <w:sz w:val="20"/>
                <w:szCs w:val="20"/>
              </w:rPr>
            </w:pPr>
          </w:p>
        </w:tc>
        <w:tc>
          <w:tcPr>
            <w:tcW w:w="5033" w:type="dxa"/>
            <w:tcBorders>
              <w:bottom w:val="single" w:sz="4" w:space="0" w:color="548DD4" w:themeColor="text2" w:themeTint="99"/>
            </w:tcBorders>
            <w:vAlign w:val="center"/>
          </w:tcPr>
          <w:p w14:paraId="78993582" w14:textId="762CD72A" w:rsidR="00A06BFC" w:rsidRPr="003A5820" w:rsidRDefault="00A06BFC" w:rsidP="00E80188">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 xml:space="preserve">Progress on this measure had stalled but the Beaver and Planning and Performance </w:t>
            </w:r>
            <w:r w:rsidR="006F3730" w:rsidRPr="003A5820">
              <w:rPr>
                <w:rFonts w:ascii="Calibri" w:hAnsi="Calibri" w:cs="Calibri"/>
                <w:color w:val="808080" w:themeColor="background1" w:themeShade="80"/>
                <w:sz w:val="19"/>
                <w:szCs w:val="19"/>
              </w:rPr>
              <w:t>t</w:t>
            </w:r>
            <w:r w:rsidRPr="003A5820">
              <w:rPr>
                <w:rFonts w:ascii="Calibri" w:hAnsi="Calibri" w:cs="Calibri"/>
                <w:color w:val="808080" w:themeColor="background1" w:themeShade="80"/>
                <w:sz w:val="19"/>
                <w:szCs w:val="19"/>
              </w:rPr>
              <w:t>eams will be meeting in Q4 to further develop this measure.</w:t>
            </w:r>
          </w:p>
        </w:tc>
        <w:tc>
          <w:tcPr>
            <w:tcW w:w="4646" w:type="dxa"/>
            <w:tcBorders>
              <w:bottom w:val="single" w:sz="4" w:space="0" w:color="548DD4" w:themeColor="text2" w:themeTint="99"/>
            </w:tcBorders>
            <w:vAlign w:val="center"/>
          </w:tcPr>
          <w:p w14:paraId="28A6BD68" w14:textId="69A724F2" w:rsidR="001126C6" w:rsidRPr="003A5820" w:rsidRDefault="001126C6" w:rsidP="00E80188">
            <w:pPr>
              <w:spacing w:after="0"/>
              <w:jc w:val="both"/>
              <w:rPr>
                <w:rFonts w:ascii="Calibri" w:hAnsi="Calibri" w:cs="Calibri"/>
                <w:color w:val="808080" w:themeColor="background1" w:themeShade="80"/>
                <w:sz w:val="19"/>
                <w:szCs w:val="19"/>
              </w:rPr>
            </w:pPr>
          </w:p>
        </w:tc>
      </w:tr>
      <w:tr w:rsidR="00540A77" w:rsidRPr="0014395C" w14:paraId="488F5C6E" w14:textId="77777777" w:rsidTr="00567986">
        <w:trPr>
          <w:cantSplit/>
          <w:trHeight w:val="1132"/>
          <w:tblHeader/>
          <w:jc w:val="center"/>
        </w:trPr>
        <w:tc>
          <w:tcPr>
            <w:tcW w:w="2024" w:type="dxa"/>
            <w:tcBorders>
              <w:bottom w:val="single" w:sz="4" w:space="0" w:color="548DD4" w:themeColor="text2" w:themeTint="99"/>
            </w:tcBorders>
            <w:vAlign w:val="center"/>
          </w:tcPr>
          <w:p w14:paraId="2F8115D2" w14:textId="77777777" w:rsidR="001126C6" w:rsidRPr="0014395C" w:rsidRDefault="00000000" w:rsidP="00E80188">
            <w:pPr>
              <w:spacing w:after="0"/>
              <w:jc w:val="center"/>
              <w:rPr>
                <w:rFonts w:ascii="Calibri" w:hAnsi="Calibri" w:cs="Calibri"/>
                <w:b/>
                <w:iCs/>
                <w:color w:val="808080" w:themeColor="background1" w:themeShade="80"/>
                <w:sz w:val="20"/>
                <w:szCs w:val="20"/>
              </w:rPr>
            </w:pPr>
            <w:hyperlink r:id="rId20" w:history="1">
              <w:r w:rsidR="001126C6" w:rsidRPr="0014395C">
                <w:rPr>
                  <w:rStyle w:val="Hyperlink"/>
                  <w:rFonts w:ascii="Calibri" w:hAnsi="Calibri" w:cs="Calibri"/>
                  <w:b/>
                  <w:iCs/>
                  <w:color w:val="808080" w:themeColor="background1" w:themeShade="80"/>
                  <w:sz w:val="20"/>
                  <w:szCs w:val="20"/>
                </w:rPr>
                <w:t xml:space="preserve">% of holding objections for formal planning applications </w:t>
              </w:r>
            </w:hyperlink>
          </w:p>
        </w:tc>
        <w:tc>
          <w:tcPr>
            <w:tcW w:w="3183" w:type="dxa"/>
            <w:tcBorders>
              <w:bottom w:val="single" w:sz="4" w:space="0" w:color="548DD4" w:themeColor="text2" w:themeTint="99"/>
            </w:tcBorders>
            <w:vAlign w:val="center"/>
          </w:tcPr>
          <w:p w14:paraId="062EEC63" w14:textId="35B6B23D" w:rsidR="001126C6" w:rsidRPr="0014395C" w:rsidRDefault="005265DA" w:rsidP="00E80188">
            <w:pPr>
              <w:spacing w:after="0"/>
              <w:jc w:val="both"/>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74D14326" wp14:editId="1700E0D9">
                  <wp:extent cx="2032000" cy="669403"/>
                  <wp:effectExtent l="0" t="0" r="6350" b="0"/>
                  <wp:docPr id="19377699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3123" cy="682950"/>
                          </a:xfrm>
                          <a:prstGeom prst="rect">
                            <a:avLst/>
                          </a:prstGeom>
                          <a:noFill/>
                        </pic:spPr>
                      </pic:pic>
                    </a:graphicData>
                  </a:graphic>
                </wp:inline>
              </w:drawing>
            </w:r>
          </w:p>
        </w:tc>
        <w:tc>
          <w:tcPr>
            <w:tcW w:w="1065" w:type="dxa"/>
            <w:tcBorders>
              <w:bottom w:val="single" w:sz="4" w:space="0" w:color="548DD4" w:themeColor="text2" w:themeTint="99"/>
            </w:tcBorders>
            <w:vAlign w:val="center"/>
          </w:tcPr>
          <w:p w14:paraId="512F564C" w14:textId="08400D02" w:rsidR="001126C6" w:rsidRPr="005265DA" w:rsidRDefault="00C82B75" w:rsidP="00E80188">
            <w:pPr>
              <w:spacing w:after="0"/>
              <w:jc w:val="center"/>
              <w:rPr>
                <w:rFonts w:ascii="Calibri" w:hAnsi="Calibri" w:cs="Calibri"/>
                <w:b/>
                <w:color w:val="808080" w:themeColor="background1" w:themeShade="80"/>
                <w:sz w:val="20"/>
                <w:szCs w:val="20"/>
              </w:rPr>
            </w:pPr>
            <w:r w:rsidRPr="005265DA">
              <w:rPr>
                <w:rFonts w:ascii="Calibri" w:hAnsi="Calibri" w:cs="Calibri"/>
                <w:b/>
                <w:color w:val="808080" w:themeColor="background1" w:themeShade="80"/>
                <w:sz w:val="20"/>
                <w:szCs w:val="20"/>
              </w:rPr>
              <w:t>24.7</w:t>
            </w:r>
            <w:r w:rsidR="001126C6" w:rsidRPr="005265DA">
              <w:rPr>
                <w:rFonts w:ascii="Calibri" w:hAnsi="Calibri" w:cs="Calibri"/>
                <w:b/>
                <w:color w:val="808080" w:themeColor="background1" w:themeShade="80"/>
                <w:sz w:val="20"/>
                <w:szCs w:val="20"/>
              </w:rPr>
              <w:t>%</w:t>
            </w:r>
          </w:p>
        </w:tc>
        <w:tc>
          <w:tcPr>
            <w:tcW w:w="5033" w:type="dxa"/>
            <w:tcBorders>
              <w:bottom w:val="single" w:sz="4" w:space="0" w:color="548DD4" w:themeColor="text2" w:themeTint="99"/>
            </w:tcBorders>
            <w:vAlign w:val="center"/>
          </w:tcPr>
          <w:p w14:paraId="200E94A0" w14:textId="467F8413" w:rsidR="001126C6" w:rsidRPr="003A5820" w:rsidRDefault="005265DA" w:rsidP="00E80188">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There has been a</w:t>
            </w:r>
            <w:r w:rsidR="00C82B75" w:rsidRPr="003A5820">
              <w:rPr>
                <w:rFonts w:ascii="Calibri" w:hAnsi="Calibri" w:cs="Calibri"/>
                <w:color w:val="808080" w:themeColor="background1" w:themeShade="80"/>
                <w:sz w:val="19"/>
                <w:szCs w:val="19"/>
              </w:rPr>
              <w:t xml:space="preserve"> large increase in the number of holding objections in Q3 (4-5x the norm). </w:t>
            </w:r>
            <w:r w:rsidRPr="003A5820">
              <w:rPr>
                <w:rFonts w:ascii="Calibri" w:hAnsi="Calibri" w:cs="Calibri"/>
                <w:color w:val="808080" w:themeColor="background1" w:themeShade="80"/>
                <w:sz w:val="19"/>
                <w:szCs w:val="19"/>
              </w:rPr>
              <w:t>This is p</w:t>
            </w:r>
            <w:r w:rsidR="00C82B75" w:rsidRPr="003A5820">
              <w:rPr>
                <w:rFonts w:ascii="Calibri" w:hAnsi="Calibri" w:cs="Calibri"/>
                <w:color w:val="808080" w:themeColor="background1" w:themeShade="80"/>
                <w:sz w:val="19"/>
                <w:szCs w:val="19"/>
              </w:rPr>
              <w:t xml:space="preserve">artly </w:t>
            </w:r>
            <w:r w:rsidRPr="003A5820">
              <w:rPr>
                <w:rFonts w:ascii="Calibri" w:hAnsi="Calibri" w:cs="Calibri"/>
                <w:color w:val="808080" w:themeColor="background1" w:themeShade="80"/>
                <w:sz w:val="19"/>
                <w:szCs w:val="19"/>
              </w:rPr>
              <w:t>because of</w:t>
            </w:r>
            <w:r w:rsidR="00C82B75" w:rsidRPr="003A5820">
              <w:rPr>
                <w:rFonts w:ascii="Calibri" w:hAnsi="Calibri" w:cs="Calibri"/>
                <w:color w:val="808080" w:themeColor="background1" w:themeShade="80"/>
                <w:sz w:val="19"/>
                <w:szCs w:val="19"/>
              </w:rPr>
              <w:t xml:space="preserve"> the growing number of Shared Rural Network</w:t>
            </w:r>
            <w:r w:rsidRPr="003A5820">
              <w:rPr>
                <w:rFonts w:ascii="Calibri" w:hAnsi="Calibri" w:cs="Calibri"/>
                <w:color w:val="808080" w:themeColor="background1" w:themeShade="80"/>
                <w:sz w:val="19"/>
                <w:szCs w:val="19"/>
              </w:rPr>
              <w:t xml:space="preserve"> (SRN)</w:t>
            </w:r>
            <w:r w:rsidR="00C82B75" w:rsidRPr="003A5820">
              <w:rPr>
                <w:rFonts w:ascii="Calibri" w:hAnsi="Calibri" w:cs="Calibri"/>
                <w:color w:val="808080" w:themeColor="background1" w:themeShade="80"/>
                <w:sz w:val="19"/>
                <w:szCs w:val="19"/>
              </w:rPr>
              <w:t xml:space="preserve"> mast applications being submitted with insufficient information (11 out of the 29 holding objections).</w:t>
            </w:r>
          </w:p>
        </w:tc>
        <w:tc>
          <w:tcPr>
            <w:tcW w:w="4646" w:type="dxa"/>
            <w:tcBorders>
              <w:bottom w:val="single" w:sz="4" w:space="0" w:color="548DD4" w:themeColor="text2" w:themeTint="99"/>
            </w:tcBorders>
            <w:vAlign w:val="center"/>
          </w:tcPr>
          <w:p w14:paraId="6A6890FE" w14:textId="09365B6E" w:rsidR="001126C6" w:rsidRPr="003A5820" w:rsidRDefault="005265DA" w:rsidP="00E80188">
            <w:pPr>
              <w:spacing w:after="0"/>
              <w:jc w:val="both"/>
              <w:rPr>
                <w:rFonts w:ascii="Calibri" w:hAnsi="Calibri" w:cs="Calibri"/>
                <w:color w:val="808080" w:themeColor="background1" w:themeShade="80"/>
                <w:sz w:val="19"/>
                <w:szCs w:val="19"/>
              </w:rPr>
            </w:pPr>
            <w:r w:rsidRPr="003A5820">
              <w:rPr>
                <w:rFonts w:ascii="Calibri" w:hAnsi="Calibri" w:cs="Calibri"/>
                <w:color w:val="808080" w:themeColor="background1" w:themeShade="80"/>
                <w:sz w:val="19"/>
                <w:szCs w:val="19"/>
              </w:rPr>
              <w:t>We are h</w:t>
            </w:r>
            <w:r w:rsidR="00C82B75" w:rsidRPr="003A5820">
              <w:rPr>
                <w:rFonts w:ascii="Calibri" w:hAnsi="Calibri" w:cs="Calibri"/>
                <w:color w:val="808080" w:themeColor="background1" w:themeShade="80"/>
                <w:sz w:val="19"/>
                <w:szCs w:val="19"/>
              </w:rPr>
              <w:t xml:space="preserve">oping to see an improvement as result of ongoing liaison with SRN programme coordinators. But there was still a doubling of the number of holding objections that we have come to expect from all other types of development - something to </w:t>
            </w:r>
            <w:r w:rsidRPr="003A5820">
              <w:rPr>
                <w:rFonts w:ascii="Calibri" w:hAnsi="Calibri" w:cs="Calibri"/>
                <w:color w:val="808080" w:themeColor="background1" w:themeShade="80"/>
                <w:sz w:val="19"/>
                <w:szCs w:val="19"/>
              </w:rPr>
              <w:t>investigate</w:t>
            </w:r>
            <w:r w:rsidR="00C82B75" w:rsidRPr="003A5820">
              <w:rPr>
                <w:rFonts w:ascii="Calibri" w:hAnsi="Calibri" w:cs="Calibri"/>
                <w:color w:val="808080" w:themeColor="background1" w:themeShade="80"/>
                <w:sz w:val="19"/>
                <w:szCs w:val="19"/>
              </w:rPr>
              <w:t xml:space="preserve"> if a trend emerges.</w:t>
            </w:r>
          </w:p>
        </w:tc>
      </w:tr>
    </w:tbl>
    <w:p w14:paraId="6EEFCAA6" w14:textId="07A22E97"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WE HAVE PROTECTED NATURE</w:t>
      </w:r>
    </w:p>
    <w:tbl>
      <w:tblPr>
        <w:tblW w:w="15451" w:type="dxa"/>
        <w:jc w:val="center"/>
        <w:tblLayout w:type="fixed"/>
        <w:tblLook w:val="04A0" w:firstRow="1" w:lastRow="0" w:firstColumn="1" w:lastColumn="0" w:noHBand="0" w:noVBand="1"/>
      </w:tblPr>
      <w:tblGrid>
        <w:gridCol w:w="2268"/>
        <w:gridCol w:w="3119"/>
        <w:gridCol w:w="992"/>
        <w:gridCol w:w="4961"/>
        <w:gridCol w:w="4111"/>
      </w:tblGrid>
      <w:tr w:rsidR="004914EA" w:rsidRPr="0014395C" w14:paraId="2D15FDE9" w14:textId="77777777" w:rsidTr="003A5820">
        <w:trPr>
          <w:tblHeader/>
          <w:jc w:val="center"/>
        </w:trPr>
        <w:tc>
          <w:tcPr>
            <w:tcW w:w="2268" w:type="dxa"/>
            <w:tcBorders>
              <w:bottom w:val="single" w:sz="4" w:space="0" w:color="548DD4" w:themeColor="text2" w:themeTint="99"/>
            </w:tcBorders>
          </w:tcPr>
          <w:p w14:paraId="6DF4F948" w14:textId="77777777" w:rsidR="004914EA" w:rsidRPr="0014395C" w:rsidRDefault="004914EA" w:rsidP="003753A7">
            <w:pPr>
              <w:spacing w:after="0"/>
              <w:jc w:val="center"/>
              <w:rPr>
                <w:rFonts w:ascii="Calibri" w:hAnsi="Calibri" w:cs="Calibri"/>
                <w:b/>
              </w:rPr>
            </w:pPr>
            <w:r w:rsidRPr="0014395C">
              <w:rPr>
                <w:rFonts w:ascii="Calibri" w:hAnsi="Calibri" w:cs="Calibri"/>
                <w:b/>
              </w:rPr>
              <w:t>Measure</w:t>
            </w:r>
          </w:p>
        </w:tc>
        <w:tc>
          <w:tcPr>
            <w:tcW w:w="3119" w:type="dxa"/>
            <w:tcBorders>
              <w:bottom w:val="single" w:sz="4" w:space="0" w:color="548DD4" w:themeColor="text2" w:themeTint="99"/>
            </w:tcBorders>
          </w:tcPr>
          <w:p w14:paraId="6A0C2C1A" w14:textId="77777777" w:rsidR="004914EA" w:rsidRPr="0014395C" w:rsidRDefault="004914EA" w:rsidP="003753A7">
            <w:pPr>
              <w:spacing w:after="0"/>
              <w:jc w:val="center"/>
              <w:rPr>
                <w:rFonts w:ascii="Calibri" w:hAnsi="Calibri" w:cs="Calibri"/>
                <w:b/>
              </w:rPr>
            </w:pPr>
            <w:r w:rsidRPr="0014395C">
              <w:rPr>
                <w:rFonts w:ascii="Calibri" w:hAnsi="Calibri" w:cs="Calibri"/>
                <w:b/>
              </w:rPr>
              <w:t>Performance Overview</w:t>
            </w:r>
          </w:p>
        </w:tc>
        <w:tc>
          <w:tcPr>
            <w:tcW w:w="992" w:type="dxa"/>
            <w:tcBorders>
              <w:bottom w:val="single" w:sz="4" w:space="0" w:color="548DD4" w:themeColor="text2" w:themeTint="99"/>
            </w:tcBorders>
          </w:tcPr>
          <w:p w14:paraId="7004CDB7" w14:textId="77777777" w:rsidR="004914EA" w:rsidRPr="0014395C" w:rsidRDefault="004914EA" w:rsidP="003753A7">
            <w:pPr>
              <w:spacing w:after="0"/>
              <w:jc w:val="center"/>
              <w:rPr>
                <w:rFonts w:ascii="Calibri" w:hAnsi="Calibri" w:cs="Calibri"/>
                <w:b/>
              </w:rPr>
            </w:pPr>
            <w:r w:rsidRPr="0014395C">
              <w:rPr>
                <w:rFonts w:ascii="Calibri" w:hAnsi="Calibri" w:cs="Calibri"/>
                <w:b/>
              </w:rPr>
              <w:t>Actual</w:t>
            </w:r>
          </w:p>
        </w:tc>
        <w:tc>
          <w:tcPr>
            <w:tcW w:w="4961" w:type="dxa"/>
            <w:tcBorders>
              <w:bottom w:val="single" w:sz="4" w:space="0" w:color="548DD4" w:themeColor="text2" w:themeTint="99"/>
            </w:tcBorders>
          </w:tcPr>
          <w:p w14:paraId="0354D162"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4111" w:type="dxa"/>
            <w:tcBorders>
              <w:bottom w:val="single" w:sz="4" w:space="0" w:color="548DD4" w:themeColor="text2" w:themeTint="99"/>
            </w:tcBorders>
          </w:tcPr>
          <w:p w14:paraId="67F13F4B" w14:textId="77777777" w:rsidR="004914EA" w:rsidRPr="0014395C" w:rsidRDefault="004914EA" w:rsidP="004F3330">
            <w:pPr>
              <w:spacing w:after="0"/>
              <w:jc w:val="center"/>
              <w:rPr>
                <w:rFonts w:ascii="Calibri" w:hAnsi="Calibri" w:cs="Calibri"/>
                <w:b/>
              </w:rPr>
            </w:pPr>
            <w:r w:rsidRPr="0014395C">
              <w:rPr>
                <w:rFonts w:ascii="Calibri" w:hAnsi="Calibri" w:cs="Calibri"/>
                <w:b/>
              </w:rPr>
              <w:t>Response</w:t>
            </w:r>
          </w:p>
        </w:tc>
      </w:tr>
      <w:tr w:rsidR="004914EA" w:rsidRPr="0014395C" w14:paraId="68CE47DF" w14:textId="77777777" w:rsidTr="003A5820">
        <w:trPr>
          <w:trHeight w:hRule="exact" w:val="1485"/>
          <w:jc w:val="center"/>
        </w:trPr>
        <w:tc>
          <w:tcPr>
            <w:tcW w:w="2268" w:type="dxa"/>
            <w:tcBorders>
              <w:top w:val="single" w:sz="4" w:space="0" w:color="548DD4" w:themeColor="text2" w:themeTint="99"/>
              <w:bottom w:val="single" w:sz="4" w:space="0" w:color="548DD4" w:themeColor="text2" w:themeTint="99"/>
            </w:tcBorders>
            <w:vAlign w:val="center"/>
          </w:tcPr>
          <w:p w14:paraId="759BB6DD" w14:textId="565C4FFB" w:rsidR="004914EA" w:rsidRPr="0014395C" w:rsidRDefault="00000000" w:rsidP="003753A7">
            <w:pPr>
              <w:spacing w:after="0"/>
              <w:jc w:val="center"/>
              <w:rPr>
                <w:rFonts w:ascii="Calibri" w:hAnsi="Calibri" w:cs="Calibri"/>
                <w:b/>
                <w:iCs/>
                <w:color w:val="808080" w:themeColor="background1" w:themeShade="80"/>
                <w:sz w:val="20"/>
                <w:szCs w:val="20"/>
              </w:rPr>
            </w:pPr>
            <w:hyperlink r:id="rId22" w:history="1">
              <w:r w:rsidR="004914EA" w:rsidRPr="0014395C">
                <w:rPr>
                  <w:rStyle w:val="Hyperlink"/>
                  <w:rFonts w:ascii="Calibri" w:hAnsi="Calibri" w:cs="Calibri"/>
                  <w:b/>
                  <w:iCs/>
                  <w:color w:val="808080" w:themeColor="background1" w:themeShade="80"/>
                  <w:sz w:val="20"/>
                  <w:szCs w:val="20"/>
                </w:rPr>
                <w:t>No. of individual farm businesses that have completed a biodiversity audit</w:t>
              </w:r>
            </w:hyperlink>
          </w:p>
        </w:tc>
        <w:tc>
          <w:tcPr>
            <w:tcW w:w="3119" w:type="dxa"/>
            <w:tcBorders>
              <w:top w:val="single" w:sz="4" w:space="0" w:color="548DD4" w:themeColor="text2" w:themeTint="99"/>
              <w:bottom w:val="single" w:sz="4" w:space="0" w:color="548DD4" w:themeColor="text2" w:themeTint="99"/>
            </w:tcBorders>
            <w:vAlign w:val="center"/>
          </w:tcPr>
          <w:p w14:paraId="71C344CD" w14:textId="33DD2E27" w:rsidR="004914EA" w:rsidRPr="0014395C" w:rsidRDefault="00B20BE7" w:rsidP="00371D9E">
            <w:pPr>
              <w:spacing w:after="0"/>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1B570258" wp14:editId="60B1CF6F">
                  <wp:extent cx="1924493" cy="568285"/>
                  <wp:effectExtent l="0" t="0" r="0" b="3810"/>
                  <wp:docPr id="20637667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2887" cy="573717"/>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6B336AE0" w14:textId="4E285F3C" w:rsidR="004914EA" w:rsidRPr="0014395C" w:rsidRDefault="00895786" w:rsidP="003753A7">
            <w:pPr>
              <w:spacing w:after="0"/>
              <w:jc w:val="center"/>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72</w:t>
            </w:r>
          </w:p>
        </w:tc>
        <w:tc>
          <w:tcPr>
            <w:tcW w:w="4961" w:type="dxa"/>
            <w:tcBorders>
              <w:top w:val="single" w:sz="4" w:space="0" w:color="548DD4" w:themeColor="text2" w:themeTint="99"/>
              <w:bottom w:val="single" w:sz="4" w:space="0" w:color="548DD4" w:themeColor="text2" w:themeTint="99"/>
            </w:tcBorders>
            <w:vAlign w:val="center"/>
          </w:tcPr>
          <w:p w14:paraId="2E97FDB3" w14:textId="5422B18C" w:rsidR="004914EA" w:rsidRPr="0014395C" w:rsidRDefault="00080412" w:rsidP="004F3330">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 xml:space="preserve">72 individual farm businesses completed a Biodiversity Audit this quarter. </w:t>
            </w:r>
            <w:r w:rsidR="00895786" w:rsidRPr="0014395C">
              <w:rPr>
                <w:rFonts w:ascii="Calibri" w:hAnsi="Calibri" w:cs="Calibri"/>
                <w:color w:val="808080" w:themeColor="background1" w:themeShade="80"/>
                <w:sz w:val="20"/>
                <w:szCs w:val="20"/>
              </w:rPr>
              <w:t xml:space="preserve">64 </w:t>
            </w:r>
            <w:r>
              <w:rPr>
                <w:rFonts w:ascii="Calibri" w:hAnsi="Calibri" w:cs="Calibri"/>
                <w:color w:val="808080" w:themeColor="background1" w:themeShade="80"/>
                <w:sz w:val="20"/>
                <w:szCs w:val="20"/>
              </w:rPr>
              <w:t>through NatureScot</w:t>
            </w:r>
            <w:r w:rsidR="00895786" w:rsidRPr="0014395C">
              <w:rPr>
                <w:rFonts w:ascii="Calibri" w:hAnsi="Calibri" w:cs="Calibri"/>
                <w:color w:val="808080" w:themeColor="background1" w:themeShade="80"/>
                <w:sz w:val="20"/>
                <w:szCs w:val="20"/>
              </w:rPr>
              <w:t xml:space="preserve"> M</w:t>
            </w:r>
            <w:r>
              <w:rPr>
                <w:rFonts w:ascii="Calibri" w:hAnsi="Calibri" w:cs="Calibri"/>
                <w:color w:val="808080" w:themeColor="background1" w:themeShade="80"/>
                <w:sz w:val="20"/>
                <w:szCs w:val="20"/>
              </w:rPr>
              <w:t xml:space="preserve">anagement </w:t>
            </w:r>
            <w:r w:rsidR="00895786" w:rsidRPr="0014395C">
              <w:rPr>
                <w:rFonts w:ascii="Calibri" w:hAnsi="Calibri" w:cs="Calibri"/>
                <w:color w:val="808080" w:themeColor="background1" w:themeShade="80"/>
                <w:sz w:val="20"/>
                <w:szCs w:val="20"/>
              </w:rPr>
              <w:t>A</w:t>
            </w:r>
            <w:r>
              <w:rPr>
                <w:rFonts w:ascii="Calibri" w:hAnsi="Calibri" w:cs="Calibri"/>
                <w:color w:val="808080" w:themeColor="background1" w:themeShade="80"/>
                <w:sz w:val="20"/>
                <w:szCs w:val="20"/>
              </w:rPr>
              <w:t>greement</w:t>
            </w:r>
            <w:r w:rsidR="00895786" w:rsidRPr="0014395C">
              <w:rPr>
                <w:rFonts w:ascii="Calibri" w:hAnsi="Calibri" w:cs="Calibri"/>
                <w:color w:val="808080" w:themeColor="background1" w:themeShade="80"/>
                <w:sz w:val="20"/>
                <w:szCs w:val="20"/>
              </w:rPr>
              <w:t xml:space="preserve">’s and there are an additional 8 with </w:t>
            </w:r>
            <w:r>
              <w:rPr>
                <w:rFonts w:ascii="Calibri" w:hAnsi="Calibri" w:cs="Calibri"/>
                <w:color w:val="808080" w:themeColor="background1" w:themeShade="80"/>
                <w:sz w:val="20"/>
                <w:szCs w:val="20"/>
              </w:rPr>
              <w:t>Game and Wildlife Conservation Trust</w:t>
            </w:r>
            <w:r w:rsidR="00895786" w:rsidRPr="0014395C">
              <w:rPr>
                <w:rFonts w:ascii="Calibri" w:hAnsi="Calibri" w:cs="Calibri"/>
                <w:color w:val="808080" w:themeColor="background1" w:themeShade="80"/>
                <w:sz w:val="20"/>
                <w:szCs w:val="20"/>
              </w:rPr>
              <w:t>.</w:t>
            </w:r>
          </w:p>
        </w:tc>
        <w:tc>
          <w:tcPr>
            <w:tcW w:w="4111" w:type="dxa"/>
            <w:tcBorders>
              <w:top w:val="single" w:sz="4" w:space="0" w:color="548DD4" w:themeColor="text2" w:themeTint="99"/>
              <w:bottom w:val="single" w:sz="4" w:space="0" w:color="548DD4" w:themeColor="text2" w:themeTint="99"/>
            </w:tcBorders>
            <w:vAlign w:val="center"/>
          </w:tcPr>
          <w:p w14:paraId="17EC8C47" w14:textId="54460FD1" w:rsidR="004914EA" w:rsidRPr="0014395C" w:rsidRDefault="00895786"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The NatureScot Biodiversity Audit is still in its development phase so it's difficult to make forward predictions just now.</w:t>
            </w:r>
          </w:p>
        </w:tc>
      </w:tr>
      <w:tr w:rsidR="00A15D6F" w:rsidRPr="0014395C" w14:paraId="6975E74A" w14:textId="77777777" w:rsidTr="003A5820">
        <w:trPr>
          <w:trHeight w:hRule="exact" w:val="1416"/>
          <w:jc w:val="center"/>
        </w:trPr>
        <w:tc>
          <w:tcPr>
            <w:tcW w:w="2268" w:type="dxa"/>
            <w:tcBorders>
              <w:top w:val="single" w:sz="4" w:space="0" w:color="548DD4" w:themeColor="text2" w:themeTint="99"/>
              <w:bottom w:val="single" w:sz="4" w:space="0" w:color="548DD4" w:themeColor="text2" w:themeTint="99"/>
            </w:tcBorders>
            <w:vAlign w:val="center"/>
          </w:tcPr>
          <w:p w14:paraId="6AB37EFB" w14:textId="71651CF8" w:rsidR="004914EA" w:rsidRPr="0014395C" w:rsidRDefault="00000000" w:rsidP="003753A7">
            <w:pPr>
              <w:spacing w:after="0"/>
              <w:jc w:val="center"/>
              <w:rPr>
                <w:rFonts w:ascii="Calibri" w:hAnsi="Calibri" w:cs="Calibri"/>
                <w:b/>
                <w:iCs/>
                <w:color w:val="808080" w:themeColor="background1" w:themeShade="80"/>
                <w:sz w:val="20"/>
                <w:szCs w:val="20"/>
              </w:rPr>
            </w:pPr>
            <w:hyperlink r:id="rId24" w:history="1">
              <w:r w:rsidR="004914EA" w:rsidRPr="0014395C">
                <w:rPr>
                  <w:rStyle w:val="Hyperlink"/>
                  <w:rFonts w:ascii="Calibri" w:hAnsi="Calibri" w:cs="Calibri"/>
                  <w:b/>
                  <w:iCs/>
                  <w:color w:val="808080" w:themeColor="background1" w:themeShade="80"/>
                  <w:sz w:val="20"/>
                  <w:szCs w:val="20"/>
                </w:rPr>
                <w:t>No. of marine renewable energy consultations we provide advice on avoiding impacts on nature</w:t>
              </w:r>
            </w:hyperlink>
          </w:p>
        </w:tc>
        <w:tc>
          <w:tcPr>
            <w:tcW w:w="3119" w:type="dxa"/>
            <w:tcBorders>
              <w:top w:val="single" w:sz="4" w:space="0" w:color="548DD4" w:themeColor="text2" w:themeTint="99"/>
              <w:bottom w:val="single" w:sz="4" w:space="0" w:color="548DD4" w:themeColor="text2" w:themeTint="99"/>
            </w:tcBorders>
            <w:vAlign w:val="center"/>
          </w:tcPr>
          <w:p w14:paraId="031B4BB6" w14:textId="7FB33FB3" w:rsidR="004914EA" w:rsidRPr="0014395C" w:rsidRDefault="004E4A88" w:rsidP="00087704">
            <w:pPr>
              <w:spacing w:after="0"/>
              <w:rPr>
                <w:rFonts w:ascii="Calibri" w:hAnsi="Calibri" w:cs="Calibri"/>
                <w:noProof/>
                <w:color w:val="808080" w:themeColor="background1" w:themeShade="80"/>
                <w:sz w:val="20"/>
                <w:szCs w:val="20"/>
                <w:lang w:eastAsia="en-GB"/>
              </w:rPr>
            </w:pPr>
            <w:r>
              <w:rPr>
                <w:rFonts w:ascii="Calibri" w:hAnsi="Calibri" w:cs="Calibri"/>
                <w:noProof/>
                <w:color w:val="808080" w:themeColor="background1" w:themeShade="80"/>
                <w:sz w:val="20"/>
                <w:szCs w:val="20"/>
                <w:lang w:eastAsia="en-GB"/>
              </w:rPr>
              <w:drawing>
                <wp:inline distT="0" distB="0" distL="0" distR="0" wp14:anchorId="4EFC43DA" wp14:editId="4AAE71C1">
                  <wp:extent cx="1944552" cy="669851"/>
                  <wp:effectExtent l="0" t="0" r="0" b="0"/>
                  <wp:docPr id="17766369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6043" cy="673809"/>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9344781" w14:textId="2EB4675E" w:rsidR="004914EA" w:rsidRPr="0014395C" w:rsidRDefault="00087704" w:rsidP="003753A7">
            <w:pPr>
              <w:spacing w:after="0"/>
              <w:jc w:val="center"/>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92</w:t>
            </w:r>
          </w:p>
        </w:tc>
        <w:tc>
          <w:tcPr>
            <w:tcW w:w="4961" w:type="dxa"/>
            <w:tcBorders>
              <w:top w:val="single" w:sz="4" w:space="0" w:color="548DD4" w:themeColor="text2" w:themeTint="99"/>
              <w:bottom w:val="single" w:sz="4" w:space="0" w:color="548DD4" w:themeColor="text2" w:themeTint="99"/>
            </w:tcBorders>
            <w:vAlign w:val="center"/>
          </w:tcPr>
          <w:p w14:paraId="75A7F727" w14:textId="48E8AF44" w:rsidR="004914EA" w:rsidRPr="0014395C" w:rsidRDefault="00087704"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Includes the following significant consultation responses issued: Berwick Bank s36 additional information, West of Orkney s36 application, Pentland s36 variation, Spiorad na Mara Scoping, Nova Sound of Islay Scoping.</w:t>
            </w:r>
          </w:p>
        </w:tc>
        <w:tc>
          <w:tcPr>
            <w:tcW w:w="4111" w:type="dxa"/>
            <w:tcBorders>
              <w:top w:val="single" w:sz="4" w:space="0" w:color="548DD4" w:themeColor="text2" w:themeTint="99"/>
              <w:bottom w:val="single" w:sz="4" w:space="0" w:color="548DD4" w:themeColor="text2" w:themeTint="99"/>
            </w:tcBorders>
            <w:vAlign w:val="center"/>
          </w:tcPr>
          <w:p w14:paraId="47C19B76" w14:textId="3C082466" w:rsidR="004914EA" w:rsidRPr="0014395C" w:rsidRDefault="00087704" w:rsidP="004E4A88">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Appointed two new trainee C-grade marine ornithologists.</w:t>
            </w:r>
            <w:r w:rsidR="004E4A88">
              <w:rPr>
                <w:rFonts w:ascii="Calibri" w:hAnsi="Calibri" w:cs="Calibri"/>
                <w:color w:val="808080" w:themeColor="background1" w:themeShade="80"/>
                <w:sz w:val="20"/>
                <w:szCs w:val="20"/>
              </w:rPr>
              <w:t xml:space="preserve"> </w:t>
            </w:r>
            <w:r w:rsidRPr="0014395C">
              <w:rPr>
                <w:rFonts w:ascii="Calibri" w:hAnsi="Calibri" w:cs="Calibri"/>
                <w:color w:val="808080" w:themeColor="background1" w:themeShade="80"/>
                <w:sz w:val="20"/>
                <w:szCs w:val="20"/>
              </w:rPr>
              <w:t>December budget has included additional monies to support Marine Energy staff resources from April 2024.</w:t>
            </w:r>
          </w:p>
        </w:tc>
      </w:tr>
      <w:tr w:rsidR="00A15D6F" w:rsidRPr="0014395C" w14:paraId="327CCC74" w14:textId="77777777" w:rsidTr="003A5820">
        <w:trPr>
          <w:trHeight w:hRule="exact" w:val="1427"/>
          <w:jc w:val="center"/>
        </w:trPr>
        <w:tc>
          <w:tcPr>
            <w:tcW w:w="2268" w:type="dxa"/>
            <w:tcBorders>
              <w:top w:val="single" w:sz="4" w:space="0" w:color="548DD4" w:themeColor="text2" w:themeTint="99"/>
              <w:bottom w:val="single" w:sz="4" w:space="0" w:color="548DD4" w:themeColor="text2" w:themeTint="99"/>
            </w:tcBorders>
            <w:vAlign w:val="center"/>
          </w:tcPr>
          <w:p w14:paraId="1BEE0319" w14:textId="2B99A748" w:rsidR="004914EA" w:rsidRPr="0014395C" w:rsidRDefault="00000000" w:rsidP="003753A7">
            <w:pPr>
              <w:spacing w:after="0"/>
              <w:jc w:val="center"/>
              <w:rPr>
                <w:rFonts w:ascii="Calibri" w:hAnsi="Calibri" w:cs="Calibri"/>
                <w:b/>
                <w:iCs/>
                <w:color w:val="808080" w:themeColor="background1" w:themeShade="80"/>
                <w:sz w:val="20"/>
                <w:szCs w:val="20"/>
              </w:rPr>
            </w:pPr>
            <w:hyperlink r:id="rId26" w:history="1">
              <w:r w:rsidR="004914EA" w:rsidRPr="0014395C">
                <w:rPr>
                  <w:rStyle w:val="Hyperlink"/>
                  <w:rFonts w:ascii="Calibri" w:hAnsi="Calibri" w:cs="Calibri"/>
                  <w:b/>
                  <w:iCs/>
                  <w:color w:val="808080" w:themeColor="background1" w:themeShade="80"/>
                  <w:sz w:val="20"/>
                  <w:szCs w:val="20"/>
                </w:rPr>
                <w:t xml:space="preserve">NatureScot is in partnership with new </w:t>
              </w:r>
            </w:hyperlink>
            <w:r w:rsidR="00B20645" w:rsidRPr="0014395C">
              <w:rPr>
                <w:rStyle w:val="Hyperlink"/>
                <w:rFonts w:ascii="Calibri" w:hAnsi="Calibri" w:cs="Calibri"/>
                <w:b/>
                <w:iCs/>
                <w:color w:val="808080" w:themeColor="background1" w:themeShade="80"/>
                <w:sz w:val="20"/>
                <w:szCs w:val="20"/>
              </w:rPr>
              <w:t>recipients</w:t>
            </w:r>
          </w:p>
        </w:tc>
        <w:tc>
          <w:tcPr>
            <w:tcW w:w="3119" w:type="dxa"/>
            <w:tcBorders>
              <w:top w:val="single" w:sz="4" w:space="0" w:color="548DD4" w:themeColor="text2" w:themeTint="99"/>
              <w:bottom w:val="single" w:sz="4" w:space="0" w:color="548DD4" w:themeColor="text2" w:themeTint="99"/>
            </w:tcBorders>
            <w:vAlign w:val="center"/>
          </w:tcPr>
          <w:p w14:paraId="14F99147" w14:textId="4E94E436" w:rsidR="004914EA" w:rsidRPr="0014395C" w:rsidRDefault="00506AFE" w:rsidP="003753A7">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59596473" wp14:editId="258085AC">
                  <wp:extent cx="2603500" cy="835025"/>
                  <wp:effectExtent l="0" t="0" r="6350" b="3175"/>
                  <wp:docPr id="4589820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03500" cy="835025"/>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547174D" w14:textId="79DF56A4" w:rsidR="004914EA" w:rsidRPr="0014395C" w:rsidRDefault="005E5068" w:rsidP="003753A7">
            <w:pPr>
              <w:spacing w:after="0"/>
              <w:jc w:val="center"/>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 xml:space="preserve">2 </w:t>
            </w:r>
          </w:p>
        </w:tc>
        <w:tc>
          <w:tcPr>
            <w:tcW w:w="4961" w:type="dxa"/>
            <w:tcBorders>
              <w:top w:val="single" w:sz="4" w:space="0" w:color="548DD4" w:themeColor="text2" w:themeTint="99"/>
              <w:bottom w:val="single" w:sz="4" w:space="0" w:color="548DD4" w:themeColor="text2" w:themeTint="99"/>
            </w:tcBorders>
            <w:vAlign w:val="center"/>
          </w:tcPr>
          <w:p w14:paraId="54C3B7DB" w14:textId="57E91C92" w:rsidR="00506AFE" w:rsidRPr="0014395C" w:rsidRDefault="005E5068" w:rsidP="00506AFE">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2 new recipients of NRF funding (out of 5 new grants) - both Helping Nature.</w:t>
            </w:r>
            <w:r w:rsidR="00506AFE" w:rsidRPr="0014395C">
              <w:rPr>
                <w:rFonts w:ascii="Calibri" w:hAnsi="Calibri" w:cs="Calibri"/>
                <w:color w:val="808080" w:themeColor="background1" w:themeShade="80"/>
                <w:sz w:val="20"/>
                <w:szCs w:val="20"/>
              </w:rPr>
              <w:t xml:space="preserve"> Other 3 grants offered during this quarter were to existing NRF recipients - 1 for Helping Nature and 2 for Transforming Nature. </w:t>
            </w:r>
          </w:p>
          <w:p w14:paraId="5355BBE3" w14:textId="73712D70" w:rsidR="004914EA" w:rsidRPr="0014395C" w:rsidRDefault="004914EA" w:rsidP="004F3330">
            <w:pPr>
              <w:spacing w:after="0"/>
              <w:jc w:val="both"/>
              <w:rPr>
                <w:rFonts w:ascii="Calibri" w:hAnsi="Calibri" w:cs="Calibri"/>
                <w:color w:val="808080" w:themeColor="background1" w:themeShade="80"/>
                <w:sz w:val="20"/>
                <w:szCs w:val="20"/>
              </w:rPr>
            </w:pPr>
          </w:p>
        </w:tc>
        <w:tc>
          <w:tcPr>
            <w:tcW w:w="4111" w:type="dxa"/>
            <w:tcBorders>
              <w:top w:val="single" w:sz="4" w:space="0" w:color="548DD4" w:themeColor="text2" w:themeTint="99"/>
              <w:bottom w:val="single" w:sz="4" w:space="0" w:color="548DD4" w:themeColor="text2" w:themeTint="99"/>
            </w:tcBorders>
            <w:vAlign w:val="center"/>
          </w:tcPr>
          <w:p w14:paraId="1B15E848" w14:textId="0471CC22" w:rsidR="004914EA" w:rsidRPr="0014395C" w:rsidRDefault="005E5068" w:rsidP="005E5068">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The figure is lower this quarter because the majority of awards were offered and accepted in Q3 and the figure depends on when NRF decision meetings take place and the negotiation period that follows.</w:t>
            </w:r>
          </w:p>
        </w:tc>
      </w:tr>
      <w:tr w:rsidR="004914EA" w:rsidRPr="0014395C" w14:paraId="0B880800" w14:textId="77777777" w:rsidTr="003A5820">
        <w:trPr>
          <w:trHeight w:hRule="exact" w:val="1125"/>
          <w:jc w:val="center"/>
        </w:trPr>
        <w:tc>
          <w:tcPr>
            <w:tcW w:w="2268" w:type="dxa"/>
            <w:tcBorders>
              <w:top w:val="single" w:sz="4" w:space="0" w:color="548DD4" w:themeColor="text2" w:themeTint="99"/>
              <w:bottom w:val="single" w:sz="4" w:space="0" w:color="548DD4" w:themeColor="text2" w:themeTint="99"/>
            </w:tcBorders>
            <w:vAlign w:val="center"/>
          </w:tcPr>
          <w:p w14:paraId="5CC944F2" w14:textId="1C172F68" w:rsidR="004914EA" w:rsidRPr="0014395C" w:rsidRDefault="00000000" w:rsidP="003753A7">
            <w:pPr>
              <w:spacing w:after="0"/>
              <w:jc w:val="center"/>
              <w:rPr>
                <w:rFonts w:ascii="Calibri" w:hAnsi="Calibri" w:cs="Calibri"/>
                <w:b/>
                <w:iCs/>
                <w:color w:val="808080" w:themeColor="background1" w:themeShade="80"/>
                <w:sz w:val="20"/>
                <w:szCs w:val="20"/>
              </w:rPr>
            </w:pPr>
            <w:hyperlink r:id="rId28" w:history="1">
              <w:r w:rsidR="004914EA" w:rsidRPr="0014395C">
                <w:rPr>
                  <w:rStyle w:val="Hyperlink"/>
                  <w:rFonts w:ascii="Calibri" w:hAnsi="Calibri" w:cs="Calibri"/>
                  <w:b/>
                  <w:iCs/>
                  <w:color w:val="808080" w:themeColor="background1" w:themeShade="80"/>
                  <w:sz w:val="20"/>
                  <w:szCs w:val="20"/>
                </w:rPr>
                <w:t>External funds raised by SMEEF and the amount allocated to projects.</w:t>
              </w:r>
            </w:hyperlink>
          </w:p>
        </w:tc>
        <w:tc>
          <w:tcPr>
            <w:tcW w:w="3119" w:type="dxa"/>
            <w:tcBorders>
              <w:top w:val="single" w:sz="4" w:space="0" w:color="548DD4" w:themeColor="text2" w:themeTint="99"/>
              <w:bottom w:val="single" w:sz="4" w:space="0" w:color="548DD4" w:themeColor="text2" w:themeTint="99"/>
            </w:tcBorders>
            <w:vAlign w:val="center"/>
          </w:tcPr>
          <w:p w14:paraId="3066D14E" w14:textId="2320CA65" w:rsidR="004914EA" w:rsidRPr="0014395C" w:rsidRDefault="002C1DDB" w:rsidP="003753A7">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78766D37" wp14:editId="306B657A">
                  <wp:extent cx="1792605" cy="670560"/>
                  <wp:effectExtent l="0" t="0" r="0" b="0"/>
                  <wp:docPr id="5876525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2605" cy="670560"/>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73786B8F" w14:textId="77403397" w:rsidR="004914EA" w:rsidRPr="0014395C" w:rsidRDefault="00092FC8" w:rsidP="00092FC8">
            <w:pPr>
              <w:spacing w:after="0"/>
              <w:jc w:val="center"/>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0</w:t>
            </w:r>
          </w:p>
        </w:tc>
        <w:tc>
          <w:tcPr>
            <w:tcW w:w="4961" w:type="dxa"/>
            <w:tcBorders>
              <w:top w:val="single" w:sz="4" w:space="0" w:color="548DD4" w:themeColor="text2" w:themeTint="99"/>
              <w:bottom w:val="single" w:sz="4" w:space="0" w:color="548DD4" w:themeColor="text2" w:themeTint="99"/>
            </w:tcBorders>
            <w:vAlign w:val="center"/>
          </w:tcPr>
          <w:p w14:paraId="6DC33F10" w14:textId="3D486E44" w:rsidR="004914EA" w:rsidRPr="0014395C" w:rsidRDefault="00092FC8"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 xml:space="preserve">No funds committed to SMEEF, one grant </w:t>
            </w:r>
            <w:r w:rsidR="002C1DDB">
              <w:rPr>
                <w:rFonts w:ascii="Calibri" w:hAnsi="Calibri" w:cs="Calibri"/>
                <w:color w:val="808080" w:themeColor="background1" w:themeShade="80"/>
                <w:sz w:val="20"/>
                <w:szCs w:val="20"/>
              </w:rPr>
              <w:t xml:space="preserve">was </w:t>
            </w:r>
            <w:r w:rsidRPr="0014395C">
              <w:rPr>
                <w:rFonts w:ascii="Calibri" w:hAnsi="Calibri" w:cs="Calibri"/>
                <w:color w:val="808080" w:themeColor="background1" w:themeShade="80"/>
                <w:sz w:val="20"/>
                <w:szCs w:val="20"/>
              </w:rPr>
              <w:t xml:space="preserve">awarded </w:t>
            </w:r>
            <w:r w:rsidR="003363AC">
              <w:rPr>
                <w:rFonts w:ascii="Calibri" w:hAnsi="Calibri" w:cs="Calibri"/>
                <w:color w:val="808080" w:themeColor="background1" w:themeShade="80"/>
                <w:sz w:val="20"/>
                <w:szCs w:val="20"/>
              </w:rPr>
              <w:t xml:space="preserve">to the University of Glasgow under the </w:t>
            </w:r>
            <w:r w:rsidR="001A17E0" w:rsidRPr="001A17E0">
              <w:rPr>
                <w:rFonts w:ascii="Calibri" w:hAnsi="Calibri" w:cs="Calibri"/>
                <w:color w:val="808080" w:themeColor="background1" w:themeShade="80"/>
                <w:sz w:val="20"/>
                <w:szCs w:val="20"/>
              </w:rPr>
              <w:t xml:space="preserve">Nature Enhancement at Marine Offshore Energy Sites </w:t>
            </w:r>
            <w:r w:rsidR="001A17E0">
              <w:rPr>
                <w:rFonts w:ascii="Calibri" w:hAnsi="Calibri" w:cs="Calibri"/>
                <w:color w:val="808080" w:themeColor="background1" w:themeShade="80"/>
                <w:sz w:val="20"/>
                <w:szCs w:val="20"/>
              </w:rPr>
              <w:t>(</w:t>
            </w:r>
            <w:r w:rsidR="003363AC">
              <w:rPr>
                <w:rFonts w:ascii="Calibri" w:hAnsi="Calibri" w:cs="Calibri"/>
                <w:color w:val="808080" w:themeColor="background1" w:themeShade="80"/>
                <w:sz w:val="20"/>
                <w:szCs w:val="20"/>
              </w:rPr>
              <w:t>NEMOUS</w:t>
            </w:r>
            <w:r w:rsidR="001A17E0">
              <w:rPr>
                <w:rFonts w:ascii="Calibri" w:hAnsi="Calibri" w:cs="Calibri"/>
                <w:color w:val="808080" w:themeColor="background1" w:themeShade="80"/>
                <w:sz w:val="20"/>
                <w:szCs w:val="20"/>
              </w:rPr>
              <w:t>)</w:t>
            </w:r>
            <w:r w:rsidR="003363AC">
              <w:rPr>
                <w:rFonts w:ascii="Calibri" w:hAnsi="Calibri" w:cs="Calibri"/>
                <w:color w:val="808080" w:themeColor="background1" w:themeShade="80"/>
                <w:sz w:val="20"/>
                <w:szCs w:val="20"/>
              </w:rPr>
              <w:t xml:space="preserve"> research programme.</w:t>
            </w:r>
          </w:p>
        </w:tc>
        <w:tc>
          <w:tcPr>
            <w:tcW w:w="4111" w:type="dxa"/>
            <w:tcBorders>
              <w:top w:val="single" w:sz="4" w:space="0" w:color="548DD4" w:themeColor="text2" w:themeTint="99"/>
              <w:bottom w:val="single" w:sz="4" w:space="0" w:color="548DD4" w:themeColor="text2" w:themeTint="99"/>
            </w:tcBorders>
            <w:vAlign w:val="center"/>
          </w:tcPr>
          <w:p w14:paraId="76573B3A" w14:textId="6EEA39BA" w:rsidR="004914EA" w:rsidRPr="0014395C" w:rsidRDefault="00092FC8"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Initial commitment</w:t>
            </w:r>
            <w:r w:rsidR="009D7558">
              <w:rPr>
                <w:rFonts w:ascii="Calibri" w:hAnsi="Calibri" w:cs="Calibri"/>
                <w:color w:val="808080" w:themeColor="background1" w:themeShade="80"/>
                <w:sz w:val="20"/>
                <w:szCs w:val="20"/>
              </w:rPr>
              <w:t xml:space="preserve"> to SMEEF</w:t>
            </w:r>
            <w:r w:rsidRPr="0014395C">
              <w:rPr>
                <w:rFonts w:ascii="Calibri" w:hAnsi="Calibri" w:cs="Calibri"/>
                <w:color w:val="808080" w:themeColor="background1" w:themeShade="80"/>
                <w:sz w:val="20"/>
                <w:szCs w:val="20"/>
              </w:rPr>
              <w:t xml:space="preserve"> from contributors of £4.1m over the next 5 years, plus another £75,000 early in Q4</w:t>
            </w:r>
          </w:p>
        </w:tc>
      </w:tr>
      <w:tr w:rsidR="00B50354" w:rsidRPr="0014395C" w14:paraId="2F9000F5" w14:textId="77777777" w:rsidTr="003A5820">
        <w:trPr>
          <w:trHeight w:hRule="exact" w:val="1989"/>
          <w:jc w:val="center"/>
        </w:trPr>
        <w:tc>
          <w:tcPr>
            <w:tcW w:w="2268" w:type="dxa"/>
            <w:tcBorders>
              <w:top w:val="single" w:sz="4" w:space="0" w:color="548DD4" w:themeColor="text2" w:themeTint="99"/>
              <w:bottom w:val="single" w:sz="4" w:space="0" w:color="548DD4" w:themeColor="text2" w:themeTint="99"/>
            </w:tcBorders>
            <w:vAlign w:val="center"/>
          </w:tcPr>
          <w:p w14:paraId="44A86D21" w14:textId="57F3C8C2" w:rsidR="004914EA" w:rsidRPr="0014395C" w:rsidRDefault="00000000" w:rsidP="003753A7">
            <w:pPr>
              <w:spacing w:after="0"/>
              <w:jc w:val="center"/>
              <w:rPr>
                <w:rFonts w:ascii="Calibri" w:hAnsi="Calibri" w:cs="Calibri"/>
                <w:b/>
                <w:iCs/>
                <w:color w:val="808080" w:themeColor="background1" w:themeShade="80"/>
                <w:sz w:val="20"/>
                <w:szCs w:val="20"/>
              </w:rPr>
            </w:pPr>
            <w:hyperlink r:id="rId30" w:history="1">
              <w:r w:rsidR="004914EA" w:rsidRPr="0014395C">
                <w:rPr>
                  <w:rStyle w:val="Hyperlink"/>
                  <w:rFonts w:ascii="Calibri" w:hAnsi="Calibri" w:cs="Calibri"/>
                  <w:b/>
                  <w:iCs/>
                  <w:color w:val="808080" w:themeColor="background1" w:themeShade="80"/>
                  <w:sz w:val="20"/>
                  <w:szCs w:val="20"/>
                </w:rPr>
                <w:t>Area (hectares) of peatland put on the road to recovery</w:t>
              </w:r>
            </w:hyperlink>
          </w:p>
        </w:tc>
        <w:tc>
          <w:tcPr>
            <w:tcW w:w="3119" w:type="dxa"/>
            <w:tcBorders>
              <w:top w:val="single" w:sz="4" w:space="0" w:color="548DD4" w:themeColor="text2" w:themeTint="99"/>
              <w:bottom w:val="single" w:sz="4" w:space="0" w:color="548DD4" w:themeColor="text2" w:themeTint="99"/>
            </w:tcBorders>
            <w:vAlign w:val="center"/>
          </w:tcPr>
          <w:p w14:paraId="0C6F7551" w14:textId="49926A31" w:rsidR="004914EA" w:rsidRPr="0014395C" w:rsidRDefault="00506AFE" w:rsidP="003753A7">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14BA4023" wp14:editId="5E5271CB">
                  <wp:extent cx="1944370" cy="589220"/>
                  <wp:effectExtent l="0" t="0" r="0" b="1905"/>
                  <wp:docPr id="2456950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48783" cy="590557"/>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2AF44E3D" w14:textId="61E11D0C" w:rsidR="004914EA" w:rsidRPr="0014395C" w:rsidRDefault="00152035" w:rsidP="003753A7">
            <w:pPr>
              <w:spacing w:after="0"/>
              <w:jc w:val="center"/>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1896</w:t>
            </w:r>
            <w:r w:rsidR="00F9474F" w:rsidRPr="0014395C">
              <w:rPr>
                <w:rFonts w:ascii="Calibri" w:hAnsi="Calibri" w:cs="Calibri"/>
                <w:color w:val="808080" w:themeColor="background1" w:themeShade="80"/>
                <w:sz w:val="20"/>
                <w:szCs w:val="20"/>
              </w:rPr>
              <w:t xml:space="preserve"> ha</w:t>
            </w:r>
          </w:p>
        </w:tc>
        <w:tc>
          <w:tcPr>
            <w:tcW w:w="4961" w:type="dxa"/>
            <w:tcBorders>
              <w:top w:val="single" w:sz="4" w:space="0" w:color="548DD4" w:themeColor="text2" w:themeTint="99"/>
              <w:bottom w:val="single" w:sz="4" w:space="0" w:color="548DD4" w:themeColor="text2" w:themeTint="99"/>
            </w:tcBorders>
            <w:vAlign w:val="center"/>
          </w:tcPr>
          <w:p w14:paraId="796A3B45" w14:textId="59DCE821" w:rsidR="004914EA" w:rsidRPr="0014395C" w:rsidRDefault="00152035"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The figure of 1,896ha is projects completed to date.</w:t>
            </w:r>
          </w:p>
        </w:tc>
        <w:tc>
          <w:tcPr>
            <w:tcW w:w="4111" w:type="dxa"/>
            <w:tcBorders>
              <w:top w:val="single" w:sz="4" w:space="0" w:color="548DD4" w:themeColor="text2" w:themeTint="99"/>
              <w:bottom w:val="single" w:sz="4" w:space="0" w:color="548DD4" w:themeColor="text2" w:themeTint="99"/>
            </w:tcBorders>
            <w:vAlign w:val="center"/>
          </w:tcPr>
          <w:p w14:paraId="7B70C059" w14:textId="6A618548" w:rsidR="004914EA" w:rsidRPr="0014395C" w:rsidRDefault="00152035"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We have 75 current applications for projects totalling 8,730ha.  The number of these forecast for delivery in 2023/24 with confidence ratings applied total 5,814ha.  We are confident of converting remaining projects to meet the target of 6,100ha.</w:t>
            </w:r>
          </w:p>
        </w:tc>
      </w:tr>
    </w:tbl>
    <w:p w14:paraId="6973242D" w14:textId="77777777" w:rsidR="00D01C85" w:rsidRPr="0014395C" w:rsidRDefault="00D01C85" w:rsidP="00D01C85">
      <w:pPr>
        <w:pStyle w:val="Heading2"/>
        <w:jc w:val="center"/>
        <w:rPr>
          <w:rFonts w:ascii="Calibri" w:hAnsi="Calibri" w:cs="Calibri"/>
        </w:rPr>
      </w:pPr>
    </w:p>
    <w:p w14:paraId="3C83063A" w14:textId="77777777" w:rsidR="005D7863" w:rsidRPr="0014395C" w:rsidRDefault="005D7863" w:rsidP="005D7863">
      <w:pPr>
        <w:pStyle w:val="Default"/>
      </w:pPr>
    </w:p>
    <w:p w14:paraId="1CA393B8" w14:textId="77777777" w:rsidR="00EF3E44" w:rsidRDefault="00EF3E44">
      <w:pPr>
        <w:rPr>
          <w:rFonts w:ascii="Calibri" w:eastAsiaTheme="majorEastAsia" w:hAnsi="Calibri" w:cs="Calibri"/>
          <w:b/>
          <w:szCs w:val="26"/>
        </w:rPr>
      </w:pPr>
      <w:r>
        <w:rPr>
          <w:rFonts w:ascii="Calibri" w:hAnsi="Calibri" w:cs="Calibri"/>
        </w:rPr>
        <w:br w:type="page"/>
      </w:r>
    </w:p>
    <w:p w14:paraId="42817CC3" w14:textId="6D276D93"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 xml:space="preserve">THE VALUE OF NATURE IS RECOGNISED </w:t>
      </w:r>
    </w:p>
    <w:tbl>
      <w:tblPr>
        <w:tblW w:w="14606" w:type="dxa"/>
        <w:jc w:val="center"/>
        <w:tblLayout w:type="fixed"/>
        <w:tblLook w:val="04A0" w:firstRow="1" w:lastRow="0" w:firstColumn="1" w:lastColumn="0" w:noHBand="0" w:noVBand="1"/>
      </w:tblPr>
      <w:tblGrid>
        <w:gridCol w:w="2268"/>
        <w:gridCol w:w="2977"/>
        <w:gridCol w:w="992"/>
        <w:gridCol w:w="3969"/>
        <w:gridCol w:w="4400"/>
      </w:tblGrid>
      <w:tr w:rsidR="004914EA" w:rsidRPr="0014395C" w14:paraId="407B871A" w14:textId="77777777" w:rsidTr="004914EA">
        <w:trPr>
          <w:tblHeader/>
          <w:jc w:val="center"/>
        </w:trPr>
        <w:tc>
          <w:tcPr>
            <w:tcW w:w="2268" w:type="dxa"/>
            <w:tcBorders>
              <w:bottom w:val="single" w:sz="4" w:space="0" w:color="548DD4" w:themeColor="text2" w:themeTint="99"/>
            </w:tcBorders>
          </w:tcPr>
          <w:p w14:paraId="0CEFE3C6" w14:textId="77777777" w:rsidR="004914EA" w:rsidRPr="0014395C" w:rsidRDefault="004914EA" w:rsidP="004914EA">
            <w:pPr>
              <w:spacing w:after="0"/>
              <w:jc w:val="center"/>
              <w:rPr>
                <w:rFonts w:ascii="Calibri" w:hAnsi="Calibri" w:cs="Calibri"/>
                <w:b/>
              </w:rPr>
            </w:pPr>
            <w:r w:rsidRPr="0014395C">
              <w:rPr>
                <w:rFonts w:ascii="Calibri" w:hAnsi="Calibri" w:cs="Calibri"/>
                <w:b/>
              </w:rPr>
              <w:t>Measure</w:t>
            </w:r>
          </w:p>
        </w:tc>
        <w:tc>
          <w:tcPr>
            <w:tcW w:w="2977" w:type="dxa"/>
            <w:tcBorders>
              <w:bottom w:val="single" w:sz="4" w:space="0" w:color="548DD4" w:themeColor="text2" w:themeTint="99"/>
            </w:tcBorders>
          </w:tcPr>
          <w:p w14:paraId="6A01D98D" w14:textId="77777777" w:rsidR="004914EA" w:rsidRPr="0014395C" w:rsidRDefault="004914EA" w:rsidP="004914EA">
            <w:pPr>
              <w:spacing w:after="0"/>
              <w:jc w:val="center"/>
              <w:rPr>
                <w:rFonts w:ascii="Calibri" w:hAnsi="Calibri" w:cs="Calibri"/>
                <w:b/>
              </w:rPr>
            </w:pPr>
            <w:r w:rsidRPr="0014395C">
              <w:rPr>
                <w:rFonts w:ascii="Calibri" w:hAnsi="Calibri" w:cs="Calibri"/>
                <w:b/>
              </w:rPr>
              <w:t>Performance Overview</w:t>
            </w:r>
          </w:p>
        </w:tc>
        <w:tc>
          <w:tcPr>
            <w:tcW w:w="992" w:type="dxa"/>
            <w:tcBorders>
              <w:bottom w:val="single" w:sz="4" w:space="0" w:color="548DD4" w:themeColor="text2" w:themeTint="99"/>
            </w:tcBorders>
          </w:tcPr>
          <w:p w14:paraId="6403E005" w14:textId="77777777" w:rsidR="004914EA" w:rsidRPr="0014395C" w:rsidRDefault="004914EA" w:rsidP="004914EA">
            <w:pPr>
              <w:spacing w:after="0"/>
              <w:jc w:val="center"/>
              <w:rPr>
                <w:rFonts w:ascii="Calibri" w:hAnsi="Calibri" w:cs="Calibri"/>
                <w:b/>
              </w:rPr>
            </w:pPr>
            <w:r w:rsidRPr="0014395C">
              <w:rPr>
                <w:rFonts w:ascii="Calibri" w:hAnsi="Calibri" w:cs="Calibri"/>
                <w:b/>
              </w:rPr>
              <w:t>Actual</w:t>
            </w:r>
          </w:p>
        </w:tc>
        <w:tc>
          <w:tcPr>
            <w:tcW w:w="3969" w:type="dxa"/>
            <w:tcBorders>
              <w:bottom w:val="single" w:sz="4" w:space="0" w:color="548DD4" w:themeColor="text2" w:themeTint="99"/>
            </w:tcBorders>
          </w:tcPr>
          <w:p w14:paraId="03B60BF1"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4400" w:type="dxa"/>
            <w:tcBorders>
              <w:bottom w:val="single" w:sz="4" w:space="0" w:color="548DD4" w:themeColor="text2" w:themeTint="99"/>
            </w:tcBorders>
          </w:tcPr>
          <w:p w14:paraId="79F4D425" w14:textId="77777777" w:rsidR="004914EA" w:rsidRPr="0014395C" w:rsidRDefault="004914EA" w:rsidP="004F3330">
            <w:pPr>
              <w:spacing w:after="0"/>
              <w:jc w:val="center"/>
              <w:rPr>
                <w:rFonts w:ascii="Calibri" w:hAnsi="Calibri" w:cs="Calibri"/>
                <w:b/>
              </w:rPr>
            </w:pPr>
            <w:r w:rsidRPr="0014395C">
              <w:rPr>
                <w:rFonts w:ascii="Calibri" w:hAnsi="Calibri" w:cs="Calibri"/>
                <w:b/>
              </w:rPr>
              <w:t>Response</w:t>
            </w:r>
          </w:p>
        </w:tc>
      </w:tr>
      <w:tr w:rsidR="008B6E5C" w:rsidRPr="0014395C" w14:paraId="164CF011"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79A7DEC2" w14:textId="6466A76A" w:rsidR="004914EA" w:rsidRPr="00315CF4" w:rsidRDefault="00000000" w:rsidP="00E768CD">
            <w:pPr>
              <w:spacing w:after="0"/>
              <w:jc w:val="center"/>
              <w:rPr>
                <w:rFonts w:ascii="Calibri" w:hAnsi="Calibri" w:cs="Calibri"/>
                <w:b/>
                <w:iCs/>
                <w:color w:val="808080" w:themeColor="background1" w:themeShade="80"/>
                <w:sz w:val="20"/>
                <w:szCs w:val="20"/>
                <w:highlight w:val="yellow"/>
              </w:rPr>
            </w:pPr>
            <w:hyperlink r:id="rId32" w:history="1">
              <w:r w:rsidR="003A5820">
                <w:rPr>
                  <w:rStyle w:val="Hyperlink"/>
                  <w:rFonts w:ascii="Calibri" w:hAnsi="Calibri" w:cs="Calibri"/>
                  <w:b/>
                  <w:iCs/>
                  <w:color w:val="808080" w:themeColor="background1" w:themeShade="80"/>
                  <w:sz w:val="20"/>
                  <w:szCs w:val="20"/>
                </w:rPr>
                <w:t>Engagement Rate on Make Space for Nature (MSFN) webpages</w:t>
              </w:r>
            </w:hyperlink>
            <w:r w:rsidR="00E768CD" w:rsidRPr="00E768CD">
              <w:rPr>
                <w:rStyle w:val="Hyperlink"/>
                <w:rFonts w:ascii="Calibri" w:hAnsi="Calibri" w:cs="Calibri"/>
                <w:b/>
                <w:iCs/>
                <w:color w:val="808080" w:themeColor="background1" w:themeShade="80"/>
                <w:sz w:val="20"/>
                <w:szCs w:val="20"/>
              </w:rPr>
              <w:t xml:space="preserve"> </w:t>
            </w:r>
          </w:p>
        </w:tc>
        <w:tc>
          <w:tcPr>
            <w:tcW w:w="2977" w:type="dxa"/>
            <w:tcBorders>
              <w:top w:val="single" w:sz="4" w:space="0" w:color="548DD4" w:themeColor="text2" w:themeTint="99"/>
              <w:bottom w:val="single" w:sz="4" w:space="0" w:color="548DD4" w:themeColor="text2" w:themeTint="99"/>
            </w:tcBorders>
            <w:vAlign w:val="center"/>
          </w:tcPr>
          <w:p w14:paraId="3819A499" w14:textId="16EEA5D6" w:rsidR="004914EA" w:rsidRPr="0014395C" w:rsidRDefault="00A11704" w:rsidP="004914EA">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3E41F96B" wp14:editId="72B3BC8C">
                  <wp:extent cx="1956390" cy="641366"/>
                  <wp:effectExtent l="0" t="0" r="6350" b="6350"/>
                  <wp:docPr id="1528174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60581" cy="642740"/>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ACC5F9E" w14:textId="2D14B550" w:rsidR="004914EA" w:rsidRPr="0014395C" w:rsidRDefault="00E768CD" w:rsidP="004914EA">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98%</w:t>
            </w:r>
          </w:p>
        </w:tc>
        <w:tc>
          <w:tcPr>
            <w:tcW w:w="3969" w:type="dxa"/>
            <w:tcBorders>
              <w:top w:val="single" w:sz="4" w:space="0" w:color="548DD4" w:themeColor="text2" w:themeTint="99"/>
              <w:bottom w:val="single" w:sz="4" w:space="0" w:color="548DD4" w:themeColor="text2" w:themeTint="99"/>
            </w:tcBorders>
            <w:vAlign w:val="center"/>
          </w:tcPr>
          <w:p w14:paraId="1D7D08AB" w14:textId="6C888CF3" w:rsidR="004914EA" w:rsidRPr="0014395C" w:rsidRDefault="00E768CD" w:rsidP="004F3330">
            <w:pPr>
              <w:spacing w:after="0"/>
              <w:jc w:val="both"/>
              <w:rPr>
                <w:rFonts w:ascii="Calibri" w:hAnsi="Calibri" w:cs="Calibri"/>
                <w:color w:val="808080" w:themeColor="background1" w:themeShade="80"/>
                <w:sz w:val="20"/>
                <w:szCs w:val="20"/>
              </w:rPr>
            </w:pPr>
            <w:r w:rsidRPr="00E768CD">
              <w:rPr>
                <w:rFonts w:ascii="Calibri" w:hAnsi="Calibri" w:cs="Calibri"/>
                <w:color w:val="808080" w:themeColor="background1" w:themeShade="80"/>
                <w:sz w:val="20"/>
                <w:szCs w:val="20"/>
              </w:rPr>
              <w:t>Social media influencer Chris Lawlor created MSFN content, which reached 185k views.</w:t>
            </w:r>
            <w:r>
              <w:rPr>
                <w:rFonts w:ascii="Calibri" w:hAnsi="Calibri" w:cs="Calibri"/>
                <w:color w:val="808080" w:themeColor="background1" w:themeShade="80"/>
                <w:sz w:val="20"/>
                <w:szCs w:val="20"/>
              </w:rPr>
              <w:t xml:space="preserve"> </w:t>
            </w:r>
            <w:r w:rsidRPr="00E768CD">
              <w:rPr>
                <w:rFonts w:ascii="Calibri" w:hAnsi="Calibri" w:cs="Calibri"/>
                <w:color w:val="808080" w:themeColor="background1" w:themeShade="80"/>
                <w:sz w:val="20"/>
                <w:szCs w:val="20"/>
              </w:rPr>
              <w:t>Q3 activity exceeded KPIs, with autumn results returning 15k web hits, 98% engagement rate, 1.27% Click Through Rate and 185k views of collaborative social media posts.</w:t>
            </w:r>
          </w:p>
        </w:tc>
        <w:tc>
          <w:tcPr>
            <w:tcW w:w="4400" w:type="dxa"/>
            <w:tcBorders>
              <w:top w:val="single" w:sz="4" w:space="0" w:color="548DD4" w:themeColor="text2" w:themeTint="99"/>
              <w:bottom w:val="single" w:sz="4" w:space="0" w:color="548DD4" w:themeColor="text2" w:themeTint="99"/>
            </w:tcBorders>
            <w:vAlign w:val="center"/>
          </w:tcPr>
          <w:p w14:paraId="60C23A8C" w14:textId="01C33726" w:rsidR="004914EA" w:rsidRPr="0014395C" w:rsidRDefault="00E768CD" w:rsidP="004F3330">
            <w:pPr>
              <w:spacing w:after="0"/>
              <w:jc w:val="both"/>
              <w:rPr>
                <w:rFonts w:ascii="Calibri" w:hAnsi="Calibri" w:cs="Calibri"/>
                <w:color w:val="808080" w:themeColor="background1" w:themeShade="80"/>
                <w:sz w:val="20"/>
                <w:szCs w:val="20"/>
              </w:rPr>
            </w:pPr>
            <w:r w:rsidRPr="00E768CD">
              <w:rPr>
                <w:rFonts w:ascii="Calibri" w:hAnsi="Calibri" w:cs="Calibri"/>
                <w:color w:val="808080" w:themeColor="background1" w:themeShade="80"/>
                <w:sz w:val="20"/>
                <w:szCs w:val="20"/>
              </w:rPr>
              <w:t>Q4 activity includes similar social plans, with accompanying podcasts.</w:t>
            </w:r>
            <w:r w:rsidR="00154FDE">
              <w:rPr>
                <w:rFonts w:ascii="Calibri" w:hAnsi="Calibri" w:cs="Calibri"/>
                <w:color w:val="808080" w:themeColor="background1" w:themeShade="80"/>
                <w:sz w:val="20"/>
                <w:szCs w:val="20"/>
              </w:rPr>
              <w:t xml:space="preserve"> </w:t>
            </w:r>
            <w:r w:rsidR="00154FDE" w:rsidRPr="00154FDE">
              <w:rPr>
                <w:rFonts w:ascii="Calibri" w:hAnsi="Calibri" w:cs="Calibri"/>
                <w:color w:val="808080" w:themeColor="background1" w:themeShade="80"/>
                <w:sz w:val="20"/>
                <w:szCs w:val="20"/>
              </w:rPr>
              <w:t>The podcast series now sits at 34 episodes and 12.3k total downloads</w:t>
            </w:r>
            <w:r w:rsidR="00154FDE">
              <w:rPr>
                <w:rFonts w:ascii="Calibri" w:hAnsi="Calibri" w:cs="Calibri"/>
                <w:color w:val="808080" w:themeColor="background1" w:themeShade="80"/>
                <w:sz w:val="20"/>
                <w:szCs w:val="20"/>
              </w:rPr>
              <w:t>.</w:t>
            </w:r>
          </w:p>
        </w:tc>
      </w:tr>
      <w:tr w:rsidR="00051324" w:rsidRPr="0014395C" w14:paraId="149AA65A" w14:textId="77777777" w:rsidTr="00315CF4">
        <w:trPr>
          <w:trHeight w:val="1462"/>
          <w:jc w:val="center"/>
        </w:trPr>
        <w:tc>
          <w:tcPr>
            <w:tcW w:w="2268" w:type="dxa"/>
            <w:tcBorders>
              <w:top w:val="single" w:sz="4" w:space="0" w:color="548DD4" w:themeColor="text2" w:themeTint="99"/>
              <w:bottom w:val="single" w:sz="4" w:space="0" w:color="548DD4" w:themeColor="text2" w:themeTint="99"/>
            </w:tcBorders>
            <w:vAlign w:val="center"/>
          </w:tcPr>
          <w:p w14:paraId="15768AC1" w14:textId="74B76C32" w:rsidR="00051324" w:rsidRPr="0014395C" w:rsidRDefault="00000000" w:rsidP="00051324">
            <w:pPr>
              <w:spacing w:after="0"/>
              <w:jc w:val="center"/>
              <w:rPr>
                <w:rFonts w:ascii="Calibri" w:hAnsi="Calibri" w:cs="Calibri"/>
                <w:b/>
                <w:iCs/>
                <w:color w:val="808080" w:themeColor="background1" w:themeShade="80"/>
                <w:sz w:val="20"/>
                <w:szCs w:val="20"/>
              </w:rPr>
            </w:pPr>
            <w:hyperlink r:id="rId34" w:history="1">
              <w:r w:rsidR="00051324" w:rsidRPr="0014395C">
                <w:rPr>
                  <w:rStyle w:val="Hyperlink"/>
                  <w:rFonts w:ascii="Calibri" w:hAnsi="Calibri" w:cs="Calibri"/>
                  <w:b/>
                  <w:iCs/>
                  <w:color w:val="808080" w:themeColor="background1" w:themeShade="80"/>
                  <w:sz w:val="20"/>
                  <w:szCs w:val="20"/>
                </w:rPr>
                <w:t>No. of Landscape partnerships that NatureScot is involved in that use a natural capital approach</w:t>
              </w:r>
            </w:hyperlink>
          </w:p>
        </w:tc>
        <w:tc>
          <w:tcPr>
            <w:tcW w:w="2977" w:type="dxa"/>
            <w:tcBorders>
              <w:top w:val="single" w:sz="4" w:space="0" w:color="548DD4" w:themeColor="text2" w:themeTint="99"/>
              <w:bottom w:val="single" w:sz="4" w:space="0" w:color="548DD4" w:themeColor="text2" w:themeTint="99"/>
            </w:tcBorders>
            <w:vAlign w:val="center"/>
          </w:tcPr>
          <w:p w14:paraId="7FB5BE70" w14:textId="14407653" w:rsidR="00051324" w:rsidRPr="0014395C" w:rsidRDefault="00051324" w:rsidP="00051324">
            <w:pPr>
              <w:spacing w:after="0"/>
              <w:jc w:val="center"/>
              <w:rPr>
                <w:rFonts w:ascii="Calibri" w:hAnsi="Calibri" w:cs="Calibri"/>
                <w:color w:val="808080" w:themeColor="background1" w:themeShade="80"/>
                <w:sz w:val="20"/>
                <w:szCs w:val="20"/>
              </w:rPr>
            </w:pPr>
            <w:r w:rsidRPr="0014395C">
              <w:rPr>
                <w:rFonts w:ascii="Calibri" w:hAnsi="Calibri" w:cs="Calibri"/>
                <w:b/>
                <w:color w:val="808080" w:themeColor="background1" w:themeShade="80"/>
                <w:sz w:val="20"/>
                <w:szCs w:val="20"/>
              </w:rPr>
              <w:t>Not Ready to Report</w:t>
            </w:r>
          </w:p>
        </w:tc>
        <w:tc>
          <w:tcPr>
            <w:tcW w:w="992" w:type="dxa"/>
            <w:tcBorders>
              <w:top w:val="single" w:sz="4" w:space="0" w:color="548DD4" w:themeColor="text2" w:themeTint="99"/>
              <w:bottom w:val="single" w:sz="4" w:space="0" w:color="548DD4" w:themeColor="text2" w:themeTint="99"/>
            </w:tcBorders>
            <w:vAlign w:val="center"/>
          </w:tcPr>
          <w:p w14:paraId="7A57D4F5" w14:textId="77777777" w:rsidR="00051324" w:rsidRPr="0014395C" w:rsidRDefault="00051324" w:rsidP="00051324">
            <w:pPr>
              <w:spacing w:after="0"/>
              <w:jc w:val="center"/>
              <w:rPr>
                <w:rFonts w:ascii="Calibri" w:hAnsi="Calibri" w:cs="Calibri"/>
                <w:color w:val="808080" w:themeColor="background1" w:themeShade="80"/>
                <w:sz w:val="20"/>
                <w:szCs w:val="20"/>
              </w:rPr>
            </w:pPr>
          </w:p>
        </w:tc>
        <w:tc>
          <w:tcPr>
            <w:tcW w:w="3969" w:type="dxa"/>
            <w:tcBorders>
              <w:top w:val="single" w:sz="4" w:space="0" w:color="548DD4" w:themeColor="text2" w:themeTint="99"/>
              <w:bottom w:val="single" w:sz="4" w:space="0" w:color="548DD4" w:themeColor="text2" w:themeTint="99"/>
            </w:tcBorders>
            <w:vAlign w:val="center"/>
          </w:tcPr>
          <w:p w14:paraId="1691A807" w14:textId="0D37CD21" w:rsidR="00051324" w:rsidRPr="0014395C" w:rsidRDefault="00250054" w:rsidP="00051324">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 xml:space="preserve">There is no data for the Natural capital design for this quarter. </w:t>
            </w:r>
            <w:r w:rsidR="00051324" w:rsidRPr="0014395C">
              <w:rPr>
                <w:rFonts w:ascii="Calibri" w:hAnsi="Calibri" w:cs="Calibri"/>
                <w:color w:val="808080" w:themeColor="background1" w:themeShade="80"/>
                <w:sz w:val="20"/>
                <w:szCs w:val="20"/>
              </w:rPr>
              <w:t>The data set has been investigated by the team and upon further work will gather historic data.</w:t>
            </w:r>
          </w:p>
        </w:tc>
        <w:tc>
          <w:tcPr>
            <w:tcW w:w="4400" w:type="dxa"/>
            <w:tcBorders>
              <w:top w:val="single" w:sz="4" w:space="0" w:color="548DD4" w:themeColor="text2" w:themeTint="99"/>
              <w:bottom w:val="single" w:sz="4" w:space="0" w:color="548DD4" w:themeColor="text2" w:themeTint="99"/>
            </w:tcBorders>
            <w:vAlign w:val="center"/>
          </w:tcPr>
          <w:p w14:paraId="6CE7D31B" w14:textId="1D6A72D9" w:rsidR="00051324" w:rsidRPr="0014395C" w:rsidRDefault="00250054" w:rsidP="00315CF4">
            <w:pPr>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We’re liaising with</w:t>
            </w:r>
            <w:r w:rsidR="00315CF4">
              <w:rPr>
                <w:rFonts w:ascii="Calibri" w:hAnsi="Calibri" w:cs="Calibri"/>
                <w:color w:val="808080" w:themeColor="background1" w:themeShade="80"/>
                <w:sz w:val="20"/>
                <w:szCs w:val="20"/>
              </w:rPr>
              <w:t xml:space="preserve"> the Natural Capital deliver</w:t>
            </w:r>
            <w:r w:rsidR="005B4B54">
              <w:rPr>
                <w:rFonts w:ascii="Calibri" w:hAnsi="Calibri" w:cs="Calibri"/>
                <w:color w:val="808080" w:themeColor="background1" w:themeShade="80"/>
                <w:sz w:val="20"/>
                <w:szCs w:val="20"/>
              </w:rPr>
              <w:t>y</w:t>
            </w:r>
            <w:r w:rsidR="00315CF4">
              <w:rPr>
                <w:rFonts w:ascii="Calibri" w:hAnsi="Calibri" w:cs="Calibri"/>
                <w:color w:val="808080" w:themeColor="background1" w:themeShade="80"/>
                <w:sz w:val="20"/>
                <w:szCs w:val="20"/>
              </w:rPr>
              <w:t xml:space="preserve"> plan team and Operations team members </w:t>
            </w:r>
            <w:r w:rsidRPr="0014395C">
              <w:rPr>
                <w:rFonts w:ascii="Calibri" w:hAnsi="Calibri" w:cs="Calibri"/>
                <w:color w:val="808080" w:themeColor="background1" w:themeShade="80"/>
                <w:sz w:val="20"/>
                <w:szCs w:val="20"/>
              </w:rPr>
              <w:t xml:space="preserve">about having the operation areas update the partnership data on whether or not it includes a natural capital element in the project. </w:t>
            </w:r>
          </w:p>
        </w:tc>
      </w:tr>
      <w:tr w:rsidR="00B50354" w:rsidRPr="0014395C" w14:paraId="2D2F2D6C"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0B3B2974" w14:textId="3CD90DCD" w:rsidR="004914EA" w:rsidRPr="00C33B3F" w:rsidRDefault="00000000" w:rsidP="004914EA">
            <w:pPr>
              <w:spacing w:after="0"/>
              <w:jc w:val="center"/>
              <w:rPr>
                <w:rFonts w:ascii="Calibri" w:hAnsi="Calibri" w:cs="Calibri"/>
                <w:b/>
                <w:iCs/>
                <w:color w:val="808080" w:themeColor="background1" w:themeShade="80"/>
                <w:sz w:val="20"/>
                <w:szCs w:val="20"/>
              </w:rPr>
            </w:pPr>
            <w:hyperlink r:id="rId35" w:history="1">
              <w:r w:rsidR="004914EA" w:rsidRPr="00C33B3F">
                <w:rPr>
                  <w:rStyle w:val="Hyperlink"/>
                  <w:rFonts w:ascii="Calibri" w:hAnsi="Calibri" w:cs="Calibri"/>
                  <w:b/>
                  <w:iCs/>
                  <w:color w:val="808080" w:themeColor="background1" w:themeShade="80"/>
                  <w:sz w:val="20"/>
                  <w:szCs w:val="20"/>
                </w:rPr>
                <w:t>Nature-restoration jobs and skill development opportunities created through our activity</w:t>
              </w:r>
            </w:hyperlink>
          </w:p>
        </w:tc>
        <w:tc>
          <w:tcPr>
            <w:tcW w:w="2977" w:type="dxa"/>
            <w:tcBorders>
              <w:top w:val="single" w:sz="4" w:space="0" w:color="548DD4" w:themeColor="text2" w:themeTint="99"/>
              <w:bottom w:val="single" w:sz="4" w:space="0" w:color="548DD4" w:themeColor="text2" w:themeTint="99"/>
            </w:tcBorders>
            <w:vAlign w:val="center"/>
          </w:tcPr>
          <w:p w14:paraId="77B1F42B" w14:textId="5F0033FF" w:rsidR="004914EA" w:rsidRPr="00C33B3F" w:rsidRDefault="00C33B3F" w:rsidP="004914EA">
            <w:pPr>
              <w:spacing w:after="0"/>
              <w:jc w:val="center"/>
              <w:rPr>
                <w:rFonts w:ascii="Calibri" w:hAnsi="Calibri" w:cs="Calibri"/>
                <w:color w:val="808080" w:themeColor="background1" w:themeShade="80"/>
                <w:sz w:val="20"/>
                <w:szCs w:val="20"/>
              </w:rPr>
            </w:pPr>
            <w:r w:rsidRPr="00C33B3F">
              <w:rPr>
                <w:rFonts w:ascii="Calibri" w:hAnsi="Calibri" w:cs="Calibri"/>
                <w:noProof/>
                <w:color w:val="808080" w:themeColor="background1" w:themeShade="80"/>
                <w:sz w:val="20"/>
                <w:szCs w:val="20"/>
                <w:lang w:eastAsia="en-GB"/>
              </w:rPr>
              <w:drawing>
                <wp:inline distT="0" distB="0" distL="0" distR="0" wp14:anchorId="7B1B5F6D" wp14:editId="71B244A4">
                  <wp:extent cx="2018030" cy="670560"/>
                  <wp:effectExtent l="0" t="0" r="0" b="0"/>
                  <wp:docPr id="310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18030" cy="670560"/>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00F11C32" w14:textId="5FA93DA4" w:rsidR="004914EA" w:rsidRPr="00C33B3F" w:rsidRDefault="00141636" w:rsidP="004914EA">
            <w:pPr>
              <w:spacing w:after="0"/>
              <w:jc w:val="center"/>
              <w:rPr>
                <w:rFonts w:ascii="Calibri" w:hAnsi="Calibri" w:cs="Calibri"/>
                <w:color w:val="808080" w:themeColor="background1" w:themeShade="80"/>
                <w:sz w:val="20"/>
                <w:szCs w:val="20"/>
              </w:rPr>
            </w:pPr>
            <w:r w:rsidRPr="00C33B3F">
              <w:rPr>
                <w:rFonts w:ascii="Calibri" w:hAnsi="Calibri" w:cs="Calibri"/>
                <w:color w:val="808080" w:themeColor="background1" w:themeShade="80"/>
                <w:sz w:val="20"/>
                <w:szCs w:val="20"/>
              </w:rPr>
              <w:t>17</w:t>
            </w:r>
            <w:r w:rsidR="00C33B3F" w:rsidRPr="00C33B3F">
              <w:rPr>
                <w:rFonts w:ascii="Calibri" w:hAnsi="Calibri" w:cs="Calibri"/>
                <w:color w:val="808080" w:themeColor="background1" w:themeShade="80"/>
                <w:sz w:val="20"/>
                <w:szCs w:val="20"/>
              </w:rPr>
              <w:t>5</w:t>
            </w:r>
          </w:p>
        </w:tc>
        <w:tc>
          <w:tcPr>
            <w:tcW w:w="3969" w:type="dxa"/>
            <w:tcBorders>
              <w:top w:val="single" w:sz="4" w:space="0" w:color="548DD4" w:themeColor="text2" w:themeTint="99"/>
              <w:bottom w:val="single" w:sz="4" w:space="0" w:color="548DD4" w:themeColor="text2" w:themeTint="99"/>
            </w:tcBorders>
            <w:vAlign w:val="center"/>
          </w:tcPr>
          <w:p w14:paraId="3CD36655" w14:textId="006FDEC2" w:rsidR="004914EA" w:rsidRPr="00C33B3F" w:rsidRDefault="00C33B3F" w:rsidP="004F3330">
            <w:pPr>
              <w:spacing w:after="0"/>
              <w:jc w:val="both"/>
              <w:rPr>
                <w:rFonts w:ascii="Calibri" w:hAnsi="Calibri" w:cs="Calibri"/>
                <w:color w:val="808080" w:themeColor="background1" w:themeShade="80"/>
                <w:sz w:val="20"/>
                <w:szCs w:val="20"/>
              </w:rPr>
            </w:pPr>
            <w:r w:rsidRPr="00C33B3F">
              <w:rPr>
                <w:rFonts w:ascii="Calibri" w:hAnsi="Calibri" w:cs="Calibri"/>
                <w:color w:val="808080" w:themeColor="background1" w:themeShade="80"/>
                <w:sz w:val="20"/>
                <w:szCs w:val="20"/>
              </w:rPr>
              <w:t xml:space="preserve">175 jobs and skills development opportunities created this quarter. 172 of these are through peatland, 1 is CEMVO and 2 is for Programme for Youth Employment which are due to finish in Q1 2024/25. </w:t>
            </w:r>
          </w:p>
        </w:tc>
        <w:tc>
          <w:tcPr>
            <w:tcW w:w="4400" w:type="dxa"/>
            <w:tcBorders>
              <w:top w:val="single" w:sz="4" w:space="0" w:color="548DD4" w:themeColor="text2" w:themeTint="99"/>
              <w:bottom w:val="single" w:sz="4" w:space="0" w:color="548DD4" w:themeColor="text2" w:themeTint="99"/>
            </w:tcBorders>
            <w:vAlign w:val="center"/>
          </w:tcPr>
          <w:p w14:paraId="15099F41" w14:textId="69CCC3D5" w:rsidR="004914EA" w:rsidRPr="0014395C" w:rsidRDefault="00597951" w:rsidP="004F3330">
            <w:pPr>
              <w:spacing w:after="0"/>
              <w:jc w:val="both"/>
              <w:rPr>
                <w:rFonts w:ascii="Calibri" w:hAnsi="Calibri" w:cs="Calibri"/>
                <w:color w:val="808080" w:themeColor="background1" w:themeShade="80"/>
                <w:sz w:val="20"/>
                <w:szCs w:val="20"/>
              </w:rPr>
            </w:pPr>
            <w:r w:rsidRPr="00C33B3F">
              <w:rPr>
                <w:rFonts w:ascii="Calibri" w:hAnsi="Calibri" w:cs="Calibri"/>
                <w:color w:val="808080" w:themeColor="background1" w:themeShade="80"/>
                <w:sz w:val="20"/>
                <w:szCs w:val="20"/>
              </w:rPr>
              <w:t>Meetings are scheduled in January to review this measure and expand where possible using the PuMP process.</w:t>
            </w:r>
          </w:p>
        </w:tc>
      </w:tr>
      <w:tr w:rsidR="00AA6419" w:rsidRPr="0014395C" w14:paraId="7C3C7513"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6AB035D2" w14:textId="0C83267D" w:rsidR="00AA6419" w:rsidRPr="0014395C" w:rsidRDefault="00000000" w:rsidP="00AA6419">
            <w:pPr>
              <w:spacing w:after="0"/>
              <w:jc w:val="center"/>
              <w:rPr>
                <w:rFonts w:ascii="Calibri" w:hAnsi="Calibri" w:cs="Calibri"/>
                <w:b/>
                <w:bCs/>
                <w:color w:val="808080" w:themeColor="background1" w:themeShade="80"/>
                <w:sz w:val="20"/>
                <w:szCs w:val="20"/>
              </w:rPr>
            </w:pPr>
            <w:hyperlink r:id="rId37" w:history="1">
              <w:r w:rsidR="00AA6419" w:rsidRPr="0014395C">
                <w:rPr>
                  <w:rStyle w:val="Hyperlink"/>
                  <w:rFonts w:ascii="Calibri" w:hAnsi="Calibri" w:cs="Calibri"/>
                  <w:b/>
                  <w:bCs/>
                  <w:color w:val="808080" w:themeColor="background1" w:themeShade="80"/>
                  <w:sz w:val="20"/>
                  <w:szCs w:val="20"/>
                </w:rPr>
                <w:t>National Nature Reserve online engagement</w:t>
              </w:r>
            </w:hyperlink>
          </w:p>
        </w:tc>
        <w:tc>
          <w:tcPr>
            <w:tcW w:w="2977" w:type="dxa"/>
            <w:tcBorders>
              <w:top w:val="single" w:sz="4" w:space="0" w:color="548DD4" w:themeColor="text2" w:themeTint="99"/>
              <w:bottom w:val="single" w:sz="4" w:space="0" w:color="548DD4" w:themeColor="text2" w:themeTint="99"/>
            </w:tcBorders>
            <w:vAlign w:val="center"/>
          </w:tcPr>
          <w:p w14:paraId="050DBAD8" w14:textId="42785594" w:rsidR="00AA6419" w:rsidRPr="0014395C" w:rsidRDefault="00141636" w:rsidP="00AA6419">
            <w:pPr>
              <w:spacing w:after="0"/>
              <w:jc w:val="both"/>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5A621C72" wp14:editId="6A14FE9A">
                  <wp:extent cx="1737360" cy="664210"/>
                  <wp:effectExtent l="0" t="0" r="0" b="2540"/>
                  <wp:docPr id="7676397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37360" cy="664210"/>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7AC5A61D" w14:textId="2A9F8020" w:rsidR="00AA6419" w:rsidRPr="0014395C" w:rsidRDefault="00486FF8" w:rsidP="00AA6419">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741,966</w:t>
            </w:r>
          </w:p>
        </w:tc>
        <w:tc>
          <w:tcPr>
            <w:tcW w:w="3969" w:type="dxa"/>
            <w:tcBorders>
              <w:top w:val="single" w:sz="4" w:space="0" w:color="548DD4" w:themeColor="text2" w:themeTint="99"/>
              <w:bottom w:val="single" w:sz="4" w:space="0" w:color="548DD4" w:themeColor="text2" w:themeTint="99"/>
            </w:tcBorders>
            <w:vAlign w:val="center"/>
          </w:tcPr>
          <w:p w14:paraId="0B82A8D7" w14:textId="22084241" w:rsidR="00AA6419" w:rsidRPr="0014395C" w:rsidRDefault="00486FF8"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Steady level of engagement consistent with what is expected. Slight drop due to seasonal nature of some sites.</w:t>
            </w:r>
          </w:p>
        </w:tc>
        <w:tc>
          <w:tcPr>
            <w:tcW w:w="4400" w:type="dxa"/>
            <w:tcBorders>
              <w:top w:val="single" w:sz="4" w:space="0" w:color="548DD4" w:themeColor="text2" w:themeTint="99"/>
              <w:bottom w:val="single" w:sz="4" w:space="0" w:color="548DD4" w:themeColor="text2" w:themeTint="99"/>
            </w:tcBorders>
            <w:vAlign w:val="center"/>
          </w:tcPr>
          <w:p w14:paraId="2E93EECA" w14:textId="3D25FD56" w:rsidR="00AA6419" w:rsidRPr="0014395C" w:rsidRDefault="00486FF8"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New Meta measures no longer counting engagement on shared NNR page so seeing a significant drop in count for this page</w:t>
            </w:r>
          </w:p>
        </w:tc>
      </w:tr>
    </w:tbl>
    <w:p w14:paraId="05EE538B" w14:textId="6A118E59" w:rsidR="004914EA" w:rsidRPr="0014395C" w:rsidRDefault="004914EA" w:rsidP="008D20BE">
      <w:pPr>
        <w:spacing w:after="160" w:line="259" w:lineRule="auto"/>
        <w:rPr>
          <w:rFonts w:ascii="Calibri" w:eastAsiaTheme="majorEastAsia" w:hAnsi="Calibri" w:cs="Calibri"/>
          <w:b/>
          <w:sz w:val="20"/>
          <w:szCs w:val="20"/>
        </w:rPr>
      </w:pPr>
    </w:p>
    <w:p w14:paraId="3E8EE2F2" w14:textId="77777777" w:rsidR="004914EA" w:rsidRPr="0014395C" w:rsidRDefault="004914EA">
      <w:pPr>
        <w:rPr>
          <w:rFonts w:ascii="Calibri" w:eastAsiaTheme="majorEastAsia" w:hAnsi="Calibri" w:cs="Calibri"/>
          <w:b/>
          <w:sz w:val="20"/>
          <w:szCs w:val="20"/>
        </w:rPr>
      </w:pPr>
      <w:r w:rsidRPr="0014395C">
        <w:rPr>
          <w:rFonts w:ascii="Calibri" w:eastAsiaTheme="majorEastAsia" w:hAnsi="Calibri" w:cs="Calibri"/>
          <w:b/>
          <w:sz w:val="20"/>
          <w:szCs w:val="20"/>
        </w:rPr>
        <w:br w:type="page"/>
      </w:r>
    </w:p>
    <w:p w14:paraId="6A4836A2" w14:textId="77777777"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WE HAVE TRANSFORMED HOW WE WORK</w:t>
      </w:r>
    </w:p>
    <w:tbl>
      <w:tblPr>
        <w:tblW w:w="15101" w:type="dxa"/>
        <w:jc w:val="center"/>
        <w:tblLayout w:type="fixed"/>
        <w:tblLook w:val="04A0" w:firstRow="1" w:lastRow="0" w:firstColumn="1" w:lastColumn="0" w:noHBand="0" w:noVBand="1"/>
      </w:tblPr>
      <w:tblGrid>
        <w:gridCol w:w="2268"/>
        <w:gridCol w:w="3544"/>
        <w:gridCol w:w="890"/>
        <w:gridCol w:w="3544"/>
        <w:gridCol w:w="4855"/>
      </w:tblGrid>
      <w:tr w:rsidR="009B1972" w:rsidRPr="0014395C" w14:paraId="314B497C" w14:textId="77777777" w:rsidTr="00E95950">
        <w:trPr>
          <w:tblHeader/>
          <w:jc w:val="center"/>
        </w:trPr>
        <w:tc>
          <w:tcPr>
            <w:tcW w:w="2268" w:type="dxa"/>
            <w:tcBorders>
              <w:bottom w:val="single" w:sz="4" w:space="0" w:color="548DD4" w:themeColor="text2" w:themeTint="99"/>
            </w:tcBorders>
          </w:tcPr>
          <w:p w14:paraId="0983C07D" w14:textId="77777777" w:rsidR="004914EA" w:rsidRPr="0014395C" w:rsidRDefault="004914EA" w:rsidP="00930721">
            <w:pPr>
              <w:spacing w:after="0"/>
              <w:jc w:val="center"/>
              <w:rPr>
                <w:rFonts w:ascii="Calibri" w:hAnsi="Calibri" w:cs="Calibri"/>
                <w:b/>
              </w:rPr>
            </w:pPr>
            <w:r w:rsidRPr="0014395C">
              <w:rPr>
                <w:rFonts w:ascii="Calibri" w:hAnsi="Calibri" w:cs="Calibri"/>
                <w:b/>
              </w:rPr>
              <w:t>Measure</w:t>
            </w:r>
          </w:p>
        </w:tc>
        <w:tc>
          <w:tcPr>
            <w:tcW w:w="3544" w:type="dxa"/>
            <w:tcBorders>
              <w:bottom w:val="single" w:sz="4" w:space="0" w:color="548DD4" w:themeColor="text2" w:themeTint="99"/>
            </w:tcBorders>
          </w:tcPr>
          <w:p w14:paraId="1E7C4212" w14:textId="77777777" w:rsidR="004914EA" w:rsidRPr="0014395C" w:rsidRDefault="004914EA" w:rsidP="00930721">
            <w:pPr>
              <w:spacing w:after="0"/>
              <w:jc w:val="center"/>
              <w:rPr>
                <w:rFonts w:ascii="Calibri" w:hAnsi="Calibri" w:cs="Calibri"/>
                <w:b/>
              </w:rPr>
            </w:pPr>
            <w:r w:rsidRPr="0014395C">
              <w:rPr>
                <w:rFonts w:ascii="Calibri" w:hAnsi="Calibri" w:cs="Calibri"/>
                <w:b/>
              </w:rPr>
              <w:t>Performance Overview</w:t>
            </w:r>
          </w:p>
        </w:tc>
        <w:tc>
          <w:tcPr>
            <w:tcW w:w="890" w:type="dxa"/>
            <w:tcBorders>
              <w:bottom w:val="single" w:sz="4" w:space="0" w:color="548DD4" w:themeColor="text2" w:themeTint="99"/>
            </w:tcBorders>
          </w:tcPr>
          <w:p w14:paraId="1FFF6B08" w14:textId="77777777" w:rsidR="004914EA" w:rsidRPr="0014395C" w:rsidRDefault="004914EA" w:rsidP="00930721">
            <w:pPr>
              <w:spacing w:after="0"/>
              <w:jc w:val="center"/>
              <w:rPr>
                <w:rFonts w:ascii="Calibri" w:hAnsi="Calibri" w:cs="Calibri"/>
                <w:b/>
              </w:rPr>
            </w:pPr>
            <w:r w:rsidRPr="0014395C">
              <w:rPr>
                <w:rFonts w:ascii="Calibri" w:hAnsi="Calibri" w:cs="Calibri"/>
                <w:b/>
              </w:rPr>
              <w:t>Actual</w:t>
            </w:r>
          </w:p>
        </w:tc>
        <w:tc>
          <w:tcPr>
            <w:tcW w:w="3544" w:type="dxa"/>
            <w:tcBorders>
              <w:bottom w:val="single" w:sz="4" w:space="0" w:color="548DD4" w:themeColor="text2" w:themeTint="99"/>
            </w:tcBorders>
          </w:tcPr>
          <w:p w14:paraId="24B9D81E"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4855" w:type="dxa"/>
            <w:tcBorders>
              <w:bottom w:val="single" w:sz="4" w:space="0" w:color="548DD4" w:themeColor="text2" w:themeTint="99"/>
            </w:tcBorders>
          </w:tcPr>
          <w:p w14:paraId="08A4B1F2" w14:textId="77777777" w:rsidR="004914EA" w:rsidRPr="0014395C" w:rsidRDefault="004914EA" w:rsidP="004F3330">
            <w:pPr>
              <w:spacing w:after="0"/>
              <w:jc w:val="center"/>
              <w:rPr>
                <w:rFonts w:ascii="Calibri" w:hAnsi="Calibri" w:cs="Calibri"/>
                <w:b/>
              </w:rPr>
            </w:pPr>
            <w:r w:rsidRPr="0014395C">
              <w:rPr>
                <w:rFonts w:ascii="Calibri" w:hAnsi="Calibri" w:cs="Calibri"/>
                <w:b/>
              </w:rPr>
              <w:t>Response</w:t>
            </w:r>
          </w:p>
        </w:tc>
      </w:tr>
      <w:tr w:rsidR="004914EA" w:rsidRPr="0014395C" w14:paraId="45619461" w14:textId="77777777" w:rsidTr="00E95950">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60BB33F4" w14:textId="4AE107E7" w:rsidR="004914EA" w:rsidRPr="00387B92" w:rsidRDefault="00000000" w:rsidP="00930721">
            <w:pPr>
              <w:spacing w:after="0"/>
              <w:jc w:val="center"/>
              <w:rPr>
                <w:rFonts w:ascii="Calibri" w:hAnsi="Calibri" w:cs="Calibri"/>
                <w:b/>
                <w:iCs/>
                <w:color w:val="808080" w:themeColor="background1" w:themeShade="80"/>
                <w:sz w:val="20"/>
                <w:szCs w:val="20"/>
                <w:highlight w:val="yellow"/>
              </w:rPr>
            </w:pPr>
            <w:hyperlink r:id="rId39" w:history="1">
              <w:r w:rsidR="004914EA" w:rsidRPr="00540A77">
                <w:rPr>
                  <w:rStyle w:val="Hyperlink"/>
                  <w:rFonts w:ascii="Calibri" w:hAnsi="Calibri" w:cs="Calibri"/>
                  <w:b/>
                  <w:iCs/>
                  <w:color w:val="808080" w:themeColor="background1" w:themeShade="80"/>
                  <w:sz w:val="20"/>
                  <w:szCs w:val="20"/>
                </w:rPr>
                <w:t>Sq meterage of floorspace dedicated to NatureScot</w:t>
              </w:r>
            </w:hyperlink>
          </w:p>
        </w:tc>
        <w:tc>
          <w:tcPr>
            <w:tcW w:w="3544" w:type="dxa"/>
            <w:tcBorders>
              <w:top w:val="single" w:sz="4" w:space="0" w:color="548DD4" w:themeColor="text2" w:themeTint="99"/>
              <w:bottom w:val="single" w:sz="4" w:space="0" w:color="548DD4" w:themeColor="text2" w:themeTint="99"/>
            </w:tcBorders>
            <w:vAlign w:val="center"/>
          </w:tcPr>
          <w:p w14:paraId="08C4FF58" w14:textId="0A9F3197" w:rsidR="004914EA" w:rsidRPr="0014395C" w:rsidRDefault="00540A77" w:rsidP="00930721">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890" w:type="dxa"/>
            <w:tcBorders>
              <w:top w:val="single" w:sz="4" w:space="0" w:color="548DD4" w:themeColor="text2" w:themeTint="99"/>
              <w:bottom w:val="single" w:sz="4" w:space="0" w:color="548DD4" w:themeColor="text2" w:themeTint="99"/>
            </w:tcBorders>
            <w:vAlign w:val="center"/>
          </w:tcPr>
          <w:p w14:paraId="0884956F" w14:textId="11D4A01A" w:rsidR="004914EA" w:rsidRPr="0014395C" w:rsidRDefault="00540A77" w:rsidP="00930721">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3544" w:type="dxa"/>
            <w:tcBorders>
              <w:top w:val="single" w:sz="4" w:space="0" w:color="548DD4" w:themeColor="text2" w:themeTint="99"/>
              <w:bottom w:val="single" w:sz="4" w:space="0" w:color="548DD4" w:themeColor="text2" w:themeTint="99"/>
            </w:tcBorders>
            <w:vAlign w:val="center"/>
          </w:tcPr>
          <w:p w14:paraId="61657B38" w14:textId="43B0A477" w:rsidR="004914EA" w:rsidRPr="0014395C" w:rsidRDefault="00A87436" w:rsidP="00D63C79">
            <w:pPr>
              <w:spacing w:after="0"/>
              <w:jc w:val="both"/>
              <w:rPr>
                <w:rFonts w:ascii="Calibri" w:hAnsi="Calibri" w:cs="Calibri"/>
                <w:color w:val="808080" w:themeColor="background1" w:themeShade="80"/>
                <w:sz w:val="20"/>
                <w:szCs w:val="20"/>
              </w:rPr>
            </w:pPr>
            <w:r w:rsidRPr="00A87436">
              <w:rPr>
                <w:rFonts w:ascii="Calibri" w:hAnsi="Calibri" w:cs="Calibri"/>
                <w:color w:val="808080" w:themeColor="background1" w:themeShade="80"/>
                <w:sz w:val="20"/>
                <w:szCs w:val="20"/>
              </w:rPr>
              <w:t>The benchmarking is out of date and there is a lack of resource funding and skills to refresh this information.</w:t>
            </w:r>
          </w:p>
        </w:tc>
        <w:tc>
          <w:tcPr>
            <w:tcW w:w="4855" w:type="dxa"/>
            <w:tcBorders>
              <w:top w:val="single" w:sz="4" w:space="0" w:color="548DD4" w:themeColor="text2" w:themeTint="99"/>
              <w:bottom w:val="single" w:sz="4" w:space="0" w:color="548DD4" w:themeColor="text2" w:themeTint="99"/>
            </w:tcBorders>
            <w:vAlign w:val="center"/>
          </w:tcPr>
          <w:p w14:paraId="0D350085" w14:textId="58FF1ACC" w:rsidR="004914EA" w:rsidRPr="0014395C" w:rsidRDefault="00A87436" w:rsidP="004F3330">
            <w:pPr>
              <w:spacing w:after="0"/>
              <w:jc w:val="both"/>
              <w:rPr>
                <w:rFonts w:ascii="Calibri" w:hAnsi="Calibri" w:cs="Calibri"/>
                <w:color w:val="808080" w:themeColor="background1" w:themeShade="80"/>
                <w:sz w:val="20"/>
                <w:szCs w:val="20"/>
              </w:rPr>
            </w:pPr>
            <w:r w:rsidRPr="00A87436">
              <w:rPr>
                <w:rFonts w:ascii="Calibri" w:hAnsi="Calibri" w:cs="Calibri"/>
                <w:color w:val="808080" w:themeColor="background1" w:themeShade="80"/>
                <w:sz w:val="20"/>
                <w:szCs w:val="20"/>
              </w:rPr>
              <w:t>There will be discussions and reviews in Q4 to review the way the data is measured to establish a baseline. Looking to report in Q1.</w:t>
            </w:r>
          </w:p>
        </w:tc>
      </w:tr>
      <w:tr w:rsidR="004914EA" w:rsidRPr="0014395C" w14:paraId="1BB67F07" w14:textId="77777777" w:rsidTr="00E95950">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762869D4" w14:textId="212B3888" w:rsidR="004914EA" w:rsidRPr="005E05B0" w:rsidRDefault="00000000" w:rsidP="00930721">
            <w:pPr>
              <w:spacing w:after="0"/>
              <w:jc w:val="center"/>
              <w:rPr>
                <w:rFonts w:ascii="Calibri" w:hAnsi="Calibri" w:cs="Calibri"/>
                <w:b/>
                <w:iCs/>
                <w:color w:val="808080" w:themeColor="background1" w:themeShade="80"/>
                <w:sz w:val="20"/>
                <w:szCs w:val="20"/>
              </w:rPr>
            </w:pPr>
            <w:hyperlink r:id="rId40" w:history="1">
              <w:r w:rsidR="005E05B0" w:rsidRPr="005E05B0">
                <w:rPr>
                  <w:rStyle w:val="Hyperlink"/>
                  <w:rFonts w:ascii="Calibri" w:hAnsi="Calibri" w:cs="Calibri"/>
                  <w:b/>
                  <w:iCs/>
                  <w:color w:val="808080" w:themeColor="background1" w:themeShade="80"/>
                  <w:sz w:val="20"/>
                  <w:szCs w:val="20"/>
                </w:rPr>
                <w:t>Total emission reduction (tCO2)</w:t>
              </w:r>
            </w:hyperlink>
          </w:p>
        </w:tc>
        <w:tc>
          <w:tcPr>
            <w:tcW w:w="3544" w:type="dxa"/>
            <w:tcBorders>
              <w:top w:val="single" w:sz="4" w:space="0" w:color="548DD4" w:themeColor="text2" w:themeTint="99"/>
              <w:bottom w:val="single" w:sz="4" w:space="0" w:color="548DD4" w:themeColor="text2" w:themeTint="99"/>
            </w:tcBorders>
            <w:vAlign w:val="center"/>
          </w:tcPr>
          <w:p w14:paraId="0770E846" w14:textId="30AA64DA" w:rsidR="004914EA" w:rsidRPr="005E05B0" w:rsidRDefault="005E05B0" w:rsidP="00930721">
            <w:pPr>
              <w:spacing w:after="0"/>
              <w:jc w:val="center"/>
              <w:rPr>
                <w:rFonts w:ascii="Calibri" w:hAnsi="Calibri" w:cs="Calibri"/>
                <w:color w:val="808080" w:themeColor="background1" w:themeShade="80"/>
                <w:sz w:val="20"/>
                <w:szCs w:val="20"/>
              </w:rPr>
            </w:pPr>
            <w:r w:rsidRPr="005E05B0">
              <w:rPr>
                <w:rFonts w:ascii="Calibri" w:hAnsi="Calibri" w:cs="Calibri"/>
                <w:noProof/>
                <w:color w:val="808080" w:themeColor="background1" w:themeShade="80"/>
                <w:sz w:val="20"/>
                <w:szCs w:val="20"/>
                <w:lang w:eastAsia="en-GB"/>
              </w:rPr>
              <w:drawing>
                <wp:inline distT="0" distB="0" distL="0" distR="0" wp14:anchorId="50A2C153" wp14:editId="55E0EB29">
                  <wp:extent cx="2066925" cy="786765"/>
                  <wp:effectExtent l="0" t="0" r="0" b="0"/>
                  <wp:docPr id="1509298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66925" cy="786765"/>
                          </a:xfrm>
                          <a:prstGeom prst="rect">
                            <a:avLst/>
                          </a:prstGeom>
                          <a:noFill/>
                        </pic:spPr>
                      </pic:pic>
                    </a:graphicData>
                  </a:graphic>
                </wp:inline>
              </w:drawing>
            </w:r>
          </w:p>
        </w:tc>
        <w:tc>
          <w:tcPr>
            <w:tcW w:w="890" w:type="dxa"/>
            <w:tcBorders>
              <w:top w:val="single" w:sz="4" w:space="0" w:color="548DD4" w:themeColor="text2" w:themeTint="99"/>
              <w:bottom w:val="single" w:sz="4" w:space="0" w:color="548DD4" w:themeColor="text2" w:themeTint="99"/>
            </w:tcBorders>
            <w:vAlign w:val="center"/>
          </w:tcPr>
          <w:p w14:paraId="118B7B75" w14:textId="62D0F470" w:rsidR="004914EA" w:rsidRPr="005E05B0" w:rsidRDefault="005E05B0" w:rsidP="00930721">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915 tCO2</w:t>
            </w:r>
          </w:p>
        </w:tc>
        <w:tc>
          <w:tcPr>
            <w:tcW w:w="3544" w:type="dxa"/>
            <w:tcBorders>
              <w:top w:val="single" w:sz="4" w:space="0" w:color="548DD4" w:themeColor="text2" w:themeTint="99"/>
              <w:bottom w:val="single" w:sz="4" w:space="0" w:color="548DD4" w:themeColor="text2" w:themeTint="99"/>
            </w:tcBorders>
            <w:vAlign w:val="center"/>
          </w:tcPr>
          <w:p w14:paraId="2F0BE98F" w14:textId="53CDA8C4" w:rsidR="004914EA" w:rsidRPr="005E05B0" w:rsidRDefault="00E95950" w:rsidP="00D63C79">
            <w:pPr>
              <w:spacing w:after="0"/>
              <w:jc w:val="both"/>
              <w:rPr>
                <w:rFonts w:ascii="Calibri" w:hAnsi="Calibri" w:cs="Calibri"/>
                <w:color w:val="808080" w:themeColor="background1" w:themeShade="80"/>
                <w:sz w:val="20"/>
                <w:szCs w:val="20"/>
              </w:rPr>
            </w:pPr>
            <w:r w:rsidRPr="00E95950">
              <w:rPr>
                <w:rFonts w:ascii="Calibri" w:hAnsi="Calibri" w:cs="Calibri"/>
                <w:color w:val="808080" w:themeColor="background1" w:themeShade="80"/>
                <w:sz w:val="20"/>
                <w:szCs w:val="20"/>
              </w:rPr>
              <w:t>Total emissions for 20</w:t>
            </w:r>
            <w:r>
              <w:rPr>
                <w:rFonts w:ascii="Calibri" w:hAnsi="Calibri" w:cs="Calibri"/>
                <w:color w:val="808080" w:themeColor="background1" w:themeShade="80"/>
                <w:sz w:val="20"/>
                <w:szCs w:val="20"/>
              </w:rPr>
              <w:t>22/</w:t>
            </w:r>
            <w:r w:rsidRPr="00E95950">
              <w:rPr>
                <w:rFonts w:ascii="Calibri" w:hAnsi="Calibri" w:cs="Calibri"/>
                <w:color w:val="808080" w:themeColor="background1" w:themeShade="80"/>
                <w:sz w:val="20"/>
                <w:szCs w:val="20"/>
              </w:rPr>
              <w:t>23</w:t>
            </w:r>
            <w:r>
              <w:rPr>
                <w:rFonts w:ascii="Calibri" w:hAnsi="Calibri" w:cs="Calibri"/>
                <w:color w:val="808080" w:themeColor="background1" w:themeShade="80"/>
                <w:sz w:val="20"/>
                <w:szCs w:val="20"/>
              </w:rPr>
              <w:t xml:space="preserve"> </w:t>
            </w:r>
            <w:r w:rsidRPr="00E95950">
              <w:rPr>
                <w:rFonts w:ascii="Calibri" w:hAnsi="Calibri" w:cs="Calibri"/>
                <w:color w:val="808080" w:themeColor="background1" w:themeShade="80"/>
                <w:sz w:val="20"/>
                <w:szCs w:val="20"/>
              </w:rPr>
              <w:t>were 915tCO2 – up by 73tCO</w:t>
            </w:r>
            <w:r>
              <w:rPr>
                <w:rFonts w:ascii="Calibri" w:hAnsi="Calibri" w:cs="Calibri"/>
                <w:color w:val="808080" w:themeColor="background1" w:themeShade="80"/>
                <w:sz w:val="20"/>
                <w:szCs w:val="20"/>
              </w:rPr>
              <w:t>2</w:t>
            </w:r>
            <w:r w:rsidRPr="00E95950">
              <w:rPr>
                <w:rFonts w:ascii="Calibri" w:hAnsi="Calibri" w:cs="Calibri"/>
                <w:color w:val="808080" w:themeColor="background1" w:themeShade="80"/>
                <w:sz w:val="20"/>
                <w:szCs w:val="20"/>
              </w:rPr>
              <w:t xml:space="preserve"> on year before.  This is due to changes to reporting guidelines in apportionment and the increase of general activity across the organisation in fully opening after Covid, and an increase in staff numbers.  A rise in carbon has</w:t>
            </w:r>
            <w:r>
              <w:rPr>
                <w:rFonts w:ascii="Calibri" w:hAnsi="Calibri" w:cs="Calibri"/>
                <w:color w:val="808080" w:themeColor="background1" w:themeShade="80"/>
                <w:sz w:val="20"/>
                <w:szCs w:val="20"/>
              </w:rPr>
              <w:t xml:space="preserve"> also</w:t>
            </w:r>
            <w:r w:rsidRPr="00E95950">
              <w:rPr>
                <w:rFonts w:ascii="Calibri" w:hAnsi="Calibri" w:cs="Calibri"/>
                <w:color w:val="808080" w:themeColor="background1" w:themeShade="80"/>
                <w:sz w:val="20"/>
                <w:szCs w:val="20"/>
              </w:rPr>
              <w:t xml:space="preserve"> been reported</w:t>
            </w:r>
            <w:r>
              <w:rPr>
                <w:rFonts w:ascii="Calibri" w:hAnsi="Calibri" w:cs="Calibri"/>
                <w:color w:val="808080" w:themeColor="background1" w:themeShade="80"/>
                <w:sz w:val="20"/>
                <w:szCs w:val="20"/>
              </w:rPr>
              <w:t xml:space="preserve"> </w:t>
            </w:r>
            <w:r w:rsidRPr="00E95950">
              <w:rPr>
                <w:rFonts w:ascii="Calibri" w:hAnsi="Calibri" w:cs="Calibri"/>
                <w:color w:val="808080" w:themeColor="background1" w:themeShade="80"/>
                <w:sz w:val="20"/>
                <w:szCs w:val="20"/>
              </w:rPr>
              <w:t>widely through our Collaborators group</w:t>
            </w:r>
            <w:r>
              <w:rPr>
                <w:rFonts w:ascii="Calibri" w:hAnsi="Calibri" w:cs="Calibri"/>
                <w:color w:val="808080" w:themeColor="background1" w:themeShade="80"/>
                <w:sz w:val="20"/>
                <w:szCs w:val="20"/>
              </w:rPr>
              <w:t>.</w:t>
            </w:r>
          </w:p>
        </w:tc>
        <w:tc>
          <w:tcPr>
            <w:tcW w:w="4855" w:type="dxa"/>
            <w:tcBorders>
              <w:top w:val="single" w:sz="4" w:space="0" w:color="548DD4" w:themeColor="text2" w:themeTint="99"/>
              <w:bottom w:val="single" w:sz="4" w:space="0" w:color="548DD4" w:themeColor="text2" w:themeTint="99"/>
            </w:tcBorders>
            <w:vAlign w:val="center"/>
          </w:tcPr>
          <w:p w14:paraId="770BD34F" w14:textId="1F00C0B9" w:rsidR="004914EA" w:rsidRPr="005E05B0" w:rsidRDefault="00E95950" w:rsidP="004F3330">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w:t>
            </w:r>
            <w:r w:rsidRPr="00E95950">
              <w:rPr>
                <w:rFonts w:ascii="Calibri" w:hAnsi="Calibri" w:cs="Calibri"/>
                <w:color w:val="808080" w:themeColor="background1" w:themeShade="80"/>
                <w:sz w:val="20"/>
                <w:szCs w:val="20"/>
              </w:rPr>
              <w:t xml:space="preserve">he tCO2 per FTE </w:t>
            </w:r>
            <w:r>
              <w:rPr>
                <w:rFonts w:ascii="Calibri" w:hAnsi="Calibri" w:cs="Calibri"/>
                <w:color w:val="808080" w:themeColor="background1" w:themeShade="80"/>
                <w:sz w:val="20"/>
                <w:szCs w:val="20"/>
              </w:rPr>
              <w:t>was 1.28 (</w:t>
            </w:r>
            <w:r w:rsidRPr="00E95950">
              <w:rPr>
                <w:rFonts w:ascii="Calibri" w:hAnsi="Calibri" w:cs="Calibri"/>
                <w:color w:val="808080" w:themeColor="background1" w:themeShade="80"/>
                <w:sz w:val="20"/>
                <w:szCs w:val="20"/>
              </w:rPr>
              <w:t>increased by 0.04tCO2 from last year</w:t>
            </w:r>
            <w:r>
              <w:rPr>
                <w:rFonts w:ascii="Calibri" w:hAnsi="Calibri" w:cs="Calibri"/>
                <w:color w:val="808080" w:themeColor="background1" w:themeShade="80"/>
                <w:sz w:val="20"/>
                <w:szCs w:val="20"/>
              </w:rPr>
              <w:t>),</w:t>
            </w:r>
            <w:r w:rsidRPr="00E95950">
              <w:rPr>
                <w:rFonts w:ascii="Calibri" w:hAnsi="Calibri" w:cs="Calibri"/>
                <w:color w:val="808080" w:themeColor="background1" w:themeShade="80"/>
                <w:sz w:val="20"/>
                <w:szCs w:val="20"/>
              </w:rPr>
              <w:t xml:space="preserve"> there was an increase in the homeworking formula used to calculate this estimated figure</w:t>
            </w:r>
            <w:r>
              <w:rPr>
                <w:rFonts w:ascii="Calibri" w:hAnsi="Calibri" w:cs="Calibri"/>
                <w:color w:val="808080" w:themeColor="background1" w:themeShade="80"/>
                <w:sz w:val="20"/>
                <w:szCs w:val="20"/>
              </w:rPr>
              <w:t xml:space="preserve"> which is</w:t>
            </w:r>
            <w:r w:rsidRPr="00E95950">
              <w:rPr>
                <w:rFonts w:ascii="Calibri" w:hAnsi="Calibri" w:cs="Calibri"/>
                <w:color w:val="808080" w:themeColor="background1" w:themeShade="80"/>
                <w:sz w:val="20"/>
                <w:szCs w:val="20"/>
              </w:rPr>
              <w:t xml:space="preserve"> still lower than pre-covid.</w:t>
            </w:r>
            <w:r>
              <w:rPr>
                <w:rFonts w:ascii="Calibri" w:hAnsi="Calibri" w:cs="Calibri"/>
                <w:color w:val="808080" w:themeColor="background1" w:themeShade="80"/>
                <w:sz w:val="20"/>
                <w:szCs w:val="20"/>
              </w:rPr>
              <w:t xml:space="preserve"> E</w:t>
            </w:r>
            <w:r w:rsidRPr="00E95950">
              <w:rPr>
                <w:rFonts w:ascii="Calibri" w:hAnsi="Calibri" w:cs="Calibri"/>
                <w:color w:val="808080" w:themeColor="background1" w:themeShade="80"/>
                <w:sz w:val="20"/>
                <w:szCs w:val="20"/>
              </w:rPr>
              <w:t>ach year the reporting mechanism changes, becomes more accurate, includes elements not previously, so not directly comparable to previous years.  This will increase further over the next couple of years, when guidance for Scope 3 emissions is issued and we will need to prepare for the calculation of supply chain and capital asset carbon figures</w:t>
            </w:r>
          </w:p>
        </w:tc>
      </w:tr>
      <w:tr w:rsidR="00A15D6F" w:rsidRPr="0014395C" w14:paraId="47915FAF" w14:textId="77777777" w:rsidTr="00E95950">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2414CD24" w14:textId="29DBD9C9" w:rsidR="004914EA" w:rsidRPr="0014395C" w:rsidRDefault="00000000" w:rsidP="00B65223">
            <w:pPr>
              <w:spacing w:after="0"/>
              <w:jc w:val="center"/>
              <w:rPr>
                <w:rFonts w:ascii="Calibri" w:hAnsi="Calibri" w:cs="Calibri"/>
                <w:b/>
                <w:iCs/>
                <w:color w:val="808080" w:themeColor="background1" w:themeShade="80"/>
                <w:sz w:val="20"/>
                <w:szCs w:val="20"/>
                <w:u w:val="single"/>
              </w:rPr>
            </w:pPr>
            <w:hyperlink r:id="rId42" w:history="1">
              <w:r w:rsidR="004914EA" w:rsidRPr="0014395C">
                <w:rPr>
                  <w:rStyle w:val="Hyperlink"/>
                  <w:rFonts w:ascii="Calibri" w:hAnsi="Calibri" w:cs="Calibri"/>
                  <w:b/>
                  <w:iCs/>
                  <w:color w:val="808080" w:themeColor="background1" w:themeShade="80"/>
                  <w:sz w:val="20"/>
                  <w:szCs w:val="20"/>
                </w:rPr>
                <w:t>Workforce Diversity</w:t>
              </w:r>
            </w:hyperlink>
            <w:r w:rsidR="000C0C63" w:rsidRPr="0014395C">
              <w:rPr>
                <w:rStyle w:val="Hyperlink"/>
                <w:rFonts w:ascii="Calibri" w:hAnsi="Calibri" w:cs="Calibri"/>
                <w:b/>
                <w:iCs/>
                <w:color w:val="808080" w:themeColor="background1" w:themeShade="80"/>
                <w:sz w:val="20"/>
                <w:szCs w:val="20"/>
              </w:rPr>
              <w:t xml:space="preserve"> </w:t>
            </w:r>
          </w:p>
        </w:tc>
        <w:tc>
          <w:tcPr>
            <w:tcW w:w="3544" w:type="dxa"/>
            <w:tcBorders>
              <w:top w:val="single" w:sz="4" w:space="0" w:color="548DD4" w:themeColor="text2" w:themeTint="99"/>
              <w:bottom w:val="single" w:sz="4" w:space="0" w:color="548DD4" w:themeColor="text2" w:themeTint="99"/>
            </w:tcBorders>
            <w:vAlign w:val="center"/>
          </w:tcPr>
          <w:p w14:paraId="5390B066" w14:textId="77777777" w:rsidR="00803E97" w:rsidRPr="0014395C" w:rsidRDefault="00B65223" w:rsidP="00930721">
            <w:pPr>
              <w:spacing w:after="0"/>
              <w:jc w:val="center"/>
              <w:rPr>
                <w:rFonts w:ascii="Calibri" w:hAnsi="Calibri" w:cs="Calibri"/>
                <w:b/>
                <w:bCs/>
                <w:noProof/>
                <w:color w:val="808080" w:themeColor="background1" w:themeShade="80"/>
                <w:sz w:val="20"/>
                <w:szCs w:val="20"/>
              </w:rPr>
            </w:pPr>
            <w:r w:rsidRPr="0014395C">
              <w:rPr>
                <w:rFonts w:ascii="Calibri" w:hAnsi="Calibri" w:cs="Calibri"/>
                <w:b/>
                <w:bCs/>
                <w:noProof/>
                <w:color w:val="808080" w:themeColor="background1" w:themeShade="80"/>
                <w:sz w:val="20"/>
                <w:szCs w:val="20"/>
              </w:rPr>
              <w:t>Age</w:t>
            </w:r>
          </w:p>
          <w:p w14:paraId="2BE97161" w14:textId="727EECD5" w:rsidR="00803E97" w:rsidRPr="0014395C" w:rsidRDefault="006F4A92" w:rsidP="00930721">
            <w:pPr>
              <w:spacing w:after="0"/>
              <w:jc w:val="center"/>
              <w:rPr>
                <w:rFonts w:ascii="Calibri" w:hAnsi="Calibri" w:cs="Calibri"/>
                <w:noProof/>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23D356C8" wp14:editId="78D736A5">
                  <wp:extent cx="1943100" cy="562603"/>
                  <wp:effectExtent l="0" t="0" r="0" b="0"/>
                  <wp:docPr id="11260729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66346" cy="569334"/>
                          </a:xfrm>
                          <a:prstGeom prst="rect">
                            <a:avLst/>
                          </a:prstGeom>
                          <a:noFill/>
                        </pic:spPr>
                      </pic:pic>
                    </a:graphicData>
                  </a:graphic>
                </wp:inline>
              </w:drawing>
            </w:r>
          </w:p>
          <w:p w14:paraId="6A773902" w14:textId="244C09B2" w:rsidR="00B65223" w:rsidRPr="0014395C" w:rsidRDefault="00B65223" w:rsidP="00930721">
            <w:pPr>
              <w:spacing w:after="0"/>
              <w:jc w:val="center"/>
              <w:rPr>
                <w:rFonts w:ascii="Calibri" w:hAnsi="Calibri" w:cs="Calibri"/>
                <w:noProof/>
                <w:color w:val="808080" w:themeColor="background1" w:themeShade="80"/>
                <w:sz w:val="20"/>
                <w:szCs w:val="20"/>
                <w:lang w:eastAsia="en-GB"/>
              </w:rPr>
            </w:pPr>
            <w:r w:rsidRPr="0014395C">
              <w:rPr>
                <w:rFonts w:ascii="Calibri" w:hAnsi="Calibri" w:cs="Calibri"/>
                <w:b/>
                <w:bCs/>
                <w:noProof/>
                <w:color w:val="808080" w:themeColor="background1" w:themeShade="80"/>
                <w:sz w:val="20"/>
                <w:szCs w:val="20"/>
                <w:lang w:eastAsia="en-GB"/>
              </w:rPr>
              <w:t>Disability</w:t>
            </w:r>
          </w:p>
          <w:p w14:paraId="540C4E1D" w14:textId="3FEA4F80" w:rsidR="004914EA" w:rsidRPr="0014395C" w:rsidRDefault="006F4A92" w:rsidP="00B65223">
            <w:pPr>
              <w:spacing w:after="0"/>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592B4447" wp14:editId="14C73171">
                  <wp:extent cx="1895475" cy="754873"/>
                  <wp:effectExtent l="0" t="0" r="0" b="0"/>
                  <wp:docPr id="176438789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4646" cy="758525"/>
                          </a:xfrm>
                          <a:prstGeom prst="rect">
                            <a:avLst/>
                          </a:prstGeom>
                          <a:noFill/>
                        </pic:spPr>
                      </pic:pic>
                    </a:graphicData>
                  </a:graphic>
                </wp:inline>
              </w:drawing>
            </w:r>
          </w:p>
          <w:p w14:paraId="751D762E" w14:textId="77777777" w:rsidR="00B65223" w:rsidRPr="0014395C" w:rsidRDefault="00B65223" w:rsidP="00B65223">
            <w:pPr>
              <w:spacing w:after="0"/>
              <w:jc w:val="center"/>
              <w:rPr>
                <w:rFonts w:ascii="Calibri" w:hAnsi="Calibri" w:cs="Calibri"/>
                <w:b/>
                <w:bCs/>
                <w:color w:val="808080" w:themeColor="background1" w:themeShade="80"/>
                <w:sz w:val="20"/>
                <w:szCs w:val="20"/>
              </w:rPr>
            </w:pPr>
            <w:r w:rsidRPr="0014395C">
              <w:rPr>
                <w:rFonts w:ascii="Calibri" w:hAnsi="Calibri" w:cs="Calibri"/>
                <w:b/>
                <w:bCs/>
                <w:color w:val="808080" w:themeColor="background1" w:themeShade="80"/>
                <w:sz w:val="20"/>
                <w:szCs w:val="20"/>
              </w:rPr>
              <w:t>Ethnicity</w:t>
            </w:r>
          </w:p>
          <w:p w14:paraId="4D0EAEC7" w14:textId="3EF422CE" w:rsidR="00B65223" w:rsidRPr="0014395C" w:rsidRDefault="002B7ED3" w:rsidP="00B65223">
            <w:pPr>
              <w:spacing w:after="0"/>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62A861C7" wp14:editId="24C45571">
                  <wp:extent cx="2028825" cy="672888"/>
                  <wp:effectExtent l="0" t="0" r="0" b="0"/>
                  <wp:docPr id="67104705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69983" cy="686539"/>
                          </a:xfrm>
                          <a:prstGeom prst="rect">
                            <a:avLst/>
                          </a:prstGeom>
                          <a:noFill/>
                        </pic:spPr>
                      </pic:pic>
                    </a:graphicData>
                  </a:graphic>
                </wp:inline>
              </w:drawing>
            </w:r>
          </w:p>
        </w:tc>
        <w:tc>
          <w:tcPr>
            <w:tcW w:w="890" w:type="dxa"/>
            <w:tcBorders>
              <w:top w:val="single" w:sz="4" w:space="0" w:color="548DD4" w:themeColor="text2" w:themeTint="99"/>
              <w:bottom w:val="single" w:sz="4" w:space="0" w:color="548DD4" w:themeColor="text2" w:themeTint="99"/>
            </w:tcBorders>
            <w:vAlign w:val="center"/>
          </w:tcPr>
          <w:p w14:paraId="4753D3D2" w14:textId="7AD2F975" w:rsidR="004914EA" w:rsidRPr="0014395C" w:rsidRDefault="004914EA" w:rsidP="00930721">
            <w:pPr>
              <w:spacing w:after="0"/>
              <w:jc w:val="center"/>
              <w:rPr>
                <w:rFonts w:ascii="Calibri" w:hAnsi="Calibri" w:cs="Calibri"/>
                <w:color w:val="808080" w:themeColor="background1" w:themeShade="80"/>
                <w:sz w:val="20"/>
                <w:szCs w:val="20"/>
              </w:rPr>
            </w:pPr>
          </w:p>
        </w:tc>
        <w:tc>
          <w:tcPr>
            <w:tcW w:w="3544" w:type="dxa"/>
            <w:tcBorders>
              <w:top w:val="single" w:sz="4" w:space="0" w:color="548DD4" w:themeColor="text2" w:themeTint="99"/>
              <w:bottom w:val="single" w:sz="4" w:space="0" w:color="548DD4" w:themeColor="text2" w:themeTint="99"/>
            </w:tcBorders>
            <w:vAlign w:val="center"/>
          </w:tcPr>
          <w:p w14:paraId="75F1FCB9" w14:textId="47153FAF" w:rsidR="004914EA" w:rsidRPr="0014395C" w:rsidRDefault="00056670" w:rsidP="004F3330">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Cultural</w:t>
            </w:r>
            <w:r w:rsidR="00A04497" w:rsidRPr="0014395C">
              <w:rPr>
                <w:rFonts w:ascii="Calibri" w:hAnsi="Calibri" w:cs="Calibri"/>
                <w:color w:val="808080" w:themeColor="background1" w:themeShade="80"/>
                <w:sz w:val="20"/>
                <w:szCs w:val="20"/>
              </w:rPr>
              <w:t xml:space="preserve"> norms</w:t>
            </w:r>
            <w:r w:rsidRPr="0014395C">
              <w:rPr>
                <w:rFonts w:ascii="Calibri" w:hAnsi="Calibri" w:cs="Calibri"/>
                <w:color w:val="808080" w:themeColor="background1" w:themeShade="80"/>
                <w:sz w:val="20"/>
                <w:szCs w:val="20"/>
              </w:rPr>
              <w:t xml:space="preserve"> remain</w:t>
            </w:r>
            <w:r w:rsidR="00A04497" w:rsidRPr="0014395C">
              <w:rPr>
                <w:rFonts w:ascii="Calibri" w:hAnsi="Calibri" w:cs="Calibri"/>
                <w:color w:val="808080" w:themeColor="background1" w:themeShade="80"/>
                <w:sz w:val="20"/>
                <w:szCs w:val="20"/>
              </w:rPr>
              <w:t>. We continue to work in Partnership to tackle these</w:t>
            </w:r>
          </w:p>
        </w:tc>
        <w:tc>
          <w:tcPr>
            <w:tcW w:w="4855" w:type="dxa"/>
            <w:tcBorders>
              <w:top w:val="single" w:sz="4" w:space="0" w:color="548DD4" w:themeColor="text2" w:themeTint="99"/>
              <w:bottom w:val="single" w:sz="4" w:space="0" w:color="548DD4" w:themeColor="text2" w:themeTint="99"/>
            </w:tcBorders>
            <w:vAlign w:val="center"/>
          </w:tcPr>
          <w:p w14:paraId="5F793273" w14:textId="3B21A14A" w:rsidR="004914EA" w:rsidRPr="0014395C" w:rsidRDefault="000C0C63" w:rsidP="0070585B">
            <w:pPr>
              <w:spacing w:after="0"/>
              <w:jc w:val="both"/>
              <w:rPr>
                <w:rFonts w:ascii="Calibri" w:hAnsi="Calibri" w:cs="Calibri"/>
                <w:b/>
                <w:color w:val="808080" w:themeColor="background1" w:themeShade="80"/>
                <w:sz w:val="20"/>
                <w:szCs w:val="20"/>
              </w:rPr>
            </w:pPr>
            <w:r w:rsidRPr="0014395C">
              <w:rPr>
                <w:rFonts w:ascii="Calibri" w:hAnsi="Calibri" w:cs="Calibri"/>
                <w:color w:val="808080" w:themeColor="background1" w:themeShade="80"/>
                <w:sz w:val="20"/>
                <w:szCs w:val="20"/>
              </w:rPr>
              <w:t>We</w:t>
            </w:r>
            <w:r w:rsidR="00A04497" w:rsidRPr="0014395C">
              <w:rPr>
                <w:rFonts w:ascii="Calibri" w:hAnsi="Calibri" w:cs="Calibri"/>
                <w:color w:val="808080" w:themeColor="background1" w:themeShade="80"/>
                <w:sz w:val="20"/>
                <w:szCs w:val="20"/>
              </w:rPr>
              <w:t xml:space="preserve"> will continue</w:t>
            </w:r>
            <w:r w:rsidRPr="0014395C">
              <w:rPr>
                <w:rFonts w:ascii="Calibri" w:hAnsi="Calibri" w:cs="Calibri"/>
                <w:color w:val="808080" w:themeColor="background1" w:themeShade="80"/>
                <w:sz w:val="20"/>
                <w:szCs w:val="20"/>
              </w:rPr>
              <w:t xml:space="preserve"> to </w:t>
            </w:r>
            <w:r w:rsidR="00A04497" w:rsidRPr="0014395C">
              <w:rPr>
                <w:rFonts w:ascii="Calibri" w:hAnsi="Calibri" w:cs="Calibri"/>
                <w:color w:val="808080" w:themeColor="background1" w:themeShade="80"/>
                <w:sz w:val="20"/>
                <w:szCs w:val="20"/>
              </w:rPr>
              <w:t xml:space="preserve">work on </w:t>
            </w:r>
            <w:r w:rsidR="00FC4847" w:rsidRPr="0014395C">
              <w:rPr>
                <w:rFonts w:ascii="Calibri" w:hAnsi="Calibri" w:cs="Calibri"/>
                <w:color w:val="808080" w:themeColor="background1" w:themeShade="80"/>
                <w:sz w:val="20"/>
                <w:szCs w:val="20"/>
              </w:rPr>
              <w:t xml:space="preserve">Equality, </w:t>
            </w:r>
            <w:r w:rsidR="00DE3F09" w:rsidRPr="0014395C">
              <w:rPr>
                <w:rFonts w:ascii="Calibri" w:hAnsi="Calibri" w:cs="Calibri"/>
                <w:color w:val="808080" w:themeColor="background1" w:themeShade="80"/>
                <w:sz w:val="20"/>
                <w:szCs w:val="20"/>
              </w:rPr>
              <w:t>Diversity</w:t>
            </w:r>
            <w:r w:rsidR="00FC4847" w:rsidRPr="0014395C">
              <w:rPr>
                <w:rFonts w:ascii="Calibri" w:hAnsi="Calibri" w:cs="Calibri"/>
                <w:color w:val="808080" w:themeColor="background1" w:themeShade="80"/>
                <w:sz w:val="20"/>
                <w:szCs w:val="20"/>
              </w:rPr>
              <w:t xml:space="preserve"> and Inclusion (</w:t>
            </w:r>
            <w:r w:rsidR="00A04497" w:rsidRPr="0014395C">
              <w:rPr>
                <w:rFonts w:ascii="Calibri" w:hAnsi="Calibri" w:cs="Calibri"/>
                <w:color w:val="808080" w:themeColor="background1" w:themeShade="80"/>
                <w:sz w:val="20"/>
                <w:szCs w:val="20"/>
              </w:rPr>
              <w:t>EDI</w:t>
            </w:r>
            <w:r w:rsidR="00FC4847" w:rsidRPr="0014395C">
              <w:rPr>
                <w:rFonts w:ascii="Calibri" w:hAnsi="Calibri" w:cs="Calibri"/>
                <w:color w:val="808080" w:themeColor="background1" w:themeShade="80"/>
                <w:sz w:val="20"/>
                <w:szCs w:val="20"/>
              </w:rPr>
              <w:t>)</w:t>
            </w:r>
            <w:r w:rsidR="00A04497" w:rsidRPr="0014395C">
              <w:rPr>
                <w:rFonts w:ascii="Calibri" w:hAnsi="Calibri" w:cs="Calibri"/>
                <w:color w:val="808080" w:themeColor="background1" w:themeShade="80"/>
                <w:sz w:val="20"/>
                <w:szCs w:val="20"/>
              </w:rPr>
              <w:t xml:space="preserve"> actions and increas</w:t>
            </w:r>
            <w:r w:rsidRPr="0014395C">
              <w:rPr>
                <w:rFonts w:ascii="Calibri" w:hAnsi="Calibri" w:cs="Calibri"/>
                <w:color w:val="808080" w:themeColor="background1" w:themeShade="80"/>
                <w:sz w:val="20"/>
                <w:szCs w:val="20"/>
              </w:rPr>
              <w:t>e</w:t>
            </w:r>
            <w:r w:rsidR="00A04497" w:rsidRPr="0014395C">
              <w:rPr>
                <w:rFonts w:ascii="Calibri" w:hAnsi="Calibri" w:cs="Calibri"/>
                <w:color w:val="808080" w:themeColor="background1" w:themeShade="80"/>
                <w:sz w:val="20"/>
                <w:szCs w:val="20"/>
              </w:rPr>
              <w:t xml:space="preserve"> opportunities within diverse communities.  In Q3</w:t>
            </w:r>
            <w:r w:rsidR="00A73B69" w:rsidRPr="0014395C">
              <w:rPr>
                <w:rFonts w:ascii="Calibri" w:hAnsi="Calibri" w:cs="Calibri"/>
                <w:color w:val="808080" w:themeColor="background1" w:themeShade="80"/>
                <w:sz w:val="20"/>
                <w:szCs w:val="20"/>
              </w:rPr>
              <w:t xml:space="preserve"> EDI questions have been included in the Q3 Pulse Survey, in</w:t>
            </w:r>
            <w:r w:rsidR="00A04497" w:rsidRPr="0014395C">
              <w:rPr>
                <w:rFonts w:ascii="Calibri" w:hAnsi="Calibri" w:cs="Calibri"/>
                <w:color w:val="808080" w:themeColor="background1" w:themeShade="80"/>
                <w:sz w:val="20"/>
                <w:szCs w:val="20"/>
              </w:rPr>
              <w:t xml:space="preserve"> Q4 </w:t>
            </w:r>
            <w:r w:rsidRPr="0014395C">
              <w:rPr>
                <w:rFonts w:ascii="Calibri" w:hAnsi="Calibri" w:cs="Calibri"/>
                <w:color w:val="808080" w:themeColor="background1" w:themeShade="80"/>
                <w:sz w:val="20"/>
                <w:szCs w:val="20"/>
              </w:rPr>
              <w:t>the</w:t>
            </w:r>
            <w:r w:rsidR="00A04497" w:rsidRPr="0014395C">
              <w:rPr>
                <w:rFonts w:ascii="Calibri" w:hAnsi="Calibri" w:cs="Calibri"/>
                <w:color w:val="808080" w:themeColor="background1" w:themeShade="80"/>
                <w:sz w:val="20"/>
                <w:szCs w:val="20"/>
              </w:rPr>
              <w:t xml:space="preserve"> POD Senior Adviser </w:t>
            </w:r>
            <w:r w:rsidR="00FC4847" w:rsidRPr="0014395C">
              <w:rPr>
                <w:rFonts w:ascii="Calibri" w:hAnsi="Calibri" w:cs="Calibri"/>
                <w:color w:val="808080" w:themeColor="background1" w:themeShade="80"/>
                <w:sz w:val="20"/>
                <w:szCs w:val="20"/>
              </w:rPr>
              <w:t>will</w:t>
            </w:r>
            <w:r w:rsidR="00A04497" w:rsidRPr="0014395C">
              <w:rPr>
                <w:rFonts w:ascii="Calibri" w:hAnsi="Calibri" w:cs="Calibri"/>
                <w:color w:val="808080" w:themeColor="background1" w:themeShade="80"/>
                <w:sz w:val="20"/>
                <w:szCs w:val="20"/>
              </w:rPr>
              <w:t xml:space="preserve"> </w:t>
            </w:r>
            <w:r w:rsidR="00A73B69" w:rsidRPr="0014395C">
              <w:rPr>
                <w:rFonts w:ascii="Calibri" w:hAnsi="Calibri" w:cs="Calibri"/>
                <w:color w:val="808080" w:themeColor="background1" w:themeShade="80"/>
                <w:sz w:val="20"/>
                <w:szCs w:val="20"/>
              </w:rPr>
              <w:t xml:space="preserve">launch a campaign to </w:t>
            </w:r>
            <w:r w:rsidRPr="0014395C">
              <w:rPr>
                <w:rFonts w:ascii="Calibri" w:hAnsi="Calibri" w:cs="Calibri"/>
                <w:color w:val="808080" w:themeColor="background1" w:themeShade="80"/>
                <w:sz w:val="20"/>
                <w:szCs w:val="20"/>
              </w:rPr>
              <w:t>e</w:t>
            </w:r>
            <w:r w:rsidR="00A04497" w:rsidRPr="0014395C">
              <w:rPr>
                <w:rFonts w:ascii="Calibri" w:hAnsi="Calibri" w:cs="Calibri"/>
                <w:color w:val="808080" w:themeColor="background1" w:themeShade="80"/>
                <w:sz w:val="20"/>
                <w:szCs w:val="20"/>
              </w:rPr>
              <w:t>ncourage staff to complete their EDI data</w:t>
            </w:r>
            <w:r w:rsidRPr="0014395C">
              <w:rPr>
                <w:rFonts w:ascii="Calibri" w:hAnsi="Calibri" w:cs="Calibri"/>
                <w:color w:val="808080" w:themeColor="background1" w:themeShade="80"/>
                <w:sz w:val="20"/>
                <w:szCs w:val="20"/>
              </w:rPr>
              <w:t xml:space="preserve"> </w:t>
            </w:r>
            <w:r w:rsidR="00A73B69" w:rsidRPr="0014395C">
              <w:rPr>
                <w:rFonts w:ascii="Calibri" w:hAnsi="Calibri" w:cs="Calibri"/>
                <w:color w:val="808080" w:themeColor="background1" w:themeShade="80"/>
                <w:sz w:val="20"/>
                <w:szCs w:val="20"/>
              </w:rPr>
              <w:t>the questionnaire has been redesigned</w:t>
            </w:r>
            <w:r w:rsidR="00DE3F09" w:rsidRPr="0014395C">
              <w:rPr>
                <w:rFonts w:ascii="Calibri" w:hAnsi="Calibri" w:cs="Calibri"/>
                <w:color w:val="808080" w:themeColor="background1" w:themeShade="80"/>
                <w:sz w:val="20"/>
                <w:szCs w:val="20"/>
              </w:rPr>
              <w:t>,</w:t>
            </w:r>
            <w:r w:rsidR="00A04497" w:rsidRPr="0014395C">
              <w:rPr>
                <w:rFonts w:ascii="Calibri" w:hAnsi="Calibri" w:cs="Calibri"/>
                <w:color w:val="808080" w:themeColor="background1" w:themeShade="80"/>
                <w:sz w:val="20"/>
                <w:szCs w:val="20"/>
              </w:rPr>
              <w:t xml:space="preserve"> to </w:t>
            </w:r>
            <w:r w:rsidRPr="0014395C">
              <w:rPr>
                <w:rFonts w:ascii="Calibri" w:hAnsi="Calibri" w:cs="Calibri"/>
                <w:color w:val="808080" w:themeColor="background1" w:themeShade="80"/>
                <w:sz w:val="20"/>
                <w:szCs w:val="20"/>
              </w:rPr>
              <w:t>encourage</w:t>
            </w:r>
            <w:r w:rsidR="00A04497" w:rsidRPr="0014395C">
              <w:rPr>
                <w:rFonts w:ascii="Calibri" w:hAnsi="Calibri" w:cs="Calibri"/>
                <w:color w:val="808080" w:themeColor="background1" w:themeShade="80"/>
                <w:sz w:val="20"/>
                <w:szCs w:val="20"/>
              </w:rPr>
              <w:t xml:space="preserve"> a higher response rate</w:t>
            </w:r>
            <w:r w:rsidR="00DE3F09" w:rsidRPr="0014395C">
              <w:rPr>
                <w:rFonts w:ascii="Calibri" w:hAnsi="Calibri" w:cs="Calibri"/>
                <w:color w:val="808080" w:themeColor="background1" w:themeShade="80"/>
                <w:sz w:val="20"/>
                <w:szCs w:val="20"/>
              </w:rPr>
              <w:t>.</w:t>
            </w:r>
          </w:p>
        </w:tc>
      </w:tr>
      <w:tr w:rsidR="002A3C54" w:rsidRPr="00051324" w14:paraId="310AEF39" w14:textId="77777777" w:rsidTr="00E95950">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3F485A93" w14:textId="1670DA71" w:rsidR="002A3C54" w:rsidRPr="00E55539" w:rsidRDefault="00000000" w:rsidP="00197293">
            <w:pPr>
              <w:spacing w:after="0"/>
              <w:jc w:val="center"/>
              <w:rPr>
                <w:rStyle w:val="Hyperlink"/>
                <w:color w:val="808080" w:themeColor="background1" w:themeShade="80"/>
              </w:rPr>
            </w:pPr>
            <w:hyperlink r:id="rId46" w:history="1">
              <w:r w:rsidR="00197293" w:rsidRPr="00E55539">
                <w:rPr>
                  <w:rStyle w:val="Hyperlink"/>
                  <w:rFonts w:ascii="Calibri" w:hAnsi="Calibri" w:cs="Calibri"/>
                  <w:b/>
                  <w:iCs/>
                  <w:color w:val="808080" w:themeColor="background1" w:themeShade="80"/>
                  <w:sz w:val="20"/>
                  <w:szCs w:val="20"/>
                </w:rPr>
                <w:t>% Of Implemented Audit Recommendations</w:t>
              </w:r>
            </w:hyperlink>
          </w:p>
        </w:tc>
        <w:tc>
          <w:tcPr>
            <w:tcW w:w="3544" w:type="dxa"/>
            <w:tcBorders>
              <w:top w:val="single" w:sz="4" w:space="0" w:color="548DD4" w:themeColor="text2" w:themeTint="99"/>
              <w:bottom w:val="single" w:sz="4" w:space="0" w:color="548DD4" w:themeColor="text2" w:themeTint="99"/>
            </w:tcBorders>
            <w:vAlign w:val="center"/>
          </w:tcPr>
          <w:p w14:paraId="55C78022" w14:textId="53BDAB74" w:rsidR="002A3C54" w:rsidRPr="0014395C" w:rsidRDefault="00E55539" w:rsidP="00092FC8">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33CCAE55" wp14:editId="5C632728">
                  <wp:extent cx="2147776" cy="724482"/>
                  <wp:effectExtent l="0" t="0" r="5080" b="0"/>
                  <wp:docPr id="192091212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59688" cy="728500"/>
                          </a:xfrm>
                          <a:prstGeom prst="rect">
                            <a:avLst/>
                          </a:prstGeom>
                          <a:noFill/>
                        </pic:spPr>
                      </pic:pic>
                    </a:graphicData>
                  </a:graphic>
                </wp:inline>
              </w:drawing>
            </w:r>
          </w:p>
        </w:tc>
        <w:tc>
          <w:tcPr>
            <w:tcW w:w="890" w:type="dxa"/>
            <w:tcBorders>
              <w:top w:val="single" w:sz="4" w:space="0" w:color="548DD4" w:themeColor="text2" w:themeTint="99"/>
              <w:bottom w:val="single" w:sz="4" w:space="0" w:color="548DD4" w:themeColor="text2" w:themeTint="99"/>
            </w:tcBorders>
            <w:vAlign w:val="center"/>
          </w:tcPr>
          <w:p w14:paraId="618B842C" w14:textId="20E8ECC9" w:rsidR="002A3C54" w:rsidRPr="0014395C" w:rsidRDefault="00197293" w:rsidP="00092FC8">
            <w:pPr>
              <w:spacing w:after="0"/>
              <w:jc w:val="center"/>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63%</w:t>
            </w:r>
          </w:p>
        </w:tc>
        <w:tc>
          <w:tcPr>
            <w:tcW w:w="3544" w:type="dxa"/>
            <w:tcBorders>
              <w:top w:val="single" w:sz="4" w:space="0" w:color="548DD4" w:themeColor="text2" w:themeTint="99"/>
              <w:bottom w:val="single" w:sz="4" w:space="0" w:color="548DD4" w:themeColor="text2" w:themeTint="99"/>
            </w:tcBorders>
            <w:vAlign w:val="center"/>
          </w:tcPr>
          <w:p w14:paraId="405A746F" w14:textId="22D9A167" w:rsidR="002A3C54" w:rsidRPr="0014395C" w:rsidRDefault="00E55539" w:rsidP="00092FC8">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The overall implementation rate is 63%, but the p</w:t>
            </w:r>
            <w:r w:rsidR="00197293" w:rsidRPr="0014395C">
              <w:rPr>
                <w:rFonts w:ascii="Calibri" w:hAnsi="Calibri" w:cs="Calibri"/>
                <w:color w:val="808080" w:themeColor="background1" w:themeShade="80"/>
                <w:sz w:val="20"/>
                <w:szCs w:val="20"/>
              </w:rPr>
              <w:t>riority 1 implementation rate has stayed at 100%</w:t>
            </w:r>
          </w:p>
        </w:tc>
        <w:tc>
          <w:tcPr>
            <w:tcW w:w="4855" w:type="dxa"/>
            <w:tcBorders>
              <w:top w:val="single" w:sz="4" w:space="0" w:color="548DD4" w:themeColor="text2" w:themeTint="99"/>
              <w:bottom w:val="single" w:sz="4" w:space="0" w:color="548DD4" w:themeColor="text2" w:themeTint="99"/>
            </w:tcBorders>
            <w:vAlign w:val="center"/>
          </w:tcPr>
          <w:p w14:paraId="6931A81A" w14:textId="7E660BD7" w:rsidR="002A3C54" w:rsidRPr="00051324" w:rsidRDefault="00197293" w:rsidP="00092FC8">
            <w:pPr>
              <w:spacing w:after="0"/>
              <w:jc w:val="both"/>
              <w:rPr>
                <w:rFonts w:ascii="Calibri" w:hAnsi="Calibri" w:cs="Calibri"/>
                <w:color w:val="808080" w:themeColor="background1" w:themeShade="80"/>
                <w:sz w:val="20"/>
                <w:szCs w:val="20"/>
              </w:rPr>
            </w:pPr>
            <w:r w:rsidRPr="0014395C">
              <w:rPr>
                <w:rFonts w:ascii="Calibri" w:hAnsi="Calibri" w:cs="Calibri"/>
                <w:color w:val="808080" w:themeColor="background1" w:themeShade="80"/>
                <w:sz w:val="20"/>
                <w:szCs w:val="20"/>
              </w:rPr>
              <w:t xml:space="preserve">In relation to other recommendations, there are six that are delayed, and these relate to NatureScot's H&amp;S framework, Stakeholder Engagement framework (the </w:t>
            </w:r>
            <w:r w:rsidRPr="0014395C">
              <w:rPr>
                <w:rFonts w:ascii="Calibri" w:hAnsi="Calibri" w:cs="Calibri"/>
                <w:color w:val="808080" w:themeColor="background1" w:themeShade="80"/>
                <w:sz w:val="20"/>
                <w:szCs w:val="20"/>
              </w:rPr>
              <w:lastRenderedPageBreak/>
              <w:t>completion of a skills learning analysis) and the Net Zero Plan.</w:t>
            </w:r>
          </w:p>
        </w:tc>
      </w:tr>
    </w:tbl>
    <w:p w14:paraId="23A45377" w14:textId="56B9BB01" w:rsidR="005D7863" w:rsidRPr="00003504" w:rsidRDefault="005D7863" w:rsidP="005D7863">
      <w:pPr>
        <w:rPr>
          <w:rFonts w:ascii="Calibri" w:eastAsia="Calibri" w:hAnsi="Calibri" w:cs="Calibri"/>
          <w:color w:val="000000" w:themeColor="text1"/>
          <w:szCs w:val="24"/>
        </w:rPr>
        <w:sectPr w:rsidR="005D7863" w:rsidRPr="00003504" w:rsidSect="00693734">
          <w:pgSz w:w="16838" w:h="11906" w:orient="landscape"/>
          <w:pgMar w:top="624" w:right="624" w:bottom="624" w:left="624" w:header="567" w:footer="709" w:gutter="0"/>
          <w:cols w:space="708"/>
          <w:docGrid w:linePitch="360"/>
        </w:sectPr>
      </w:pPr>
    </w:p>
    <w:p w14:paraId="38903ADB" w14:textId="38162CC2" w:rsidR="008D20BE" w:rsidRDefault="008D20BE" w:rsidP="00475D56">
      <w:pPr>
        <w:keepNext/>
        <w:keepLines/>
        <w:spacing w:before="40" w:after="0" w:line="259" w:lineRule="auto"/>
        <w:outlineLvl w:val="1"/>
        <w:rPr>
          <w:rFonts w:ascii="Calibri" w:eastAsiaTheme="majorEastAsia" w:hAnsi="Calibri" w:cs="Calibri"/>
          <w:b/>
          <w:color w:val="007DC3"/>
          <w:sz w:val="28"/>
          <w:szCs w:val="28"/>
        </w:rPr>
      </w:pPr>
      <w:r w:rsidRPr="00475D56">
        <w:rPr>
          <w:rFonts w:ascii="Calibri" w:eastAsiaTheme="majorEastAsia" w:hAnsi="Calibri" w:cs="Calibri"/>
          <w:b/>
          <w:color w:val="007DC3"/>
          <w:sz w:val="28"/>
          <w:szCs w:val="28"/>
        </w:rPr>
        <w:lastRenderedPageBreak/>
        <w:t>FINANCE</w:t>
      </w:r>
      <w:r w:rsidR="00701FAD" w:rsidRPr="00475D56">
        <w:rPr>
          <w:rFonts w:ascii="Calibri" w:eastAsiaTheme="majorEastAsia" w:hAnsi="Calibri" w:cs="Calibri"/>
          <w:b/>
          <w:color w:val="007DC3"/>
          <w:sz w:val="28"/>
          <w:szCs w:val="28"/>
        </w:rPr>
        <w:t xml:space="preserve"> </w:t>
      </w:r>
    </w:p>
    <w:p w14:paraId="3E538A91" w14:textId="7311B239" w:rsidR="00F67DDD" w:rsidRDefault="00F67DDD" w:rsidP="00475D56">
      <w:pPr>
        <w:keepNext/>
        <w:keepLines/>
        <w:spacing w:before="40" w:after="0" w:line="259" w:lineRule="auto"/>
        <w:outlineLvl w:val="1"/>
        <w:rPr>
          <w:rFonts w:ascii="Calibri" w:eastAsiaTheme="majorEastAsia" w:hAnsi="Calibri" w:cs="Calibri"/>
          <w:b/>
          <w:color w:val="007DC3"/>
          <w:sz w:val="28"/>
          <w:szCs w:val="28"/>
        </w:rPr>
      </w:pPr>
      <w:r>
        <w:rPr>
          <w:rFonts w:ascii="Calibri" w:eastAsiaTheme="majorEastAsia" w:hAnsi="Calibri" w:cs="Calibri"/>
          <w:b/>
          <w:color w:val="007DC3"/>
          <w:sz w:val="28"/>
          <w:szCs w:val="28"/>
        </w:rPr>
        <w:t>Overview</w:t>
      </w:r>
    </w:p>
    <w:p w14:paraId="64FDFC3D" w14:textId="1F05D865" w:rsidR="00CF0FAE" w:rsidRPr="00CF0FAE" w:rsidRDefault="00CF0FAE" w:rsidP="00CF0FAE">
      <w:pPr>
        <w:pStyle w:val="ListParagraph"/>
        <w:numPr>
          <w:ilvl w:val="0"/>
          <w:numId w:val="1"/>
        </w:numPr>
        <w:spacing w:after="0"/>
        <w:rPr>
          <w:rFonts w:ascii="Calibri" w:eastAsia="Calibri" w:hAnsi="Calibri" w:cs="Calibri"/>
          <w:color w:val="000000" w:themeColor="text1"/>
        </w:rPr>
      </w:pPr>
      <w:r w:rsidRPr="00CF0FAE">
        <w:rPr>
          <w:rFonts w:ascii="Calibri" w:eastAsia="Calibri" w:hAnsi="Calibri" w:cs="Calibri"/>
          <w:color w:val="000000" w:themeColor="text1"/>
        </w:rPr>
        <w:t xml:space="preserve">The position </w:t>
      </w:r>
      <w:r w:rsidR="00843646">
        <w:rPr>
          <w:rFonts w:ascii="Calibri" w:eastAsia="Calibri" w:hAnsi="Calibri" w:cs="Calibri"/>
          <w:color w:val="000000" w:themeColor="text1"/>
        </w:rPr>
        <w:t>at the end of</w:t>
      </w:r>
      <w:r w:rsidRPr="00CF0FAE">
        <w:rPr>
          <w:rFonts w:ascii="Calibri" w:eastAsia="Calibri" w:hAnsi="Calibri" w:cs="Calibri"/>
          <w:color w:val="000000" w:themeColor="text1"/>
        </w:rPr>
        <w:t xml:space="preserve"> Q3 is </w:t>
      </w:r>
      <w:r>
        <w:rPr>
          <w:rFonts w:ascii="Calibri" w:eastAsia="Calibri" w:hAnsi="Calibri" w:cs="Calibri"/>
          <w:color w:val="000000" w:themeColor="text1"/>
        </w:rPr>
        <w:t xml:space="preserve">consistent with previous years where minor underspends are expected. Progress in January indicates that Paybill and Project </w:t>
      </w:r>
      <w:r w:rsidR="00F67DDD">
        <w:rPr>
          <w:rFonts w:ascii="Calibri" w:eastAsia="Calibri" w:hAnsi="Calibri" w:cs="Calibri"/>
          <w:color w:val="000000" w:themeColor="text1"/>
        </w:rPr>
        <w:t>A</w:t>
      </w:r>
      <w:r>
        <w:rPr>
          <w:rFonts w:ascii="Calibri" w:eastAsia="Calibri" w:hAnsi="Calibri" w:cs="Calibri"/>
          <w:color w:val="000000" w:themeColor="text1"/>
        </w:rPr>
        <w:t>llocation</w:t>
      </w:r>
      <w:r w:rsidR="00F67DDD">
        <w:rPr>
          <w:rFonts w:ascii="Calibri" w:eastAsia="Calibri" w:hAnsi="Calibri" w:cs="Calibri"/>
          <w:color w:val="000000" w:themeColor="text1"/>
        </w:rPr>
        <w:t xml:space="preserve"> </w:t>
      </w:r>
      <w:r>
        <w:rPr>
          <w:rFonts w:ascii="Calibri" w:eastAsia="Calibri" w:hAnsi="Calibri" w:cs="Calibri"/>
          <w:color w:val="000000" w:themeColor="text1"/>
        </w:rPr>
        <w:t xml:space="preserve">will outturn within </w:t>
      </w:r>
      <w:r w:rsidR="00F67DDD">
        <w:rPr>
          <w:rFonts w:ascii="Calibri" w:eastAsia="Calibri" w:hAnsi="Calibri" w:cs="Calibri"/>
          <w:color w:val="000000" w:themeColor="text1"/>
        </w:rPr>
        <w:t>their</w:t>
      </w:r>
      <w:r>
        <w:rPr>
          <w:rFonts w:ascii="Calibri" w:eastAsia="Calibri" w:hAnsi="Calibri" w:cs="Calibri"/>
          <w:color w:val="000000" w:themeColor="text1"/>
        </w:rPr>
        <w:t xml:space="preserve"> target range</w:t>
      </w:r>
      <w:r w:rsidR="00F67DDD">
        <w:rPr>
          <w:rFonts w:ascii="Calibri" w:eastAsia="Calibri" w:hAnsi="Calibri" w:cs="Calibri"/>
          <w:color w:val="000000" w:themeColor="text1"/>
        </w:rPr>
        <w:t xml:space="preserve">. The budget for Farming with Nature has reduced to £2.1m during January and will outturn much closer to its target range than </w:t>
      </w:r>
      <w:r w:rsidR="00843646">
        <w:rPr>
          <w:rFonts w:ascii="Calibri" w:eastAsia="Calibri" w:hAnsi="Calibri" w:cs="Calibri"/>
          <w:color w:val="000000" w:themeColor="text1"/>
        </w:rPr>
        <w:t>was previously reported</w:t>
      </w:r>
      <w:r w:rsidR="00F67DDD">
        <w:rPr>
          <w:rFonts w:ascii="Calibri" w:eastAsia="Calibri" w:hAnsi="Calibri" w:cs="Calibri"/>
          <w:color w:val="000000" w:themeColor="text1"/>
        </w:rPr>
        <w:t>.</w:t>
      </w:r>
    </w:p>
    <w:p w14:paraId="40415DE2" w14:textId="5745FA5D" w:rsidR="00283F5C" w:rsidRPr="00670ABC" w:rsidRDefault="00283F5C" w:rsidP="00283F5C">
      <w:pPr>
        <w:pStyle w:val="Heading2"/>
        <w:rPr>
          <w:rFonts w:ascii="Calibri" w:hAnsi="Calibri" w:cs="Calibri"/>
          <w:color w:val="5E8CC0"/>
        </w:rPr>
      </w:pPr>
    </w:p>
    <w:tbl>
      <w:tblPr>
        <w:tblW w:w="9889" w:type="dxa"/>
        <w:tblCellMar>
          <w:left w:w="0" w:type="dxa"/>
          <w:right w:w="0" w:type="dxa"/>
        </w:tblCellMar>
        <w:tblLook w:val="0420" w:firstRow="1" w:lastRow="0" w:firstColumn="0" w:lastColumn="0" w:noHBand="0" w:noVBand="1"/>
      </w:tblPr>
      <w:tblGrid>
        <w:gridCol w:w="2080"/>
        <w:gridCol w:w="2388"/>
        <w:gridCol w:w="1132"/>
        <w:gridCol w:w="1189"/>
        <w:gridCol w:w="1399"/>
        <w:gridCol w:w="1701"/>
      </w:tblGrid>
      <w:tr w:rsidR="00283F5C" w:rsidRPr="00560E81" w14:paraId="622B1784" w14:textId="77777777" w:rsidTr="002907ED">
        <w:trPr>
          <w:trHeight w:val="584"/>
        </w:trPr>
        <w:tc>
          <w:tcPr>
            <w:tcW w:w="2080"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26BB6D50"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Financial Metrics (£m)</w:t>
            </w:r>
          </w:p>
        </w:tc>
        <w:tc>
          <w:tcPr>
            <w:tcW w:w="2388"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7F5D511A"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Measure</w:t>
            </w:r>
          </w:p>
        </w:tc>
        <w:tc>
          <w:tcPr>
            <w:tcW w:w="1132"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39FD57BE"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Budget</w:t>
            </w:r>
          </w:p>
        </w:tc>
        <w:tc>
          <w:tcPr>
            <w:tcW w:w="118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471BF342"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Forecast</w:t>
            </w:r>
          </w:p>
        </w:tc>
        <w:tc>
          <w:tcPr>
            <w:tcW w:w="139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164FFFA6"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Variance</w:t>
            </w:r>
          </w:p>
        </w:tc>
        <w:tc>
          <w:tcPr>
            <w:tcW w:w="1701"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160F4086"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Rating</w:t>
            </w:r>
          </w:p>
        </w:tc>
      </w:tr>
      <w:tr w:rsidR="00283F5C" w:rsidRPr="00560E81" w14:paraId="4689A9EC" w14:textId="77777777" w:rsidTr="002907ED">
        <w:trPr>
          <w:trHeight w:val="584"/>
        </w:trPr>
        <w:tc>
          <w:tcPr>
            <w:tcW w:w="208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A31FDB1"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bCs/>
                <w:color w:val="000000" w:themeColor="dark1"/>
                <w:kern w:val="24"/>
                <w:szCs w:val="24"/>
                <w:lang w:eastAsia="en-GB"/>
              </w:rPr>
              <w:t>Resource Budget</w:t>
            </w:r>
          </w:p>
        </w:tc>
        <w:tc>
          <w:tcPr>
            <w:tcW w:w="2388"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5ADE47DD"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1C77DDF3"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60.8</w:t>
            </w:r>
          </w:p>
        </w:tc>
        <w:tc>
          <w:tcPr>
            <w:tcW w:w="118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D8A8600"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60.5</w:t>
            </w:r>
          </w:p>
        </w:tc>
        <w:tc>
          <w:tcPr>
            <w:tcW w:w="139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064375DC"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kern w:val="24"/>
                <w:szCs w:val="24"/>
                <w:lang w:eastAsia="en-GB"/>
              </w:rPr>
              <w:t>0.3</w:t>
            </w:r>
          </w:p>
        </w:tc>
        <w:tc>
          <w:tcPr>
            <w:tcW w:w="1701"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50D33D0"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
                <w:bCs/>
                <w:color w:val="00B050"/>
                <w:kern w:val="24"/>
                <w:szCs w:val="24"/>
                <w:lang w:eastAsia="en-GB"/>
              </w:rPr>
              <w:t>ON TRACK</w:t>
            </w:r>
          </w:p>
        </w:tc>
      </w:tr>
      <w:tr w:rsidR="00283F5C" w:rsidRPr="00560E81" w14:paraId="4E2C9E8F" w14:textId="77777777" w:rsidTr="002907ED">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A48AA23" w14:textId="77777777" w:rsidR="00283F5C" w:rsidRPr="00560E81" w:rsidRDefault="00283F5C" w:rsidP="002907ED">
            <w:pPr>
              <w:jc w:val="center"/>
              <w:rPr>
                <w:rFonts w:ascii="Calibri" w:eastAsia="Times New Roman" w:hAnsi="Calibri" w:cs="Calibri"/>
                <w:szCs w:val="24"/>
                <w:lang w:eastAsia="en-GB"/>
              </w:rPr>
            </w:pPr>
            <w:r>
              <w:rPr>
                <w:rFonts w:ascii="Calibri" w:eastAsiaTheme="minorEastAsia" w:hAnsi="Calibri" w:cs="Calibri"/>
                <w:bCs/>
                <w:color w:val="000000" w:themeColor="dark1"/>
                <w:kern w:val="24"/>
                <w:szCs w:val="24"/>
                <w:lang w:eastAsia="en-GB"/>
              </w:rPr>
              <w:t>Capital</w:t>
            </w:r>
          </w:p>
        </w:tc>
        <w:tc>
          <w:tcPr>
            <w:tcW w:w="238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0B3CDAB"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5</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CE5E180"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2.2</w:t>
            </w:r>
          </w:p>
        </w:tc>
        <w:tc>
          <w:tcPr>
            <w:tcW w:w="118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A08D72C"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2.3</w:t>
            </w:r>
          </w:p>
        </w:tc>
        <w:tc>
          <w:tcPr>
            <w:tcW w:w="139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30338D80"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(0.1)</w:t>
            </w:r>
          </w:p>
        </w:tc>
        <w:tc>
          <w:tcPr>
            <w:tcW w:w="170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4C82B29"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
                <w:bCs/>
                <w:color w:val="00B050"/>
                <w:kern w:val="24"/>
                <w:szCs w:val="24"/>
                <w:lang w:eastAsia="en-GB"/>
              </w:rPr>
              <w:t>ON TRACK</w:t>
            </w:r>
          </w:p>
        </w:tc>
      </w:tr>
      <w:tr w:rsidR="00283F5C" w:rsidRPr="00560E81" w14:paraId="3BF28FFB" w14:textId="77777777" w:rsidTr="002907ED">
        <w:trPr>
          <w:trHeight w:val="72"/>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20CBA58C" w14:textId="77777777" w:rsidR="00283F5C" w:rsidRPr="00560E81" w:rsidRDefault="00283F5C" w:rsidP="002907ED">
            <w:pPr>
              <w:jc w:val="center"/>
              <w:rPr>
                <w:rFonts w:ascii="Calibri" w:eastAsiaTheme="minorEastAsia" w:hAnsi="Calibri" w:cs="Calibri"/>
                <w:bCs/>
                <w:color w:val="000000" w:themeColor="dark1"/>
                <w:kern w:val="24"/>
                <w:szCs w:val="24"/>
                <w:lang w:eastAsia="en-GB"/>
              </w:rPr>
            </w:pPr>
            <w:r>
              <w:rPr>
                <w:rFonts w:ascii="Calibri" w:eastAsiaTheme="minorEastAsia" w:hAnsi="Calibri" w:cs="Calibri"/>
                <w:bCs/>
                <w:color w:val="000000" w:themeColor="dark1"/>
                <w:kern w:val="24"/>
                <w:szCs w:val="24"/>
                <w:lang w:eastAsia="en-GB"/>
              </w:rPr>
              <w:t>Indirect Capital</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tcPr>
          <w:p w14:paraId="3F9ABE48"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 xml:space="preserve">Outturn within </w:t>
            </w:r>
            <w:r>
              <w:rPr>
                <w:rFonts w:ascii="Calibri" w:eastAsia="Times New Roman" w:hAnsi="Calibri" w:cs="Calibri"/>
                <w:color w:val="000000" w:themeColor="dark1"/>
                <w:kern w:val="24"/>
                <w:szCs w:val="24"/>
                <w:lang w:eastAsia="en-GB"/>
              </w:rPr>
              <w:t>5</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2E82A281" w14:textId="77777777" w:rsidR="00283F5C" w:rsidRPr="00560E81"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16.6</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4A0FA3D" w14:textId="77777777" w:rsidR="00283F5C" w:rsidRPr="00560E81"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15.9</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0EACEC07" w14:textId="77777777" w:rsidR="00283F5C" w:rsidRPr="00560E81"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kern w:val="24"/>
                <w:szCs w:val="24"/>
                <w:lang w:eastAsia="en-GB"/>
              </w:rPr>
              <w:t>0.7</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1AE7714E" w14:textId="77777777" w:rsidR="00283F5C" w:rsidRPr="00560E81" w:rsidRDefault="00283F5C" w:rsidP="002907ED">
            <w:pPr>
              <w:jc w:val="center"/>
              <w:rPr>
                <w:rFonts w:ascii="Calibri" w:eastAsia="Times New Roman" w:hAnsi="Calibri" w:cs="Calibri"/>
                <w:b/>
                <w:bCs/>
                <w:color w:val="00B050"/>
                <w:kern w:val="24"/>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283F5C" w:rsidRPr="00560E81" w14:paraId="48D46AB1" w14:textId="77777777" w:rsidTr="002907ED">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638A776F"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bCs/>
                <w:color w:val="000000" w:themeColor="dark1"/>
                <w:kern w:val="24"/>
                <w:szCs w:val="24"/>
                <w:lang w:eastAsia="en-GB"/>
              </w:rPr>
              <w:t>Paybill</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5214C2B4"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17E4405"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38.9</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64041203"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39.3</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B33DEA7"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(0.4)</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5FF15846" w14:textId="77777777" w:rsidR="00283F5C" w:rsidRPr="00CB05F8" w:rsidRDefault="00283F5C" w:rsidP="002907ED">
            <w:pPr>
              <w:jc w:val="center"/>
              <w:rPr>
                <w:rFonts w:ascii="Calibri" w:eastAsia="Times New Roman" w:hAnsi="Calibri" w:cs="Calibri"/>
                <w:color w:val="F79646" w:themeColor="accent6"/>
                <w:szCs w:val="24"/>
                <w:lang w:eastAsia="en-GB"/>
              </w:rPr>
            </w:pPr>
            <w:r w:rsidRPr="00560E81">
              <w:rPr>
                <w:rFonts w:ascii="Calibri" w:eastAsia="Times New Roman" w:hAnsi="Calibri" w:cs="Calibri"/>
                <w:b/>
                <w:bCs/>
                <w:color w:val="00B050"/>
                <w:kern w:val="24"/>
                <w:szCs w:val="24"/>
                <w:lang w:eastAsia="en-GB"/>
              </w:rPr>
              <w:t>ON TRACK</w:t>
            </w:r>
          </w:p>
        </w:tc>
      </w:tr>
      <w:tr w:rsidR="00283F5C" w:rsidRPr="00560E81" w14:paraId="57BA32EC" w14:textId="77777777" w:rsidTr="002907ED">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180DEC68"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heme="minorEastAsia" w:hAnsi="Calibri" w:cs="Calibri"/>
                <w:bCs/>
                <w:color w:val="000000" w:themeColor="dark1"/>
                <w:kern w:val="24"/>
                <w:szCs w:val="24"/>
                <w:lang w:eastAsia="en-GB"/>
              </w:rPr>
              <w:t>Project Allocation</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tcPr>
          <w:p w14:paraId="69331F08"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93A5A28"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13.8</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7EA1B214"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14.2</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1C39ABA5"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(0.4)</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B7A8E83" w14:textId="77777777" w:rsidR="00283F5C" w:rsidRPr="00CB05F8" w:rsidRDefault="00283F5C" w:rsidP="002907ED">
            <w:pPr>
              <w:jc w:val="center"/>
              <w:rPr>
                <w:rFonts w:ascii="Calibri" w:eastAsia="Times New Roman" w:hAnsi="Calibri" w:cs="Calibri"/>
                <w:color w:val="F79646" w:themeColor="accent6"/>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283F5C" w:rsidRPr="00560E81" w14:paraId="531CFE84" w14:textId="77777777" w:rsidTr="002907ED">
        <w:trPr>
          <w:trHeight w:val="64"/>
        </w:trPr>
        <w:tc>
          <w:tcPr>
            <w:tcW w:w="208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1D4060FA" w14:textId="77777777" w:rsidR="00283F5C" w:rsidRPr="00560E81" w:rsidRDefault="00283F5C" w:rsidP="002907ED">
            <w:pPr>
              <w:jc w:val="center"/>
              <w:rPr>
                <w:rFonts w:ascii="Calibri" w:eastAsiaTheme="minorEastAsia" w:hAnsi="Calibri" w:cs="Calibri"/>
                <w:bCs/>
                <w:color w:val="000000" w:themeColor="dark1"/>
                <w:kern w:val="24"/>
                <w:szCs w:val="24"/>
                <w:lang w:eastAsia="en-GB"/>
              </w:rPr>
            </w:pPr>
          </w:p>
        </w:tc>
        <w:tc>
          <w:tcPr>
            <w:tcW w:w="238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tcPr>
          <w:p w14:paraId="49D5171C" w14:textId="77777777" w:rsidR="00283F5C" w:rsidRPr="00560E81" w:rsidRDefault="00283F5C" w:rsidP="002907ED">
            <w:pPr>
              <w:jc w:val="center"/>
              <w:rPr>
                <w:rFonts w:ascii="Calibri" w:eastAsia="Times New Roman" w:hAnsi="Calibri" w:cs="Calibri"/>
                <w:color w:val="000000" w:themeColor="dark1"/>
                <w:kern w:val="24"/>
                <w:szCs w:val="24"/>
                <w:lang w:eastAsia="en-GB"/>
              </w:rPr>
            </w:pPr>
          </w:p>
        </w:tc>
        <w:tc>
          <w:tcPr>
            <w:tcW w:w="1132"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0EE4612B" w14:textId="77777777" w:rsidR="00283F5C" w:rsidRDefault="00283F5C" w:rsidP="002907ED">
            <w:pPr>
              <w:jc w:val="center"/>
              <w:rPr>
                <w:rFonts w:ascii="Calibri" w:eastAsia="Times New Roman" w:hAnsi="Calibri" w:cs="Calibri"/>
                <w:color w:val="000000" w:themeColor="dark1"/>
                <w:kern w:val="24"/>
                <w:szCs w:val="24"/>
                <w:lang w:eastAsia="en-GB"/>
              </w:rPr>
            </w:pPr>
          </w:p>
        </w:tc>
        <w:tc>
          <w:tcPr>
            <w:tcW w:w="118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6A7079D9" w14:textId="77777777" w:rsidR="00283F5C" w:rsidRDefault="00283F5C" w:rsidP="002907ED">
            <w:pPr>
              <w:jc w:val="center"/>
              <w:rPr>
                <w:rFonts w:ascii="Calibri" w:eastAsia="Times New Roman" w:hAnsi="Calibri" w:cs="Calibri"/>
                <w:color w:val="000000" w:themeColor="dark1"/>
                <w:kern w:val="24"/>
                <w:szCs w:val="24"/>
                <w:lang w:eastAsia="en-GB"/>
              </w:rPr>
            </w:pPr>
          </w:p>
        </w:tc>
        <w:tc>
          <w:tcPr>
            <w:tcW w:w="139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77FF61C1" w14:textId="77777777" w:rsidR="00283F5C" w:rsidRDefault="00283F5C" w:rsidP="002907ED">
            <w:pPr>
              <w:jc w:val="center"/>
              <w:rPr>
                <w:rFonts w:ascii="Calibri" w:eastAsia="Times New Roman" w:hAnsi="Calibri" w:cs="Calibri"/>
                <w:color w:val="000000" w:themeColor="dark1"/>
                <w:kern w:val="24"/>
                <w:szCs w:val="24"/>
                <w:lang w:eastAsia="en-GB"/>
              </w:rPr>
            </w:pPr>
          </w:p>
        </w:tc>
        <w:tc>
          <w:tcPr>
            <w:tcW w:w="17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1B5626D8" w14:textId="77777777" w:rsidR="00283F5C" w:rsidRDefault="00283F5C" w:rsidP="002907ED">
            <w:pPr>
              <w:jc w:val="center"/>
              <w:rPr>
                <w:rFonts w:ascii="Calibri" w:eastAsia="Times New Roman" w:hAnsi="Calibri" w:cs="Calibri"/>
                <w:b/>
                <w:bCs/>
                <w:color w:val="FFC000"/>
                <w:kern w:val="24"/>
                <w:szCs w:val="24"/>
                <w:lang w:eastAsia="en-GB"/>
              </w:rPr>
            </w:pPr>
          </w:p>
        </w:tc>
      </w:tr>
      <w:tr w:rsidR="00283F5C" w:rsidRPr="00560E81" w14:paraId="7065D2E2" w14:textId="77777777" w:rsidTr="002907ED">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1A5CE3D3"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Arial" w:hAnsi="Calibri" w:cs="Calibri"/>
                <w:bCs/>
                <w:color w:val="000000" w:themeColor="text1"/>
                <w:kern w:val="24"/>
                <w:szCs w:val="24"/>
                <w:lang w:eastAsia="en-GB"/>
              </w:rPr>
              <w:t>Peatlands</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tcPr>
          <w:p w14:paraId="789CCF45"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 xml:space="preserve">Outturn within </w:t>
            </w:r>
            <w:r>
              <w:rPr>
                <w:rFonts w:ascii="Calibri" w:eastAsia="Times New Roman" w:hAnsi="Calibri" w:cs="Calibri"/>
                <w:color w:val="000000" w:themeColor="dark1"/>
                <w:kern w:val="24"/>
                <w:szCs w:val="24"/>
                <w:lang w:eastAsia="en-GB"/>
              </w:rPr>
              <w:t>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32C87E0E"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14.2</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5098BFD1" w14:textId="77777777" w:rsidR="00283F5C" w:rsidRPr="002C5F9F"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13.8</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0F03A1E0"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szCs w:val="24"/>
                <w:lang w:eastAsia="en-GB"/>
              </w:rPr>
              <w:t>0.4</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1965C5E6" w14:textId="77777777" w:rsidR="00283F5C" w:rsidRPr="00CB05F8" w:rsidRDefault="00283F5C" w:rsidP="002907ED">
            <w:pPr>
              <w:jc w:val="center"/>
              <w:rPr>
                <w:rFonts w:ascii="Calibri" w:eastAsia="Times New Roman" w:hAnsi="Calibri" w:cs="Calibri"/>
                <w:color w:val="F79646" w:themeColor="accent6"/>
                <w:szCs w:val="24"/>
                <w:lang w:eastAsia="en-GB"/>
              </w:rPr>
            </w:pPr>
            <w:r w:rsidRPr="00560E81">
              <w:rPr>
                <w:rFonts w:ascii="Calibri" w:eastAsia="Times New Roman" w:hAnsi="Calibri" w:cs="Calibri"/>
                <w:b/>
                <w:bCs/>
                <w:color w:val="00B050"/>
                <w:kern w:val="24"/>
                <w:szCs w:val="24"/>
                <w:lang w:eastAsia="en-GB"/>
              </w:rPr>
              <w:t>ON TRACK</w:t>
            </w:r>
          </w:p>
        </w:tc>
      </w:tr>
      <w:tr w:rsidR="00283F5C" w:rsidRPr="00560E81" w14:paraId="79625A83" w14:textId="77777777" w:rsidTr="002907ED">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D580923" w14:textId="77777777" w:rsidR="00283F5C" w:rsidRPr="00560E81" w:rsidRDefault="00283F5C" w:rsidP="002907ED">
            <w:pPr>
              <w:jc w:val="center"/>
              <w:rPr>
                <w:rFonts w:ascii="Calibri" w:eastAsia="Arial" w:hAnsi="Calibri" w:cs="Calibri"/>
                <w:bCs/>
                <w:color w:val="000000" w:themeColor="text1"/>
                <w:kern w:val="24"/>
                <w:szCs w:val="24"/>
                <w:lang w:eastAsia="en-GB"/>
              </w:rPr>
            </w:pPr>
            <w:r>
              <w:rPr>
                <w:rFonts w:ascii="Calibri" w:eastAsia="Arial" w:hAnsi="Calibri" w:cs="Calibri"/>
                <w:bCs/>
                <w:color w:val="000000" w:themeColor="text1"/>
                <w:kern w:val="24"/>
                <w:szCs w:val="24"/>
                <w:lang w:eastAsia="en-GB"/>
              </w:rPr>
              <w:t>Farming with Nature</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05633FE3" w14:textId="77777777" w:rsidR="00283F5C" w:rsidRPr="00560E81" w:rsidRDefault="00283F5C" w:rsidP="002907ED">
            <w:pPr>
              <w:jc w:val="center"/>
              <w:rPr>
                <w:rFonts w:ascii="Calibri" w:eastAsia="Times New Roman" w:hAnsi="Calibri" w:cs="Calibri"/>
                <w:color w:val="000000" w:themeColor="dark1"/>
                <w:kern w:val="24"/>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4B969578" w14:textId="28476ABD" w:rsidR="00283F5C" w:rsidRPr="00560E81"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2.</w:t>
            </w:r>
            <w:r w:rsidR="00843646">
              <w:rPr>
                <w:rFonts w:ascii="Calibri" w:eastAsia="Times New Roman" w:hAnsi="Calibri" w:cs="Calibri"/>
                <w:color w:val="000000" w:themeColor="dark1"/>
                <w:kern w:val="24"/>
                <w:szCs w:val="24"/>
                <w:lang w:eastAsia="en-GB"/>
              </w:rPr>
              <w:t>1</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6AF10AA9" w14:textId="77777777" w:rsidR="00283F5C" w:rsidRPr="00560E81"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2.0</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3C32EF14" w14:textId="016D7EA8" w:rsidR="00283F5C" w:rsidRPr="00560E81" w:rsidRDefault="00283F5C" w:rsidP="002907ED">
            <w:pPr>
              <w:jc w:val="center"/>
              <w:rPr>
                <w:rFonts w:ascii="Calibri" w:eastAsia="Times New Roman" w:hAnsi="Calibri" w:cs="Calibri"/>
                <w:color w:val="FF0000"/>
                <w:kern w:val="24"/>
                <w:szCs w:val="24"/>
                <w:lang w:eastAsia="en-GB"/>
              </w:rPr>
            </w:pPr>
            <w:r>
              <w:rPr>
                <w:rFonts w:ascii="Calibri" w:eastAsia="Times New Roman" w:hAnsi="Calibri" w:cs="Calibri"/>
                <w:color w:val="000000" w:themeColor="dark1"/>
                <w:kern w:val="24"/>
                <w:szCs w:val="24"/>
                <w:lang w:eastAsia="en-GB"/>
              </w:rPr>
              <w:t>0.</w:t>
            </w:r>
            <w:r w:rsidR="00843646">
              <w:rPr>
                <w:rFonts w:ascii="Calibri" w:eastAsia="Times New Roman" w:hAnsi="Calibri" w:cs="Calibri"/>
                <w:color w:val="000000" w:themeColor="dark1"/>
                <w:kern w:val="24"/>
                <w:szCs w:val="24"/>
                <w:lang w:eastAsia="en-GB"/>
              </w:rPr>
              <w:t>1</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90AAB82" w14:textId="7FA9598C" w:rsidR="00283F5C" w:rsidRPr="00560E81" w:rsidRDefault="00843646" w:rsidP="002907ED">
            <w:pPr>
              <w:jc w:val="center"/>
              <w:rPr>
                <w:rFonts w:ascii="Calibri" w:eastAsia="Times New Roman" w:hAnsi="Calibri" w:cs="Calibri"/>
                <w:b/>
                <w:bCs/>
                <w:color w:val="FFC000"/>
                <w:kern w:val="24"/>
                <w:szCs w:val="24"/>
                <w:lang w:eastAsia="en-GB"/>
              </w:rPr>
            </w:pPr>
            <w:r w:rsidRPr="00560E81">
              <w:rPr>
                <w:rFonts w:ascii="Calibri" w:eastAsia="Times New Roman" w:hAnsi="Calibri" w:cs="Calibri"/>
                <w:b/>
                <w:bCs/>
                <w:color w:val="00B050"/>
                <w:kern w:val="24"/>
                <w:szCs w:val="24"/>
                <w:lang w:eastAsia="en-GB"/>
              </w:rPr>
              <w:t>ON TRACK</w:t>
            </w:r>
          </w:p>
        </w:tc>
      </w:tr>
      <w:tr w:rsidR="00283F5C" w:rsidRPr="00560E81" w14:paraId="3ED9DDEE" w14:textId="77777777" w:rsidTr="002907ED">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4D374DF3"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szCs w:val="24"/>
                <w:lang w:eastAsia="en-GB"/>
              </w:rPr>
              <w:t>Better Places Fund</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5DB62E94" w14:textId="77777777" w:rsidR="00283F5C" w:rsidRPr="00560E81" w:rsidRDefault="00283F5C" w:rsidP="002907ED">
            <w:pPr>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125D2A9"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0.9</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130F70A5"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0.8</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26115D9"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0.1</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7190109A" w14:textId="77777777" w:rsidR="00283F5C" w:rsidRPr="00560E81" w:rsidRDefault="00283F5C" w:rsidP="002907ED">
            <w:pPr>
              <w:jc w:val="center"/>
              <w:rPr>
                <w:rFonts w:ascii="Calibri" w:eastAsia="Times New Roman" w:hAnsi="Calibri" w:cs="Calibri"/>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283F5C" w:rsidRPr="00560E81" w14:paraId="12228DE9" w14:textId="77777777" w:rsidTr="002907ED">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4723C236" w14:textId="77777777" w:rsidR="00283F5C" w:rsidRPr="00560E81" w:rsidRDefault="00283F5C" w:rsidP="002907ED">
            <w:pPr>
              <w:jc w:val="center"/>
              <w:rPr>
                <w:rFonts w:ascii="Calibri" w:eastAsia="Times New Roman" w:hAnsi="Calibri" w:cs="Calibri"/>
                <w:szCs w:val="24"/>
                <w:lang w:eastAsia="en-GB"/>
              </w:rPr>
            </w:pPr>
            <w:r>
              <w:rPr>
                <w:rFonts w:ascii="Calibri" w:eastAsia="Arial" w:hAnsi="Calibri" w:cs="Calibri"/>
                <w:bCs/>
                <w:color w:val="000000" w:themeColor="text1"/>
                <w:kern w:val="24"/>
                <w:szCs w:val="24"/>
                <w:lang w:eastAsia="en-GB"/>
              </w:rPr>
              <w:t xml:space="preserve">Nature Recovery Fund </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41DE67C9"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C405F84"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8.3</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1C9D0819"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7.5</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4F4C62F3" w14:textId="77777777" w:rsidR="00283F5C" w:rsidRPr="00560E81" w:rsidRDefault="00283F5C" w:rsidP="002907ED">
            <w:pPr>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0.8</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407CE323" w14:textId="77777777" w:rsidR="00283F5C" w:rsidRPr="00560E81" w:rsidRDefault="00283F5C" w:rsidP="002907ED">
            <w:pPr>
              <w:jc w:val="center"/>
              <w:rPr>
                <w:rFonts w:ascii="Calibri" w:eastAsia="Times New Roman" w:hAnsi="Calibri" w:cs="Calibri"/>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283F5C" w:rsidRPr="00560E81" w14:paraId="19528A3B" w14:textId="77777777" w:rsidTr="002907ED">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52AACF1A" w14:textId="77777777" w:rsidR="00283F5C" w:rsidRDefault="00283F5C" w:rsidP="002907ED">
            <w:pPr>
              <w:jc w:val="center"/>
              <w:rPr>
                <w:rFonts w:ascii="Calibri" w:eastAsia="Arial" w:hAnsi="Calibri" w:cs="Calibri"/>
                <w:bCs/>
                <w:color w:val="000000" w:themeColor="text1"/>
                <w:kern w:val="24"/>
                <w:szCs w:val="24"/>
                <w:lang w:eastAsia="en-GB"/>
              </w:rPr>
            </w:pPr>
            <w:r>
              <w:rPr>
                <w:rFonts w:ascii="Calibri" w:eastAsia="Arial" w:hAnsi="Calibri" w:cs="Calibri"/>
                <w:bCs/>
                <w:color w:val="000000" w:themeColor="text1"/>
                <w:kern w:val="24"/>
                <w:szCs w:val="24"/>
                <w:lang w:eastAsia="en-GB"/>
              </w:rPr>
              <w:t>FIRNS</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tcPr>
          <w:p w14:paraId="7DD7FFC5" w14:textId="77777777" w:rsidR="00283F5C"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Outturn within 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27C14E9" w14:textId="77777777" w:rsidR="00283F5C"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1.8</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4D3B21A9" w14:textId="77777777" w:rsidR="00283F5C"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1.7</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70872343" w14:textId="77777777" w:rsidR="00283F5C" w:rsidRDefault="00283F5C" w:rsidP="002907ED">
            <w:pPr>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0.1</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0B60BD80" w14:textId="77777777" w:rsidR="00283F5C" w:rsidRPr="00CB05F8" w:rsidRDefault="00283F5C" w:rsidP="002907ED">
            <w:pPr>
              <w:jc w:val="center"/>
              <w:rPr>
                <w:rFonts w:ascii="Calibri" w:eastAsia="Times New Roman" w:hAnsi="Calibri" w:cs="Calibri"/>
                <w:b/>
                <w:bCs/>
                <w:color w:val="F79646" w:themeColor="accent6"/>
                <w:kern w:val="24"/>
                <w:szCs w:val="24"/>
                <w:lang w:eastAsia="en-GB"/>
              </w:rPr>
            </w:pPr>
            <w:r w:rsidRPr="00CB05F8">
              <w:rPr>
                <w:rFonts w:ascii="Calibri" w:eastAsia="Times New Roman" w:hAnsi="Calibri" w:cs="Calibri"/>
                <w:b/>
                <w:bCs/>
                <w:color w:val="F79646" w:themeColor="accent6"/>
                <w:kern w:val="24"/>
                <w:szCs w:val="24"/>
                <w:lang w:eastAsia="en-GB"/>
              </w:rPr>
              <w:t>MINOR SLIPPAGE</w:t>
            </w:r>
          </w:p>
        </w:tc>
      </w:tr>
    </w:tbl>
    <w:p w14:paraId="0E8DABCA" w14:textId="77777777" w:rsidR="00283F5C" w:rsidRPr="005F425F" w:rsidRDefault="00283F5C" w:rsidP="00283F5C">
      <w:pPr>
        <w:rPr>
          <w:rFonts w:ascii="Calibri" w:hAnsi="Calibri" w:cs="Calibri"/>
          <w:sz w:val="20"/>
          <w:szCs w:val="20"/>
        </w:rPr>
      </w:pPr>
      <w:r w:rsidRPr="005F425F">
        <w:rPr>
          <w:rFonts w:ascii="Calibri" w:hAnsi="Calibri" w:cs="Calibri"/>
          <w:sz w:val="20"/>
          <w:szCs w:val="20"/>
        </w:rPr>
        <w:t>*Operating under 1% - on track, up to 10% minor slippage, over 10% major slippage</w:t>
      </w:r>
      <w:r>
        <w:rPr>
          <w:rFonts w:ascii="Calibri" w:hAnsi="Calibri" w:cs="Calibri"/>
          <w:sz w:val="20"/>
          <w:szCs w:val="20"/>
        </w:rPr>
        <w:t xml:space="preserve"> (** Capital under 5% / up to 10%)</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1"/>
        <w:gridCol w:w="3422"/>
      </w:tblGrid>
      <w:tr w:rsidR="00283F5C" w:rsidRPr="0070007A" w14:paraId="0C99F143" w14:textId="77777777" w:rsidTr="002907ED">
        <w:trPr>
          <w:cantSplit/>
          <w:tblHeader/>
        </w:trPr>
        <w:tc>
          <w:tcPr>
            <w:tcW w:w="6501" w:type="dxa"/>
            <w:shd w:val="clear" w:color="auto" w:fill="auto"/>
            <w:vAlign w:val="center"/>
          </w:tcPr>
          <w:p w14:paraId="6C041A41" w14:textId="77777777" w:rsidR="00283F5C" w:rsidRPr="0070007A" w:rsidRDefault="00283F5C" w:rsidP="002907ED">
            <w:pPr>
              <w:rPr>
                <w:rFonts w:ascii="Calibri" w:hAnsi="Calibri" w:cs="Calibri"/>
                <w:color w:val="FFFFFF" w:themeColor="background1"/>
                <w:sz w:val="16"/>
                <w:szCs w:val="24"/>
              </w:rPr>
            </w:pPr>
            <w:r w:rsidRPr="0070007A">
              <w:rPr>
                <w:rFonts w:ascii="Calibri" w:hAnsi="Calibri" w:cs="Calibri"/>
                <w:color w:val="FFFFFF" w:themeColor="background1"/>
                <w:sz w:val="16"/>
                <w:szCs w:val="24"/>
              </w:rPr>
              <w:lastRenderedPageBreak/>
              <w:t>Financial graphs</w:t>
            </w:r>
          </w:p>
        </w:tc>
        <w:tc>
          <w:tcPr>
            <w:tcW w:w="3422" w:type="dxa"/>
            <w:shd w:val="clear" w:color="auto" w:fill="auto"/>
            <w:vAlign w:val="center"/>
          </w:tcPr>
          <w:p w14:paraId="74702074" w14:textId="5B9FB413" w:rsidR="00283F5C" w:rsidRPr="0070007A" w:rsidRDefault="00AC6E72" w:rsidP="002907ED">
            <w:pPr>
              <w:rPr>
                <w:rFonts w:ascii="Calibri" w:hAnsi="Calibri" w:cs="Calibri"/>
                <w:color w:val="FFFFFF" w:themeColor="background1"/>
                <w:sz w:val="16"/>
                <w:szCs w:val="24"/>
              </w:rPr>
            </w:pPr>
            <w:r w:rsidRPr="0070007A">
              <w:rPr>
                <w:rFonts w:ascii="Calibri" w:hAnsi="Calibri" w:cs="Calibri"/>
                <w:color w:val="FFFFFF" w:themeColor="background1"/>
                <w:sz w:val="16"/>
                <w:szCs w:val="24"/>
              </w:rPr>
              <w:t>summary</w:t>
            </w:r>
            <w:r w:rsidR="00283F5C" w:rsidRPr="0070007A">
              <w:rPr>
                <w:rFonts w:ascii="Calibri" w:hAnsi="Calibri" w:cs="Calibri"/>
                <w:color w:val="FFFFFF" w:themeColor="background1"/>
                <w:sz w:val="16"/>
                <w:szCs w:val="24"/>
              </w:rPr>
              <w:t xml:space="preserve"> of performance</w:t>
            </w:r>
          </w:p>
        </w:tc>
      </w:tr>
      <w:tr w:rsidR="00283F5C" w:rsidRPr="00B6615A" w14:paraId="0A67E288" w14:textId="77777777" w:rsidTr="002907ED">
        <w:trPr>
          <w:trHeight w:val="283"/>
        </w:trPr>
        <w:tc>
          <w:tcPr>
            <w:tcW w:w="6501" w:type="dxa"/>
          </w:tcPr>
          <w:p w14:paraId="08C95935" w14:textId="77777777" w:rsidR="00283F5C" w:rsidRDefault="00283F5C" w:rsidP="002907ED">
            <w:pPr>
              <w:rPr>
                <w:rFonts w:ascii="Calibri" w:hAnsi="Calibri" w:cs="Calibri"/>
                <w:szCs w:val="24"/>
              </w:rPr>
            </w:pPr>
            <w:r>
              <w:rPr>
                <w:rFonts w:ascii="Calibri" w:hAnsi="Calibri" w:cs="Calibri"/>
                <w:noProof/>
                <w:szCs w:val="24"/>
                <w:lang w:eastAsia="en-GB"/>
              </w:rPr>
              <w:drawing>
                <wp:inline distT="0" distB="0" distL="0" distR="0" wp14:anchorId="25D2B491" wp14:editId="1F65D680">
                  <wp:extent cx="3980180" cy="1714500"/>
                  <wp:effectExtent l="0" t="0" r="1270" b="0"/>
                  <wp:docPr id="1479217558" name="Picture 1" descr="A graph of a graph showing a number of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17558" name="Picture 1" descr="A graph of a graph showing a number of numbers and a line&#10;&#10;Description automatically generated with medium confidenc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01817" cy="1723820"/>
                          </a:xfrm>
                          <a:prstGeom prst="rect">
                            <a:avLst/>
                          </a:prstGeom>
                          <a:noFill/>
                        </pic:spPr>
                      </pic:pic>
                    </a:graphicData>
                  </a:graphic>
                </wp:inline>
              </w:drawing>
            </w:r>
          </w:p>
          <w:p w14:paraId="2F6FECC5" w14:textId="77777777" w:rsidR="00283F5C" w:rsidRPr="00B6615A" w:rsidRDefault="00283F5C" w:rsidP="002907ED">
            <w:pPr>
              <w:rPr>
                <w:rFonts w:ascii="Calibri" w:hAnsi="Calibri" w:cs="Calibri"/>
                <w:szCs w:val="24"/>
              </w:rPr>
            </w:pPr>
            <w:r>
              <w:rPr>
                <w:rFonts w:ascii="Calibri" w:hAnsi="Calibri" w:cs="Calibri"/>
                <w:noProof/>
                <w:szCs w:val="24"/>
                <w:lang w:eastAsia="en-GB"/>
              </w:rPr>
              <w:drawing>
                <wp:inline distT="0" distB="0" distL="0" distR="0" wp14:anchorId="20E2AC57" wp14:editId="32FA5628">
                  <wp:extent cx="3980530" cy="1866900"/>
                  <wp:effectExtent l="0" t="0" r="1270" b="0"/>
                  <wp:docPr id="1860563347" name="Picture 2" descr="A graph of a financial re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63347" name="Picture 2" descr="A graph of a financial report&#10;&#10;Description automatically generated with medium confidenc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98153" cy="1875165"/>
                          </a:xfrm>
                          <a:prstGeom prst="rect">
                            <a:avLst/>
                          </a:prstGeom>
                          <a:noFill/>
                        </pic:spPr>
                      </pic:pic>
                    </a:graphicData>
                  </a:graphic>
                </wp:inline>
              </w:drawing>
            </w:r>
          </w:p>
        </w:tc>
        <w:tc>
          <w:tcPr>
            <w:tcW w:w="3422" w:type="dxa"/>
            <w:vAlign w:val="center"/>
          </w:tcPr>
          <w:p w14:paraId="73DB02FA" w14:textId="77777777" w:rsidR="00283F5C" w:rsidRDefault="00283F5C" w:rsidP="002907ED">
            <w:pPr>
              <w:rPr>
                <w:rFonts w:ascii="Calibri" w:hAnsi="Calibri" w:cs="Calibri"/>
              </w:rPr>
            </w:pPr>
            <w:r>
              <w:rPr>
                <w:rFonts w:ascii="Calibri" w:hAnsi="Calibri" w:cs="Calibri"/>
              </w:rPr>
              <w:t xml:space="preserve">The project budget is £13.830m with a current forecast of £14.263m.  This forecast reflects confidence levels applied (valued at £1.94m) which we are confident can be reduced to zero by the end of the financial year.  The Project Allocation Forecast Tracker does not include any ring-fenced funds so NRF, BPF, Peatlands, FIRNS and FwN are stripped out.  </w:t>
            </w:r>
          </w:p>
          <w:p w14:paraId="340E209D" w14:textId="77777777" w:rsidR="00283F5C" w:rsidRDefault="00283F5C" w:rsidP="002907ED">
            <w:pPr>
              <w:rPr>
                <w:rFonts w:ascii="Calibri" w:hAnsi="Calibri" w:cs="Calibri"/>
              </w:rPr>
            </w:pPr>
          </w:p>
          <w:p w14:paraId="1D06012D" w14:textId="77777777" w:rsidR="00283F5C" w:rsidRPr="00343ACD" w:rsidRDefault="00283F5C" w:rsidP="002907ED">
            <w:pPr>
              <w:rPr>
                <w:rFonts w:ascii="Calibri" w:hAnsi="Calibri" w:cs="Calibri"/>
              </w:rPr>
            </w:pPr>
            <w:r>
              <w:rPr>
                <w:rFonts w:ascii="Calibri" w:hAnsi="Calibri" w:cs="Calibri"/>
              </w:rPr>
              <w:t xml:space="preserve">The controllable project budget is based on a current core paybill budget of £32.619m. </w:t>
            </w:r>
            <w:r w:rsidRPr="004E4703">
              <w:rPr>
                <w:rFonts w:ascii="Calibri" w:hAnsi="Calibri" w:cs="Calibri"/>
              </w:rPr>
              <w:t>The paybill forecast is currently</w:t>
            </w:r>
            <w:r>
              <w:rPr>
                <w:rFonts w:ascii="Calibri" w:hAnsi="Calibri" w:cs="Calibri"/>
              </w:rPr>
              <w:t xml:space="preserve"> £0.4</w:t>
            </w:r>
            <w:r w:rsidRPr="004E4703">
              <w:rPr>
                <w:rFonts w:ascii="Calibri" w:hAnsi="Calibri" w:cs="Calibri"/>
              </w:rPr>
              <w:t xml:space="preserve">m above </w:t>
            </w:r>
            <w:r>
              <w:rPr>
                <w:rFonts w:ascii="Calibri" w:hAnsi="Calibri" w:cs="Calibri"/>
              </w:rPr>
              <w:t xml:space="preserve">the gross </w:t>
            </w:r>
            <w:r w:rsidRPr="004E4703">
              <w:rPr>
                <w:rFonts w:ascii="Calibri" w:hAnsi="Calibri" w:cs="Calibri"/>
              </w:rPr>
              <w:t>budget</w:t>
            </w:r>
            <w:r>
              <w:rPr>
                <w:rFonts w:ascii="Calibri" w:hAnsi="Calibri" w:cs="Calibri"/>
              </w:rPr>
              <w:t xml:space="preserve"> of £38.9m</w:t>
            </w:r>
            <w:r w:rsidRPr="004E4703">
              <w:rPr>
                <w:rFonts w:ascii="Calibri" w:hAnsi="Calibri" w:cs="Calibri"/>
              </w:rPr>
              <w:t>.</w:t>
            </w:r>
            <w:r>
              <w:rPr>
                <w:rFonts w:ascii="Calibri" w:hAnsi="Calibri" w:cs="Calibri"/>
              </w:rPr>
              <w:t xml:space="preserve"> </w:t>
            </w:r>
            <w:r w:rsidRPr="00343ACD">
              <w:rPr>
                <w:rFonts w:ascii="Calibri" w:hAnsi="Calibri" w:cs="Calibri"/>
              </w:rPr>
              <w:t xml:space="preserve"> </w:t>
            </w:r>
            <w:r>
              <w:rPr>
                <w:rFonts w:ascii="Calibri" w:hAnsi="Calibri" w:cs="Calibri"/>
              </w:rPr>
              <w:t xml:space="preserve">We expect sufficient savings to be realised through leavers and vacancy gaps to remove this variance by year end. </w:t>
            </w:r>
          </w:p>
        </w:tc>
      </w:tr>
    </w:tbl>
    <w:p w14:paraId="4E6A4450" w14:textId="77777777" w:rsidR="00283F5C" w:rsidRDefault="00283F5C" w:rsidP="00283F5C">
      <w:pPr>
        <w:pStyle w:val="Heading2"/>
        <w:rPr>
          <w:rFonts w:ascii="Calibri" w:hAnsi="Calibri" w:cs="Calibri"/>
        </w:rPr>
      </w:pPr>
      <w:r w:rsidRPr="00B6615A">
        <w:br w:type="page"/>
      </w:r>
      <w:r w:rsidRPr="00670ABC">
        <w:rPr>
          <w:rFonts w:ascii="Calibri" w:hAnsi="Calibri" w:cs="Calibri"/>
        </w:rPr>
        <w:lastRenderedPageBreak/>
        <w:t>Finance</w:t>
      </w:r>
    </w:p>
    <w:p w14:paraId="5DCB80C9" w14:textId="77777777" w:rsidR="00283F5C" w:rsidRPr="00BE5B09" w:rsidRDefault="00283F5C" w:rsidP="00283F5C"/>
    <w:p w14:paraId="6318830C" w14:textId="77777777" w:rsidR="00283F5C" w:rsidRPr="002336D3" w:rsidRDefault="00283F5C" w:rsidP="00283F5C">
      <w:pPr>
        <w:pStyle w:val="ListParagraph"/>
        <w:ind w:left="360"/>
        <w:rPr>
          <w:rFonts w:ascii="Calibri" w:hAnsi="Calibri" w:cs="Calibri"/>
          <w:szCs w:val="24"/>
        </w:rPr>
      </w:pPr>
      <w:r>
        <w:rPr>
          <w:rFonts w:ascii="Calibri" w:hAnsi="Calibri" w:cs="Calibri"/>
          <w:b/>
          <w:szCs w:val="24"/>
        </w:rPr>
        <w:t>Resource</w:t>
      </w:r>
      <w:r w:rsidRPr="002336D3">
        <w:rPr>
          <w:rFonts w:ascii="Calibri" w:hAnsi="Calibri" w:cs="Calibri"/>
          <w:b/>
          <w:szCs w:val="24"/>
        </w:rPr>
        <w:t xml:space="preserve"> Budget Performance</w:t>
      </w:r>
    </w:p>
    <w:p w14:paraId="3E685001" w14:textId="77777777" w:rsidR="00283F5C" w:rsidRDefault="00283F5C" w:rsidP="00283F5C">
      <w:pPr>
        <w:pStyle w:val="ListParagraph"/>
        <w:numPr>
          <w:ilvl w:val="0"/>
          <w:numId w:val="3"/>
        </w:numPr>
        <w:ind w:left="720"/>
        <w:jc w:val="both"/>
        <w:rPr>
          <w:rFonts w:ascii="Calibri" w:hAnsi="Calibri" w:cs="Calibri"/>
          <w:szCs w:val="24"/>
        </w:rPr>
      </w:pPr>
      <w:r w:rsidRPr="009D417E">
        <w:rPr>
          <w:rFonts w:ascii="Calibri" w:hAnsi="Calibri" w:cs="Calibri"/>
          <w:szCs w:val="24"/>
        </w:rPr>
        <w:t xml:space="preserve">An </w:t>
      </w:r>
      <w:r>
        <w:rPr>
          <w:rFonts w:ascii="Calibri" w:hAnsi="Calibri" w:cs="Calibri"/>
          <w:szCs w:val="24"/>
        </w:rPr>
        <w:t>unde</w:t>
      </w:r>
      <w:r w:rsidRPr="009D417E">
        <w:rPr>
          <w:rFonts w:ascii="Calibri" w:hAnsi="Calibri" w:cs="Calibri"/>
          <w:szCs w:val="24"/>
        </w:rPr>
        <w:t>rspend of £0.</w:t>
      </w:r>
      <w:r>
        <w:rPr>
          <w:rFonts w:ascii="Calibri" w:hAnsi="Calibri" w:cs="Calibri"/>
          <w:szCs w:val="24"/>
        </w:rPr>
        <w:t>270</w:t>
      </w:r>
      <w:r w:rsidRPr="009D417E">
        <w:rPr>
          <w:rFonts w:ascii="Calibri" w:hAnsi="Calibri" w:cs="Calibri"/>
          <w:szCs w:val="24"/>
        </w:rPr>
        <w:t xml:space="preserve">m is currently forecast on the </w:t>
      </w:r>
      <w:r>
        <w:rPr>
          <w:rFonts w:ascii="Calibri" w:hAnsi="Calibri" w:cs="Calibri"/>
          <w:szCs w:val="24"/>
        </w:rPr>
        <w:t>Resource</w:t>
      </w:r>
      <w:r w:rsidRPr="009D417E">
        <w:rPr>
          <w:rFonts w:ascii="Calibri" w:hAnsi="Calibri" w:cs="Calibri"/>
          <w:szCs w:val="24"/>
        </w:rPr>
        <w:t xml:space="preserve"> budget</w:t>
      </w:r>
      <w:r>
        <w:rPr>
          <w:rFonts w:ascii="Calibri" w:hAnsi="Calibri" w:cs="Calibri"/>
          <w:szCs w:val="24"/>
        </w:rPr>
        <w:t>.  It is</w:t>
      </w:r>
      <w:r w:rsidRPr="009D417E">
        <w:rPr>
          <w:rFonts w:ascii="Calibri" w:hAnsi="Calibri" w:cs="Calibri"/>
          <w:szCs w:val="24"/>
        </w:rPr>
        <w:t xml:space="preserve"> anticipated that we will end the year within our target outturn</w:t>
      </w:r>
      <w:r>
        <w:rPr>
          <w:rFonts w:ascii="Calibri" w:hAnsi="Calibri" w:cs="Calibri"/>
          <w:szCs w:val="24"/>
        </w:rPr>
        <w:t xml:space="preserve"> (1% of final budget)</w:t>
      </w:r>
      <w:r w:rsidRPr="009D417E">
        <w:rPr>
          <w:rFonts w:ascii="Calibri" w:hAnsi="Calibri" w:cs="Calibri"/>
          <w:szCs w:val="24"/>
        </w:rPr>
        <w:t>.  At the same point in 202</w:t>
      </w:r>
      <w:r>
        <w:rPr>
          <w:rFonts w:ascii="Calibri" w:hAnsi="Calibri" w:cs="Calibri"/>
          <w:szCs w:val="24"/>
        </w:rPr>
        <w:t>2</w:t>
      </w:r>
      <w:r w:rsidRPr="009D417E">
        <w:rPr>
          <w:rFonts w:ascii="Calibri" w:hAnsi="Calibri" w:cs="Calibri"/>
          <w:szCs w:val="24"/>
        </w:rPr>
        <w:t>/2</w:t>
      </w:r>
      <w:r>
        <w:rPr>
          <w:rFonts w:ascii="Calibri" w:hAnsi="Calibri" w:cs="Calibri"/>
          <w:szCs w:val="24"/>
        </w:rPr>
        <w:t>3,</w:t>
      </w:r>
      <w:r w:rsidRPr="009D417E">
        <w:rPr>
          <w:rFonts w:ascii="Calibri" w:hAnsi="Calibri" w:cs="Calibri"/>
          <w:szCs w:val="24"/>
        </w:rPr>
        <w:t xml:space="preserve"> an </w:t>
      </w:r>
      <w:r>
        <w:rPr>
          <w:rFonts w:ascii="Calibri" w:hAnsi="Calibri" w:cs="Calibri"/>
          <w:szCs w:val="24"/>
        </w:rPr>
        <w:t>under</w:t>
      </w:r>
      <w:r w:rsidRPr="009D417E">
        <w:rPr>
          <w:rFonts w:ascii="Calibri" w:hAnsi="Calibri" w:cs="Calibri"/>
          <w:szCs w:val="24"/>
        </w:rPr>
        <w:t>spend of £</w:t>
      </w:r>
      <w:r>
        <w:rPr>
          <w:rFonts w:ascii="Calibri" w:hAnsi="Calibri" w:cs="Calibri"/>
          <w:szCs w:val="24"/>
        </w:rPr>
        <w:t>0.317m</w:t>
      </w:r>
      <w:r w:rsidRPr="009D417E">
        <w:rPr>
          <w:rFonts w:ascii="Calibri" w:hAnsi="Calibri" w:cs="Calibri"/>
          <w:szCs w:val="24"/>
        </w:rPr>
        <w:t xml:space="preserve"> was forecast.  </w:t>
      </w:r>
    </w:p>
    <w:p w14:paraId="42D21EBD" w14:textId="77777777" w:rsidR="00283F5C" w:rsidRPr="009D417E" w:rsidRDefault="00283F5C" w:rsidP="00283F5C">
      <w:pPr>
        <w:pStyle w:val="ListParagraph"/>
        <w:numPr>
          <w:ilvl w:val="0"/>
          <w:numId w:val="3"/>
        </w:numPr>
        <w:ind w:left="720"/>
        <w:jc w:val="both"/>
        <w:rPr>
          <w:rFonts w:ascii="Calibri" w:hAnsi="Calibri" w:cs="Calibri"/>
          <w:szCs w:val="24"/>
        </w:rPr>
      </w:pPr>
      <w:r w:rsidRPr="00444990">
        <w:rPr>
          <w:rFonts w:ascii="Calibri" w:hAnsi="Calibri" w:cs="Calibri"/>
          <w:szCs w:val="24"/>
        </w:rPr>
        <w:t xml:space="preserve">We </w:t>
      </w:r>
      <w:r>
        <w:rPr>
          <w:rFonts w:ascii="Calibri" w:hAnsi="Calibri" w:cs="Calibri"/>
          <w:szCs w:val="24"/>
        </w:rPr>
        <w:t xml:space="preserve">have </w:t>
      </w:r>
      <w:r w:rsidRPr="00444990">
        <w:rPr>
          <w:rFonts w:ascii="Calibri" w:hAnsi="Calibri" w:cs="Calibri"/>
          <w:szCs w:val="24"/>
        </w:rPr>
        <w:t xml:space="preserve">received confirmation </w:t>
      </w:r>
      <w:r>
        <w:rPr>
          <w:rFonts w:ascii="Calibri" w:hAnsi="Calibri" w:cs="Calibri"/>
          <w:szCs w:val="24"/>
        </w:rPr>
        <w:t>of</w:t>
      </w:r>
      <w:r w:rsidRPr="003F24F7">
        <w:rPr>
          <w:rFonts w:ascii="Calibri" w:hAnsi="Calibri" w:cs="Calibri"/>
          <w:szCs w:val="24"/>
        </w:rPr>
        <w:t xml:space="preserve"> our final in-year budget allocations from SG.</w:t>
      </w:r>
      <w:r>
        <w:rPr>
          <w:rFonts w:ascii="Calibri" w:hAnsi="Calibri" w:cs="Calibri"/>
          <w:szCs w:val="24"/>
        </w:rPr>
        <w:t xml:space="preserve">  The 23/24 budget of £80.4m represents an 11% increase compared to last year.</w:t>
      </w:r>
      <w:r w:rsidRPr="003F24F7">
        <w:rPr>
          <w:rFonts w:ascii="Calibri" w:hAnsi="Calibri" w:cs="Calibri"/>
          <w:szCs w:val="24"/>
        </w:rPr>
        <w:t xml:space="preserve">  </w:t>
      </w:r>
    </w:p>
    <w:p w14:paraId="11F2137A" w14:textId="77777777" w:rsidR="00283F5C" w:rsidRPr="00444990" w:rsidRDefault="00283F5C" w:rsidP="00283F5C">
      <w:pPr>
        <w:pStyle w:val="ListParagraph"/>
        <w:numPr>
          <w:ilvl w:val="0"/>
          <w:numId w:val="3"/>
        </w:numPr>
        <w:spacing w:after="0"/>
        <w:ind w:left="720"/>
        <w:jc w:val="both"/>
        <w:rPr>
          <w:szCs w:val="24"/>
        </w:rPr>
      </w:pPr>
      <w:r>
        <w:rPr>
          <w:rFonts w:ascii="Calibri" w:hAnsi="Calibri" w:cs="Calibri"/>
          <w:szCs w:val="24"/>
        </w:rPr>
        <w:t xml:space="preserve">We continue to use confidence levels against the Corporate Plan Objectives (current value £1.936m).  The Objective Leads are expected to reduce the allocation for their Objective programme in line with budget by year end.  </w:t>
      </w:r>
    </w:p>
    <w:p w14:paraId="0EE1E87E" w14:textId="77777777" w:rsidR="00283F5C" w:rsidRPr="001C30A1" w:rsidRDefault="00283F5C" w:rsidP="00283F5C">
      <w:pPr>
        <w:pStyle w:val="ListParagraph"/>
        <w:numPr>
          <w:ilvl w:val="0"/>
          <w:numId w:val="3"/>
        </w:numPr>
        <w:spacing w:after="0"/>
        <w:ind w:left="720"/>
        <w:jc w:val="both"/>
        <w:rPr>
          <w:szCs w:val="24"/>
        </w:rPr>
      </w:pPr>
      <w:r>
        <w:rPr>
          <w:rFonts w:ascii="Calibri" w:hAnsi="Calibri" w:cs="Calibri"/>
          <w:szCs w:val="24"/>
        </w:rPr>
        <w:t xml:space="preserve">Finance </w:t>
      </w:r>
      <w:r w:rsidRPr="00444990">
        <w:rPr>
          <w:rFonts w:ascii="Calibri" w:hAnsi="Calibri" w:cs="Calibri"/>
          <w:szCs w:val="24"/>
        </w:rPr>
        <w:t>team colleagues engage with Objective Leads</w:t>
      </w:r>
      <w:r>
        <w:rPr>
          <w:rFonts w:ascii="Calibri" w:hAnsi="Calibri" w:cs="Calibri"/>
          <w:szCs w:val="24"/>
        </w:rPr>
        <w:t xml:space="preserve"> on a monthly basis</w:t>
      </w:r>
      <w:r w:rsidRPr="00444990">
        <w:rPr>
          <w:rFonts w:ascii="Calibri" w:hAnsi="Calibri" w:cs="Calibri"/>
          <w:szCs w:val="24"/>
        </w:rPr>
        <w:t xml:space="preserve"> to </w:t>
      </w:r>
      <w:r>
        <w:rPr>
          <w:rFonts w:ascii="Calibri" w:hAnsi="Calibri" w:cs="Calibri"/>
          <w:szCs w:val="24"/>
        </w:rPr>
        <w:t>review</w:t>
      </w:r>
      <w:r w:rsidRPr="00444990">
        <w:rPr>
          <w:rFonts w:ascii="Calibri" w:hAnsi="Calibri" w:cs="Calibri"/>
          <w:szCs w:val="24"/>
        </w:rPr>
        <w:t xml:space="preserve"> progress and financial performance for their objectives</w:t>
      </w:r>
      <w:r>
        <w:rPr>
          <w:rFonts w:ascii="Calibri" w:hAnsi="Calibri" w:cs="Calibri"/>
          <w:szCs w:val="24"/>
        </w:rPr>
        <w:t>.</w:t>
      </w:r>
    </w:p>
    <w:p w14:paraId="0BA0F3F5" w14:textId="1D0204E4" w:rsidR="00283F5C" w:rsidRDefault="00283F5C" w:rsidP="00283F5C">
      <w:pPr>
        <w:pStyle w:val="ListParagraph"/>
        <w:numPr>
          <w:ilvl w:val="0"/>
          <w:numId w:val="3"/>
        </w:numPr>
        <w:spacing w:after="0"/>
        <w:ind w:left="720"/>
        <w:jc w:val="both"/>
        <w:rPr>
          <w:rFonts w:ascii="Calibri" w:hAnsi="Calibri" w:cs="Calibri"/>
          <w:szCs w:val="24"/>
        </w:rPr>
      </w:pPr>
      <w:bookmarkStart w:id="5" w:name="_Hlk157002946"/>
      <w:r>
        <w:rPr>
          <w:rFonts w:ascii="Calibri" w:hAnsi="Calibri" w:cs="Calibri"/>
          <w:szCs w:val="24"/>
        </w:rPr>
        <w:t>Our</w:t>
      </w:r>
      <w:r w:rsidRPr="00316432">
        <w:rPr>
          <w:rFonts w:ascii="Calibri" w:hAnsi="Calibri" w:cs="Calibri"/>
          <w:szCs w:val="24"/>
        </w:rPr>
        <w:t xml:space="preserve"> F</w:t>
      </w:r>
      <w:r>
        <w:rPr>
          <w:rFonts w:ascii="Calibri" w:hAnsi="Calibri" w:cs="Calibri"/>
          <w:szCs w:val="24"/>
        </w:rPr>
        <w:t xml:space="preserve">arming </w:t>
      </w:r>
      <w:r w:rsidRPr="00316432">
        <w:rPr>
          <w:rFonts w:ascii="Calibri" w:hAnsi="Calibri" w:cs="Calibri"/>
          <w:szCs w:val="24"/>
        </w:rPr>
        <w:t>w</w:t>
      </w:r>
      <w:r>
        <w:rPr>
          <w:rFonts w:ascii="Calibri" w:hAnsi="Calibri" w:cs="Calibri"/>
          <w:szCs w:val="24"/>
        </w:rPr>
        <w:t xml:space="preserve">ith </w:t>
      </w:r>
      <w:r w:rsidRPr="00316432">
        <w:rPr>
          <w:rFonts w:ascii="Calibri" w:hAnsi="Calibri" w:cs="Calibri"/>
          <w:szCs w:val="24"/>
        </w:rPr>
        <w:t>N</w:t>
      </w:r>
      <w:r>
        <w:rPr>
          <w:rFonts w:ascii="Calibri" w:hAnsi="Calibri" w:cs="Calibri"/>
          <w:szCs w:val="24"/>
        </w:rPr>
        <w:t xml:space="preserve">ature (FwN) </w:t>
      </w:r>
      <w:r w:rsidRPr="00316432">
        <w:rPr>
          <w:rFonts w:ascii="Calibri" w:hAnsi="Calibri" w:cs="Calibri"/>
          <w:szCs w:val="24"/>
        </w:rPr>
        <w:t>budget</w:t>
      </w:r>
      <w:r>
        <w:rPr>
          <w:rFonts w:ascii="Calibri" w:hAnsi="Calibri" w:cs="Calibri"/>
          <w:szCs w:val="24"/>
        </w:rPr>
        <w:t xml:space="preserve"> is £2.</w:t>
      </w:r>
      <w:r w:rsidR="00843646">
        <w:rPr>
          <w:rFonts w:ascii="Calibri" w:hAnsi="Calibri" w:cs="Calibri"/>
          <w:szCs w:val="24"/>
        </w:rPr>
        <w:t>0</w:t>
      </w:r>
      <w:r>
        <w:rPr>
          <w:rFonts w:ascii="Calibri" w:hAnsi="Calibri" w:cs="Calibri"/>
          <w:szCs w:val="24"/>
        </w:rPr>
        <w:t>7m</w:t>
      </w:r>
      <w:r w:rsidRPr="00316432">
        <w:rPr>
          <w:rFonts w:ascii="Calibri" w:hAnsi="Calibri" w:cs="Calibri"/>
          <w:szCs w:val="24"/>
        </w:rPr>
        <w:t xml:space="preserve">.  </w:t>
      </w:r>
      <w:r>
        <w:rPr>
          <w:rFonts w:ascii="Calibri" w:hAnsi="Calibri" w:cs="Calibri"/>
          <w:szCs w:val="24"/>
        </w:rPr>
        <w:t xml:space="preserve">SG confirmed the £1.5m SRDP retention can be retained and used </w:t>
      </w:r>
      <w:r w:rsidRPr="00AD3F40">
        <w:rPr>
          <w:rFonts w:ascii="Calibri" w:hAnsi="Calibri" w:cs="Calibri"/>
          <w:szCs w:val="24"/>
        </w:rPr>
        <w:t>to deliver the Farming with Nature programme</w:t>
      </w:r>
      <w:r>
        <w:rPr>
          <w:rFonts w:ascii="Calibri" w:hAnsi="Calibri" w:cs="Calibri"/>
          <w:szCs w:val="24"/>
        </w:rPr>
        <w:t xml:space="preserve"> along with an additional allocation of £0.77m received in-year from SG</w:t>
      </w:r>
      <w:r w:rsidRPr="00AD3F40">
        <w:rPr>
          <w:rFonts w:ascii="Calibri" w:hAnsi="Calibri" w:cs="Calibri"/>
          <w:szCs w:val="24"/>
        </w:rPr>
        <w:t>.</w:t>
      </w:r>
      <w:r w:rsidR="00881E02">
        <w:rPr>
          <w:rFonts w:ascii="Calibri" w:hAnsi="Calibri" w:cs="Calibri"/>
          <w:szCs w:val="24"/>
        </w:rPr>
        <w:t xml:space="preserve"> £0.2m has been released from resource (staff costs) to bring the figure </w:t>
      </w:r>
      <w:r w:rsidR="004B1349">
        <w:rPr>
          <w:rFonts w:ascii="Calibri" w:hAnsi="Calibri" w:cs="Calibri"/>
          <w:szCs w:val="24"/>
        </w:rPr>
        <w:t>down from</w:t>
      </w:r>
      <w:r w:rsidR="00881E02">
        <w:rPr>
          <w:rFonts w:ascii="Calibri" w:hAnsi="Calibri" w:cs="Calibri"/>
          <w:szCs w:val="24"/>
        </w:rPr>
        <w:t xml:space="preserve"> £2.27m.</w:t>
      </w:r>
    </w:p>
    <w:bookmarkEnd w:id="5"/>
    <w:p w14:paraId="38BBAABD" w14:textId="13A7304E" w:rsidR="00283F5C" w:rsidRPr="001C30A1" w:rsidRDefault="00283F5C" w:rsidP="00283F5C">
      <w:pPr>
        <w:pStyle w:val="ListParagraph"/>
        <w:numPr>
          <w:ilvl w:val="0"/>
          <w:numId w:val="3"/>
        </w:numPr>
        <w:spacing w:after="0"/>
        <w:ind w:left="720"/>
        <w:jc w:val="both"/>
        <w:rPr>
          <w:rFonts w:ascii="Calibri" w:hAnsi="Calibri" w:cs="Calibri"/>
          <w:szCs w:val="24"/>
        </w:rPr>
      </w:pPr>
      <w:r>
        <w:rPr>
          <w:rFonts w:ascii="Calibri" w:hAnsi="Calibri" w:cs="Calibri"/>
          <w:szCs w:val="24"/>
        </w:rPr>
        <w:t>T</w:t>
      </w:r>
      <w:r w:rsidRPr="00B97CBE">
        <w:rPr>
          <w:rFonts w:ascii="Calibri" w:hAnsi="Calibri" w:cs="Calibri"/>
          <w:szCs w:val="24"/>
        </w:rPr>
        <w:t>he Facility for Investment Ready Nature in Scotland (FIRNS)</w:t>
      </w:r>
      <w:r>
        <w:rPr>
          <w:rFonts w:ascii="Calibri" w:hAnsi="Calibri" w:cs="Calibri"/>
          <w:szCs w:val="24"/>
        </w:rPr>
        <w:t xml:space="preserve"> budget remains at £1.8m with a forecast underspend of £0.098m</w:t>
      </w:r>
      <w:r w:rsidRPr="00B97CBE">
        <w:rPr>
          <w:rFonts w:ascii="Calibri" w:hAnsi="Calibri" w:cs="Calibri"/>
          <w:szCs w:val="24"/>
        </w:rPr>
        <w:t>.</w:t>
      </w:r>
    </w:p>
    <w:p w14:paraId="1291D8FF" w14:textId="77777777" w:rsidR="00283F5C" w:rsidRDefault="00283F5C" w:rsidP="00283F5C">
      <w:pPr>
        <w:pStyle w:val="ListParagraph"/>
        <w:numPr>
          <w:ilvl w:val="0"/>
          <w:numId w:val="3"/>
        </w:numPr>
        <w:ind w:left="720"/>
        <w:jc w:val="both"/>
        <w:rPr>
          <w:rFonts w:ascii="Calibri" w:hAnsi="Calibri" w:cs="Calibri"/>
          <w:szCs w:val="24"/>
        </w:rPr>
      </w:pPr>
      <w:r w:rsidRPr="00060C0F">
        <w:rPr>
          <w:rFonts w:ascii="Calibri" w:hAnsi="Calibri" w:cs="Calibri"/>
          <w:szCs w:val="24"/>
        </w:rPr>
        <w:t>The paybill outturn is currently projected to exceed the</w:t>
      </w:r>
      <w:r>
        <w:rPr>
          <w:rFonts w:ascii="Calibri" w:hAnsi="Calibri" w:cs="Calibri"/>
          <w:szCs w:val="24"/>
        </w:rPr>
        <w:t xml:space="preserve"> budget by £0.36m</w:t>
      </w:r>
      <w:r w:rsidRPr="00060C0F">
        <w:rPr>
          <w:rFonts w:ascii="Calibri" w:hAnsi="Calibri" w:cs="Calibri"/>
          <w:szCs w:val="24"/>
        </w:rPr>
        <w:t xml:space="preserve">.  This </w:t>
      </w:r>
      <w:r>
        <w:rPr>
          <w:rFonts w:ascii="Calibri" w:hAnsi="Calibri" w:cs="Calibri"/>
          <w:szCs w:val="24"/>
        </w:rPr>
        <w:t>includes</w:t>
      </w:r>
      <w:r w:rsidRPr="00060C0F">
        <w:rPr>
          <w:rFonts w:ascii="Calibri" w:hAnsi="Calibri" w:cs="Calibri"/>
          <w:szCs w:val="24"/>
        </w:rPr>
        <w:t xml:space="preserve"> the </w:t>
      </w:r>
      <w:r>
        <w:rPr>
          <w:rFonts w:ascii="Calibri" w:hAnsi="Calibri" w:cs="Calibri"/>
          <w:szCs w:val="24"/>
        </w:rPr>
        <w:t xml:space="preserve">pay increase offered by SG and following </w:t>
      </w:r>
      <w:r w:rsidRPr="00060C0F">
        <w:rPr>
          <w:rFonts w:ascii="Calibri" w:hAnsi="Calibri" w:cs="Calibri"/>
          <w:szCs w:val="24"/>
        </w:rPr>
        <w:t>early approval of staffing requirements for 202</w:t>
      </w:r>
      <w:r>
        <w:rPr>
          <w:rFonts w:ascii="Calibri" w:hAnsi="Calibri" w:cs="Calibri"/>
          <w:szCs w:val="24"/>
        </w:rPr>
        <w:t>3</w:t>
      </w:r>
      <w:r w:rsidRPr="00060C0F">
        <w:rPr>
          <w:rFonts w:ascii="Calibri" w:hAnsi="Calibri" w:cs="Calibri"/>
          <w:szCs w:val="24"/>
        </w:rPr>
        <w:t>/2</w:t>
      </w:r>
      <w:r>
        <w:rPr>
          <w:rFonts w:ascii="Calibri" w:hAnsi="Calibri" w:cs="Calibri"/>
          <w:szCs w:val="24"/>
        </w:rPr>
        <w:t>4</w:t>
      </w:r>
      <w:r w:rsidRPr="00060C0F">
        <w:rPr>
          <w:rFonts w:ascii="Calibri" w:hAnsi="Calibri" w:cs="Calibri"/>
          <w:szCs w:val="24"/>
        </w:rPr>
        <w:t xml:space="preserve"> in response to identified resourcing pressures.  It is anticipated that </w:t>
      </w:r>
      <w:r>
        <w:rPr>
          <w:rFonts w:ascii="Calibri" w:hAnsi="Calibri" w:cs="Calibri"/>
          <w:szCs w:val="24"/>
        </w:rPr>
        <w:t>sufficient</w:t>
      </w:r>
      <w:r w:rsidRPr="00060C0F">
        <w:rPr>
          <w:rFonts w:ascii="Calibri" w:hAnsi="Calibri" w:cs="Calibri"/>
          <w:szCs w:val="24"/>
        </w:rPr>
        <w:t xml:space="preserve"> savings will be achieved </w:t>
      </w:r>
      <w:r>
        <w:rPr>
          <w:rFonts w:ascii="Calibri" w:hAnsi="Calibri" w:cs="Calibri"/>
          <w:szCs w:val="24"/>
        </w:rPr>
        <w:t>over the remainder of</w:t>
      </w:r>
      <w:r w:rsidRPr="00060C0F">
        <w:rPr>
          <w:rFonts w:ascii="Calibri" w:hAnsi="Calibri" w:cs="Calibri"/>
          <w:szCs w:val="24"/>
        </w:rPr>
        <w:t xml:space="preserve"> the year</w:t>
      </w:r>
      <w:r>
        <w:rPr>
          <w:rFonts w:ascii="Calibri" w:hAnsi="Calibri" w:cs="Calibri"/>
          <w:szCs w:val="24"/>
        </w:rPr>
        <w:t xml:space="preserve"> to meet the Paybill budget</w:t>
      </w:r>
      <w:r w:rsidRPr="00060C0F">
        <w:rPr>
          <w:rFonts w:ascii="Calibri" w:hAnsi="Calibri" w:cs="Calibri"/>
          <w:szCs w:val="24"/>
        </w:rPr>
        <w:t>.</w:t>
      </w:r>
    </w:p>
    <w:p w14:paraId="003E7B4B" w14:textId="77777777" w:rsidR="00283F5C" w:rsidRPr="002336D3" w:rsidRDefault="00283F5C" w:rsidP="00283F5C">
      <w:pPr>
        <w:pStyle w:val="ListParagraph"/>
        <w:numPr>
          <w:ilvl w:val="0"/>
          <w:numId w:val="3"/>
        </w:numPr>
        <w:ind w:left="720"/>
        <w:jc w:val="both"/>
        <w:rPr>
          <w:rFonts w:ascii="Calibri" w:hAnsi="Calibri" w:cs="Calibri"/>
          <w:szCs w:val="24"/>
        </w:rPr>
      </w:pPr>
      <w:r w:rsidRPr="002336D3">
        <w:rPr>
          <w:rFonts w:ascii="Calibri" w:hAnsi="Calibri" w:cs="Calibri"/>
          <w:szCs w:val="24"/>
        </w:rPr>
        <w:t>The budget</w:t>
      </w:r>
      <w:r>
        <w:rPr>
          <w:rFonts w:ascii="Calibri" w:hAnsi="Calibri" w:cs="Calibri"/>
          <w:szCs w:val="24"/>
        </w:rPr>
        <w:t xml:space="preserve"> management</w:t>
      </w:r>
      <w:r w:rsidRPr="002336D3">
        <w:rPr>
          <w:rFonts w:ascii="Calibri" w:hAnsi="Calibri" w:cs="Calibri"/>
          <w:szCs w:val="24"/>
        </w:rPr>
        <w:t xml:space="preserve"> exercise </w:t>
      </w:r>
      <w:r>
        <w:rPr>
          <w:rFonts w:ascii="Calibri" w:hAnsi="Calibri" w:cs="Calibri"/>
          <w:szCs w:val="24"/>
        </w:rPr>
        <w:t>began</w:t>
      </w:r>
      <w:r w:rsidRPr="002336D3">
        <w:rPr>
          <w:rFonts w:ascii="Calibri" w:hAnsi="Calibri" w:cs="Calibri"/>
          <w:szCs w:val="24"/>
        </w:rPr>
        <w:t xml:space="preserve"> in early Q2, challenging uncommitted budgets and ensuring that allocations are optimised with respect to high priority work consider</w:t>
      </w:r>
      <w:r>
        <w:rPr>
          <w:rFonts w:ascii="Calibri" w:hAnsi="Calibri" w:cs="Calibri"/>
          <w:szCs w:val="24"/>
        </w:rPr>
        <w:t>ed achievable during the remainder of the year</w:t>
      </w:r>
      <w:r w:rsidRPr="002336D3">
        <w:rPr>
          <w:rFonts w:ascii="Calibri" w:hAnsi="Calibri" w:cs="Calibri"/>
          <w:szCs w:val="24"/>
        </w:rPr>
        <w:t>.</w:t>
      </w:r>
    </w:p>
    <w:p w14:paraId="780C98C0" w14:textId="77777777" w:rsidR="00283F5C" w:rsidRPr="002336D3" w:rsidRDefault="00283F5C" w:rsidP="00283F5C">
      <w:pPr>
        <w:pStyle w:val="ListParagraph"/>
        <w:numPr>
          <w:ilvl w:val="0"/>
          <w:numId w:val="3"/>
        </w:numPr>
        <w:ind w:left="720"/>
        <w:jc w:val="both"/>
        <w:rPr>
          <w:rFonts w:ascii="Calibri" w:hAnsi="Calibri" w:cs="Calibri"/>
          <w:szCs w:val="24"/>
        </w:rPr>
      </w:pPr>
      <w:r w:rsidRPr="002336D3">
        <w:rPr>
          <w:rFonts w:ascii="Calibri" w:hAnsi="Calibri" w:cs="Calibri"/>
          <w:szCs w:val="24"/>
        </w:rPr>
        <w:t>We will continue to monitor project surrenders</w:t>
      </w:r>
      <w:r>
        <w:rPr>
          <w:rFonts w:ascii="Calibri" w:hAnsi="Calibri" w:cs="Calibri"/>
          <w:szCs w:val="24"/>
        </w:rPr>
        <w:t xml:space="preserve"> throughout the year, using </w:t>
      </w:r>
      <w:r w:rsidRPr="002336D3">
        <w:rPr>
          <w:rFonts w:ascii="Calibri" w:hAnsi="Calibri" w:cs="Calibri"/>
          <w:szCs w:val="24"/>
        </w:rPr>
        <w:t xml:space="preserve">our knowledge and experience of previous slippage patterns to ensure </w:t>
      </w:r>
      <w:r>
        <w:rPr>
          <w:rFonts w:ascii="Calibri" w:hAnsi="Calibri" w:cs="Calibri"/>
          <w:szCs w:val="24"/>
        </w:rPr>
        <w:t xml:space="preserve">that appropriate </w:t>
      </w:r>
      <w:r w:rsidRPr="002336D3">
        <w:rPr>
          <w:rFonts w:ascii="Calibri" w:hAnsi="Calibri" w:cs="Calibri"/>
          <w:szCs w:val="24"/>
        </w:rPr>
        <w:t xml:space="preserve">demand is ready to allocate when funds become available.  </w:t>
      </w:r>
    </w:p>
    <w:p w14:paraId="164CF9E9" w14:textId="77777777" w:rsidR="00283F5C" w:rsidRDefault="00283F5C" w:rsidP="00283F5C">
      <w:pPr>
        <w:pStyle w:val="ListParagraph"/>
        <w:numPr>
          <w:ilvl w:val="0"/>
          <w:numId w:val="3"/>
        </w:numPr>
        <w:ind w:left="720"/>
        <w:jc w:val="both"/>
        <w:rPr>
          <w:rFonts w:ascii="Calibri" w:hAnsi="Calibri" w:cs="Calibri"/>
          <w:szCs w:val="24"/>
        </w:rPr>
      </w:pPr>
      <w:r w:rsidRPr="001F65BC">
        <w:rPr>
          <w:rFonts w:ascii="Calibri" w:hAnsi="Calibri" w:cs="Calibri"/>
          <w:szCs w:val="24"/>
        </w:rPr>
        <w:t xml:space="preserve">The Annual Report and Accounts (ARA) for 2022/23 was approved for signing by the Audit &amp; Risk Committee on 2 November 2023.  Mazars </w:t>
      </w:r>
      <w:r>
        <w:rPr>
          <w:rFonts w:ascii="Calibri" w:hAnsi="Calibri" w:cs="Calibri"/>
          <w:szCs w:val="24"/>
        </w:rPr>
        <w:t>completed</w:t>
      </w:r>
      <w:r w:rsidRPr="001F65BC">
        <w:rPr>
          <w:rFonts w:ascii="Calibri" w:hAnsi="Calibri" w:cs="Calibri"/>
          <w:szCs w:val="24"/>
        </w:rPr>
        <w:t xml:space="preserve"> their final audit review and checks, </w:t>
      </w:r>
      <w:r>
        <w:rPr>
          <w:rFonts w:ascii="Calibri" w:hAnsi="Calibri" w:cs="Calibri"/>
          <w:szCs w:val="24"/>
        </w:rPr>
        <w:t>and</w:t>
      </w:r>
      <w:r w:rsidRPr="001F65BC">
        <w:rPr>
          <w:rFonts w:ascii="Calibri" w:hAnsi="Calibri" w:cs="Calibri"/>
          <w:szCs w:val="24"/>
        </w:rPr>
        <w:t xml:space="preserve"> the ARA </w:t>
      </w:r>
      <w:r>
        <w:rPr>
          <w:rFonts w:ascii="Calibri" w:hAnsi="Calibri" w:cs="Calibri"/>
          <w:szCs w:val="24"/>
        </w:rPr>
        <w:t xml:space="preserve">was </w:t>
      </w:r>
      <w:r w:rsidRPr="001F65BC">
        <w:rPr>
          <w:rFonts w:ascii="Calibri" w:hAnsi="Calibri" w:cs="Calibri"/>
          <w:szCs w:val="24"/>
        </w:rPr>
        <w:t>signed off on 1</w:t>
      </w:r>
      <w:r>
        <w:rPr>
          <w:rFonts w:ascii="Calibri" w:hAnsi="Calibri" w:cs="Calibri"/>
          <w:szCs w:val="24"/>
        </w:rPr>
        <w:t>3</w:t>
      </w:r>
      <w:r w:rsidRPr="001F65BC">
        <w:rPr>
          <w:rFonts w:ascii="Calibri" w:hAnsi="Calibri" w:cs="Calibri"/>
          <w:szCs w:val="24"/>
        </w:rPr>
        <w:t xml:space="preserve"> December </w:t>
      </w:r>
      <w:r>
        <w:rPr>
          <w:rFonts w:ascii="Calibri" w:hAnsi="Calibri" w:cs="Calibri"/>
          <w:szCs w:val="24"/>
        </w:rPr>
        <w:t>and laid before Parliament on 19 December 2023</w:t>
      </w:r>
      <w:r w:rsidRPr="001F65BC">
        <w:rPr>
          <w:rFonts w:ascii="Calibri" w:hAnsi="Calibri" w:cs="Calibri"/>
          <w:szCs w:val="24"/>
        </w:rPr>
        <w:t>.</w:t>
      </w:r>
    </w:p>
    <w:p w14:paraId="221C20C2" w14:textId="77777777" w:rsidR="00283F5C" w:rsidRDefault="00283F5C" w:rsidP="00283F5C">
      <w:pPr>
        <w:pStyle w:val="ListParagraph"/>
        <w:jc w:val="both"/>
        <w:rPr>
          <w:rFonts w:ascii="Calibri" w:hAnsi="Calibri" w:cs="Calibri"/>
          <w:szCs w:val="24"/>
        </w:rPr>
      </w:pPr>
    </w:p>
    <w:p w14:paraId="2C218666" w14:textId="77777777" w:rsidR="00283F5C" w:rsidRDefault="00283F5C" w:rsidP="00283F5C">
      <w:pPr>
        <w:keepNext/>
        <w:keepLines/>
        <w:ind w:left="360"/>
        <w:contextualSpacing/>
        <w:outlineLvl w:val="1"/>
        <w:rPr>
          <w:rFonts w:ascii="Calibri" w:eastAsia="Times New Roman" w:hAnsi="Calibri" w:cs="Calibri"/>
          <w:b/>
          <w:szCs w:val="24"/>
        </w:rPr>
      </w:pPr>
      <w:r>
        <w:rPr>
          <w:rFonts w:ascii="Calibri" w:eastAsia="Times New Roman" w:hAnsi="Calibri" w:cs="Calibri"/>
          <w:b/>
          <w:szCs w:val="24"/>
        </w:rPr>
        <w:t>Indirect Capital Funding Programmes (including Peatlands)</w:t>
      </w:r>
    </w:p>
    <w:p w14:paraId="1D2DBB51" w14:textId="77777777" w:rsidR="00283F5C" w:rsidRDefault="00283F5C" w:rsidP="00283F5C">
      <w:pPr>
        <w:pStyle w:val="ListParagraph"/>
        <w:numPr>
          <w:ilvl w:val="0"/>
          <w:numId w:val="4"/>
        </w:numPr>
        <w:spacing w:line="259" w:lineRule="auto"/>
        <w:ind w:left="714" w:hanging="357"/>
        <w:jc w:val="both"/>
        <w:rPr>
          <w:rFonts w:ascii="Calibri" w:hAnsi="Calibri" w:cs="Calibri"/>
          <w:szCs w:val="24"/>
        </w:rPr>
      </w:pPr>
      <w:r>
        <w:rPr>
          <w:rFonts w:ascii="Calibri" w:hAnsi="Calibri" w:cs="Calibri"/>
          <w:szCs w:val="24"/>
        </w:rPr>
        <w:t>An overall underspend on Indirect Capital of £0.748m is currently forecast.</w:t>
      </w:r>
    </w:p>
    <w:p w14:paraId="7E77D81B" w14:textId="77777777" w:rsidR="00283F5C" w:rsidRDefault="00283F5C" w:rsidP="00283F5C">
      <w:pPr>
        <w:pStyle w:val="ListParagraph"/>
        <w:numPr>
          <w:ilvl w:val="0"/>
          <w:numId w:val="4"/>
        </w:numPr>
        <w:spacing w:line="259" w:lineRule="auto"/>
        <w:ind w:left="714" w:hanging="357"/>
        <w:jc w:val="both"/>
        <w:rPr>
          <w:rFonts w:ascii="Calibri" w:hAnsi="Calibri" w:cs="Calibri"/>
          <w:szCs w:val="24"/>
        </w:rPr>
      </w:pPr>
      <w:r>
        <w:rPr>
          <w:rFonts w:ascii="Calibri" w:hAnsi="Calibri" w:cs="Calibri"/>
          <w:szCs w:val="24"/>
        </w:rPr>
        <w:t>The budget for Peatland R</w:t>
      </w:r>
      <w:r w:rsidRPr="00F82689">
        <w:rPr>
          <w:rFonts w:ascii="Calibri" w:hAnsi="Calibri" w:cs="Calibri"/>
          <w:szCs w:val="24"/>
        </w:rPr>
        <w:t xml:space="preserve">estoration for 2023/24 </w:t>
      </w:r>
      <w:r>
        <w:rPr>
          <w:rFonts w:ascii="Calibri" w:hAnsi="Calibri" w:cs="Calibri"/>
          <w:szCs w:val="24"/>
        </w:rPr>
        <w:t>is</w:t>
      </w:r>
      <w:r w:rsidRPr="00F82689">
        <w:rPr>
          <w:rFonts w:ascii="Calibri" w:hAnsi="Calibri" w:cs="Calibri"/>
          <w:szCs w:val="24"/>
        </w:rPr>
        <w:t xml:space="preserve"> £14.25m</w:t>
      </w:r>
      <w:r>
        <w:rPr>
          <w:rFonts w:ascii="Calibri" w:hAnsi="Calibri" w:cs="Calibri"/>
          <w:szCs w:val="24"/>
        </w:rPr>
        <w:t xml:space="preserve"> (£4.25m Resource, £10m Indirect Capital)</w:t>
      </w:r>
      <w:r w:rsidRPr="00F82689">
        <w:rPr>
          <w:rFonts w:ascii="Calibri" w:hAnsi="Calibri" w:cs="Calibri"/>
          <w:szCs w:val="24"/>
        </w:rPr>
        <w:t xml:space="preserve">.  </w:t>
      </w:r>
    </w:p>
    <w:p w14:paraId="56AA812A" w14:textId="77777777" w:rsidR="00283F5C" w:rsidRPr="00F82689" w:rsidRDefault="00283F5C" w:rsidP="00283F5C">
      <w:pPr>
        <w:pStyle w:val="ListParagraph"/>
        <w:numPr>
          <w:ilvl w:val="0"/>
          <w:numId w:val="4"/>
        </w:numPr>
        <w:spacing w:line="259" w:lineRule="auto"/>
        <w:ind w:left="714" w:hanging="357"/>
        <w:jc w:val="both"/>
        <w:rPr>
          <w:rFonts w:ascii="Calibri" w:hAnsi="Calibri" w:cs="Calibri"/>
          <w:szCs w:val="24"/>
        </w:rPr>
      </w:pPr>
      <w:r w:rsidRPr="00F82689">
        <w:rPr>
          <w:rFonts w:ascii="Calibri" w:hAnsi="Calibri" w:cs="Calibri"/>
          <w:szCs w:val="24"/>
        </w:rPr>
        <w:lastRenderedPageBreak/>
        <w:t xml:space="preserve">The latest </w:t>
      </w:r>
      <w:r>
        <w:rPr>
          <w:rFonts w:ascii="Calibri" w:hAnsi="Calibri" w:cs="Calibri"/>
          <w:szCs w:val="24"/>
        </w:rPr>
        <w:t xml:space="preserve">Peatlands </w:t>
      </w:r>
      <w:r w:rsidRPr="00F82689">
        <w:rPr>
          <w:rFonts w:ascii="Calibri" w:hAnsi="Calibri" w:cs="Calibri"/>
          <w:szCs w:val="24"/>
        </w:rPr>
        <w:t>forecast</w:t>
      </w:r>
      <w:r>
        <w:rPr>
          <w:rFonts w:ascii="Calibri" w:hAnsi="Calibri" w:cs="Calibri"/>
          <w:szCs w:val="24"/>
        </w:rPr>
        <w:t xml:space="preserve"> is £13.822m</w:t>
      </w:r>
      <w:r w:rsidRPr="00F82689">
        <w:rPr>
          <w:rFonts w:ascii="Calibri" w:hAnsi="Calibri" w:cs="Calibri"/>
          <w:szCs w:val="24"/>
        </w:rPr>
        <w:t xml:space="preserve"> </w:t>
      </w:r>
      <w:r>
        <w:rPr>
          <w:rFonts w:ascii="Calibri" w:hAnsi="Calibri" w:cs="Calibri"/>
          <w:szCs w:val="24"/>
        </w:rPr>
        <w:t xml:space="preserve">(£3.871m Resource, £9.951m </w:t>
      </w:r>
      <w:r w:rsidRPr="00F82689">
        <w:rPr>
          <w:rFonts w:ascii="Calibri" w:hAnsi="Calibri" w:cs="Calibri"/>
          <w:szCs w:val="24"/>
        </w:rPr>
        <w:t>Indirect Capital</w:t>
      </w:r>
      <w:r>
        <w:rPr>
          <w:rFonts w:ascii="Calibri" w:hAnsi="Calibri" w:cs="Calibri"/>
          <w:szCs w:val="24"/>
        </w:rPr>
        <w:t xml:space="preserve">), an overall </w:t>
      </w:r>
      <w:r w:rsidRPr="00F82689">
        <w:rPr>
          <w:rFonts w:ascii="Calibri" w:hAnsi="Calibri" w:cs="Calibri"/>
          <w:szCs w:val="24"/>
        </w:rPr>
        <w:t>underspend of £0.428m</w:t>
      </w:r>
      <w:r>
        <w:rPr>
          <w:rFonts w:ascii="Calibri" w:hAnsi="Calibri" w:cs="Calibri"/>
          <w:szCs w:val="24"/>
        </w:rPr>
        <w:t>.  This forecast includes £0.9</w:t>
      </w:r>
      <w:r w:rsidRPr="001F65BC">
        <w:rPr>
          <w:rFonts w:ascii="Calibri" w:hAnsi="Calibri" w:cs="Calibri"/>
          <w:szCs w:val="24"/>
        </w:rPr>
        <w:t>m of income</w:t>
      </w:r>
      <w:r>
        <w:rPr>
          <w:rFonts w:ascii="Calibri" w:hAnsi="Calibri" w:cs="Calibri"/>
          <w:szCs w:val="24"/>
        </w:rPr>
        <w:t xml:space="preserve"> from the Shared Islands Fund – excluding this income, forecast spend would have been approximately £14.6m against the budget of £14.25m. </w:t>
      </w:r>
    </w:p>
    <w:p w14:paraId="6629FDC0" w14:textId="77777777" w:rsidR="00283F5C" w:rsidRDefault="00283F5C" w:rsidP="00283F5C">
      <w:pPr>
        <w:pStyle w:val="ListParagraph"/>
        <w:numPr>
          <w:ilvl w:val="0"/>
          <w:numId w:val="4"/>
        </w:numPr>
        <w:spacing w:line="259" w:lineRule="auto"/>
        <w:jc w:val="both"/>
        <w:rPr>
          <w:rFonts w:ascii="Calibri" w:hAnsi="Calibri" w:cs="Calibri"/>
          <w:szCs w:val="24"/>
        </w:rPr>
      </w:pPr>
      <w:r>
        <w:rPr>
          <w:rFonts w:ascii="Calibri" w:hAnsi="Calibri" w:cs="Calibri"/>
          <w:szCs w:val="24"/>
        </w:rPr>
        <w:t xml:space="preserve">The </w:t>
      </w:r>
      <w:r w:rsidRPr="001C30A1">
        <w:rPr>
          <w:rFonts w:ascii="Calibri" w:hAnsi="Calibri" w:cs="Calibri"/>
          <w:szCs w:val="24"/>
        </w:rPr>
        <w:t>N</w:t>
      </w:r>
      <w:r>
        <w:rPr>
          <w:rFonts w:ascii="Calibri" w:hAnsi="Calibri" w:cs="Calibri"/>
          <w:szCs w:val="24"/>
        </w:rPr>
        <w:t xml:space="preserve">ature </w:t>
      </w:r>
      <w:r w:rsidRPr="001C30A1">
        <w:rPr>
          <w:rFonts w:ascii="Calibri" w:hAnsi="Calibri" w:cs="Calibri"/>
          <w:szCs w:val="24"/>
        </w:rPr>
        <w:t>R</w:t>
      </w:r>
      <w:r>
        <w:rPr>
          <w:rFonts w:ascii="Calibri" w:hAnsi="Calibri" w:cs="Calibri"/>
          <w:szCs w:val="24"/>
        </w:rPr>
        <w:t xml:space="preserve">ecovery </w:t>
      </w:r>
      <w:r w:rsidRPr="001C30A1">
        <w:rPr>
          <w:rFonts w:ascii="Calibri" w:hAnsi="Calibri" w:cs="Calibri"/>
          <w:szCs w:val="24"/>
        </w:rPr>
        <w:t>F</w:t>
      </w:r>
      <w:r>
        <w:rPr>
          <w:rFonts w:ascii="Calibri" w:hAnsi="Calibri" w:cs="Calibri"/>
          <w:szCs w:val="24"/>
        </w:rPr>
        <w:t>und</w:t>
      </w:r>
      <w:r w:rsidRPr="001C30A1">
        <w:rPr>
          <w:rFonts w:ascii="Calibri" w:hAnsi="Calibri" w:cs="Calibri"/>
          <w:szCs w:val="24"/>
        </w:rPr>
        <w:t xml:space="preserve"> </w:t>
      </w:r>
      <w:r>
        <w:rPr>
          <w:rFonts w:ascii="Calibri" w:hAnsi="Calibri" w:cs="Calibri"/>
          <w:szCs w:val="24"/>
        </w:rPr>
        <w:t xml:space="preserve">(NRF) </w:t>
      </w:r>
      <w:r w:rsidRPr="001C30A1">
        <w:rPr>
          <w:rFonts w:ascii="Calibri" w:hAnsi="Calibri" w:cs="Calibri"/>
          <w:szCs w:val="24"/>
        </w:rPr>
        <w:t xml:space="preserve">budget for 23/24 is </w:t>
      </w:r>
      <w:r>
        <w:rPr>
          <w:rFonts w:ascii="Calibri" w:hAnsi="Calibri" w:cs="Calibri"/>
          <w:szCs w:val="24"/>
        </w:rPr>
        <w:t xml:space="preserve">currently </w:t>
      </w:r>
      <w:r w:rsidRPr="001C30A1">
        <w:rPr>
          <w:rFonts w:ascii="Calibri" w:hAnsi="Calibri" w:cs="Calibri"/>
          <w:szCs w:val="24"/>
        </w:rPr>
        <w:t>£</w:t>
      </w:r>
      <w:r>
        <w:rPr>
          <w:rFonts w:ascii="Calibri" w:hAnsi="Calibri" w:cs="Calibri"/>
          <w:szCs w:val="24"/>
        </w:rPr>
        <w:t>8</w:t>
      </w:r>
      <w:r w:rsidRPr="001C30A1">
        <w:rPr>
          <w:rFonts w:ascii="Calibri" w:hAnsi="Calibri" w:cs="Calibri"/>
          <w:szCs w:val="24"/>
        </w:rPr>
        <w:t>.</w:t>
      </w:r>
      <w:r>
        <w:rPr>
          <w:rFonts w:ascii="Calibri" w:hAnsi="Calibri" w:cs="Calibri"/>
          <w:szCs w:val="24"/>
        </w:rPr>
        <w:t>3</w:t>
      </w:r>
      <w:r w:rsidRPr="001C30A1">
        <w:rPr>
          <w:rFonts w:ascii="Calibri" w:hAnsi="Calibri" w:cs="Calibri"/>
          <w:szCs w:val="24"/>
        </w:rPr>
        <w:t>5m.  This is split £1.7</w:t>
      </w:r>
      <w:r>
        <w:rPr>
          <w:rFonts w:ascii="Calibri" w:hAnsi="Calibri" w:cs="Calibri"/>
          <w:szCs w:val="24"/>
        </w:rPr>
        <w:t>5</w:t>
      </w:r>
      <w:r w:rsidRPr="001C30A1">
        <w:rPr>
          <w:rFonts w:ascii="Calibri" w:hAnsi="Calibri" w:cs="Calibri"/>
          <w:szCs w:val="24"/>
        </w:rPr>
        <w:t>m Resource and £</w:t>
      </w:r>
      <w:r>
        <w:rPr>
          <w:rFonts w:ascii="Calibri" w:hAnsi="Calibri" w:cs="Calibri"/>
          <w:szCs w:val="24"/>
        </w:rPr>
        <w:t>6.6</w:t>
      </w:r>
      <w:r w:rsidRPr="001C30A1">
        <w:rPr>
          <w:rFonts w:ascii="Calibri" w:hAnsi="Calibri" w:cs="Calibri"/>
          <w:szCs w:val="24"/>
        </w:rPr>
        <w:t xml:space="preserve">m Indirect Capital.  </w:t>
      </w:r>
      <w:r>
        <w:rPr>
          <w:rFonts w:ascii="Calibri" w:hAnsi="Calibri" w:cs="Calibri"/>
          <w:szCs w:val="24"/>
        </w:rPr>
        <w:t xml:space="preserve">We received the additional £1.6m of Indirect Capital in Q3 (the budget originally advised for the year was £5m).  </w:t>
      </w:r>
    </w:p>
    <w:p w14:paraId="73F89240" w14:textId="77777777" w:rsidR="00283F5C" w:rsidRPr="00EB1CDF" w:rsidRDefault="00283F5C" w:rsidP="00283F5C">
      <w:pPr>
        <w:pStyle w:val="ListParagraph"/>
        <w:numPr>
          <w:ilvl w:val="0"/>
          <w:numId w:val="4"/>
        </w:numPr>
        <w:spacing w:line="259" w:lineRule="auto"/>
        <w:jc w:val="both"/>
        <w:rPr>
          <w:rFonts w:ascii="Calibri" w:hAnsi="Calibri" w:cs="Calibri"/>
          <w:szCs w:val="24"/>
        </w:rPr>
      </w:pPr>
      <w:r w:rsidRPr="00B31A75">
        <w:rPr>
          <w:rFonts w:ascii="Calibri" w:hAnsi="Calibri" w:cs="Calibri"/>
          <w:szCs w:val="24"/>
        </w:rPr>
        <w:t>The overall current forecast for NRF is £7.</w:t>
      </w:r>
      <w:r>
        <w:rPr>
          <w:rFonts w:ascii="Calibri" w:hAnsi="Calibri" w:cs="Calibri"/>
          <w:szCs w:val="24"/>
        </w:rPr>
        <w:t>564</w:t>
      </w:r>
      <w:r w:rsidRPr="00B31A75">
        <w:rPr>
          <w:rFonts w:ascii="Calibri" w:hAnsi="Calibri" w:cs="Calibri"/>
          <w:szCs w:val="24"/>
        </w:rPr>
        <w:t>m, a forecast underspend of £0.</w:t>
      </w:r>
      <w:r>
        <w:rPr>
          <w:rFonts w:ascii="Calibri" w:hAnsi="Calibri" w:cs="Calibri"/>
          <w:szCs w:val="24"/>
        </w:rPr>
        <w:t>087</w:t>
      </w:r>
      <w:r w:rsidRPr="00B31A75">
        <w:rPr>
          <w:rFonts w:ascii="Calibri" w:hAnsi="Calibri" w:cs="Calibri"/>
          <w:szCs w:val="24"/>
        </w:rPr>
        <w:t>m on the Resource budget and an underspend of £</w:t>
      </w:r>
      <w:r>
        <w:rPr>
          <w:rFonts w:ascii="Calibri" w:hAnsi="Calibri" w:cs="Calibri"/>
          <w:szCs w:val="24"/>
        </w:rPr>
        <w:t>0.699m</w:t>
      </w:r>
      <w:r w:rsidRPr="00B31A75">
        <w:rPr>
          <w:rFonts w:ascii="Calibri" w:hAnsi="Calibri" w:cs="Calibri"/>
          <w:szCs w:val="24"/>
        </w:rPr>
        <w:t xml:space="preserve"> on</w:t>
      </w:r>
      <w:r>
        <w:rPr>
          <w:rFonts w:ascii="Calibri" w:hAnsi="Calibri" w:cs="Calibri"/>
          <w:szCs w:val="24"/>
        </w:rPr>
        <w:t xml:space="preserve"> the</w:t>
      </w:r>
      <w:r w:rsidRPr="00B31A75">
        <w:rPr>
          <w:rFonts w:ascii="Calibri" w:hAnsi="Calibri" w:cs="Calibri"/>
          <w:szCs w:val="24"/>
        </w:rPr>
        <w:t xml:space="preserve"> </w:t>
      </w:r>
      <w:r>
        <w:rPr>
          <w:rFonts w:ascii="Calibri" w:hAnsi="Calibri" w:cs="Calibri"/>
          <w:szCs w:val="24"/>
        </w:rPr>
        <w:t xml:space="preserve">increased </w:t>
      </w:r>
      <w:r w:rsidRPr="00B31A75">
        <w:rPr>
          <w:rFonts w:ascii="Calibri" w:hAnsi="Calibri" w:cs="Calibri"/>
          <w:szCs w:val="24"/>
        </w:rPr>
        <w:t>Indirect Capital</w:t>
      </w:r>
      <w:r>
        <w:rPr>
          <w:rFonts w:ascii="Calibri" w:hAnsi="Calibri" w:cs="Calibri"/>
          <w:szCs w:val="24"/>
        </w:rPr>
        <w:t xml:space="preserve"> budget</w:t>
      </w:r>
      <w:r w:rsidRPr="00B31A75">
        <w:rPr>
          <w:rFonts w:ascii="Calibri" w:hAnsi="Calibri" w:cs="Calibri"/>
          <w:szCs w:val="24"/>
        </w:rPr>
        <w:t>. </w:t>
      </w:r>
    </w:p>
    <w:p w14:paraId="220FA9D9" w14:textId="77777777" w:rsidR="00283F5C" w:rsidRDefault="00283F5C" w:rsidP="00283F5C">
      <w:pPr>
        <w:pStyle w:val="ListParagraph"/>
        <w:numPr>
          <w:ilvl w:val="0"/>
          <w:numId w:val="3"/>
        </w:numPr>
        <w:ind w:left="720"/>
        <w:jc w:val="both"/>
        <w:rPr>
          <w:rFonts w:ascii="Calibri" w:hAnsi="Calibri" w:cs="Calibri"/>
          <w:szCs w:val="24"/>
        </w:rPr>
      </w:pPr>
      <w:r>
        <w:rPr>
          <w:rFonts w:ascii="Calibri" w:hAnsi="Calibri" w:cs="Calibri"/>
          <w:szCs w:val="24"/>
        </w:rPr>
        <w:t xml:space="preserve">Due to uncertainty in Q3 over future funding of NRF, some decisions on multi-year awards were delayed until January.  This has reduced the expenditure that can be achieved in the 2023/24 financial year.  </w:t>
      </w:r>
    </w:p>
    <w:p w14:paraId="4DF3A267" w14:textId="77777777" w:rsidR="00283F5C" w:rsidRPr="001E2A15" w:rsidRDefault="00283F5C" w:rsidP="00283F5C">
      <w:pPr>
        <w:pStyle w:val="ListParagraph"/>
        <w:numPr>
          <w:ilvl w:val="0"/>
          <w:numId w:val="3"/>
        </w:numPr>
        <w:ind w:left="720"/>
        <w:jc w:val="both"/>
        <w:rPr>
          <w:rFonts w:ascii="Calibri" w:hAnsi="Calibri" w:cs="Calibri"/>
          <w:szCs w:val="24"/>
        </w:rPr>
      </w:pPr>
      <w:r>
        <w:rPr>
          <w:rFonts w:ascii="Calibri" w:hAnsi="Calibri" w:cs="Calibri"/>
          <w:szCs w:val="24"/>
        </w:rPr>
        <w:t xml:space="preserve">There was also a misallocation between financial years in the forecast previously provided for one large project.  This accounts for the remaining underspend on indirect capital compared to the increased budget allocation for the year. </w:t>
      </w:r>
      <w:r w:rsidRPr="001E2A15">
        <w:rPr>
          <w:rFonts w:ascii="Calibri" w:hAnsi="Calibri" w:cs="Calibri"/>
          <w:szCs w:val="24"/>
        </w:rPr>
        <w:t xml:space="preserve"> </w:t>
      </w:r>
    </w:p>
    <w:p w14:paraId="16AA2894" w14:textId="77777777" w:rsidR="00283F5C" w:rsidRDefault="00283F5C" w:rsidP="00283F5C">
      <w:pPr>
        <w:pStyle w:val="ListParagraph"/>
        <w:numPr>
          <w:ilvl w:val="0"/>
          <w:numId w:val="3"/>
        </w:numPr>
        <w:ind w:left="720"/>
        <w:jc w:val="both"/>
        <w:rPr>
          <w:rFonts w:ascii="Calibri" w:hAnsi="Calibri" w:cs="Calibri"/>
          <w:szCs w:val="24"/>
        </w:rPr>
      </w:pPr>
      <w:r>
        <w:rPr>
          <w:rFonts w:ascii="Calibri" w:hAnsi="Calibri" w:cs="Calibri"/>
          <w:szCs w:val="24"/>
        </w:rPr>
        <w:t xml:space="preserve">The financial position reflects confidence levels which have been introduced to calculate the forecast expenditure on the funded programmes.  These are monitored and reviewed regularly by the relevant programme teams.  </w:t>
      </w:r>
    </w:p>
    <w:p w14:paraId="18E38378" w14:textId="77777777" w:rsidR="00283F5C" w:rsidRDefault="00283F5C" w:rsidP="00283F5C">
      <w:pPr>
        <w:pStyle w:val="ListParagraph"/>
        <w:jc w:val="both"/>
        <w:rPr>
          <w:rFonts w:ascii="Calibri" w:hAnsi="Calibri" w:cs="Calibri"/>
          <w:szCs w:val="24"/>
        </w:rPr>
      </w:pPr>
    </w:p>
    <w:p w14:paraId="6B3753EE" w14:textId="77777777" w:rsidR="00283F5C" w:rsidRPr="001E2A15" w:rsidRDefault="00283F5C" w:rsidP="00283F5C">
      <w:pPr>
        <w:keepNext/>
        <w:keepLines/>
        <w:ind w:left="360"/>
        <w:contextualSpacing/>
        <w:outlineLvl w:val="1"/>
        <w:rPr>
          <w:rFonts w:ascii="Calibri" w:eastAsia="Times New Roman" w:hAnsi="Calibri" w:cs="Calibri"/>
          <w:szCs w:val="24"/>
        </w:rPr>
      </w:pPr>
      <w:r w:rsidRPr="001E2A15">
        <w:rPr>
          <w:rFonts w:ascii="Calibri" w:eastAsia="Times New Roman" w:hAnsi="Calibri" w:cs="Calibri"/>
          <w:b/>
          <w:szCs w:val="24"/>
        </w:rPr>
        <w:t>Structural Funds Programmes</w:t>
      </w:r>
    </w:p>
    <w:p w14:paraId="449BBA49" w14:textId="77777777" w:rsidR="00283F5C" w:rsidRPr="001E2A15" w:rsidRDefault="00283F5C" w:rsidP="00283F5C">
      <w:pPr>
        <w:pStyle w:val="ListParagraph"/>
        <w:numPr>
          <w:ilvl w:val="0"/>
          <w:numId w:val="43"/>
        </w:numPr>
        <w:spacing w:after="120"/>
        <w:ind w:left="714" w:hanging="357"/>
        <w:jc w:val="both"/>
        <w:rPr>
          <w:rFonts w:ascii="Calibri" w:hAnsi="Calibri" w:cs="Calibri"/>
          <w:szCs w:val="24"/>
        </w:rPr>
      </w:pPr>
      <w:r w:rsidRPr="001E2A15">
        <w:rPr>
          <w:rFonts w:ascii="Calibri" w:hAnsi="Calibri" w:cs="Calibri"/>
          <w:szCs w:val="24"/>
        </w:rPr>
        <w:t xml:space="preserve">Final payments to grantees were made before the deadline of 31 December 2023.  NatureScot now has until 31 January to submit the final claims to the Managing Authority.  These will value approximately £23m with reimbursement to be made by 30 June 2024.  </w:t>
      </w:r>
    </w:p>
    <w:p w14:paraId="254660DB" w14:textId="77777777" w:rsidR="00283F5C" w:rsidRPr="001E2A15" w:rsidRDefault="00283F5C" w:rsidP="00283F5C">
      <w:pPr>
        <w:pStyle w:val="ListParagraph"/>
        <w:numPr>
          <w:ilvl w:val="0"/>
          <w:numId w:val="43"/>
        </w:numPr>
        <w:spacing w:after="120"/>
        <w:jc w:val="both"/>
        <w:rPr>
          <w:rFonts w:ascii="Calibri" w:hAnsi="Calibri" w:cs="Calibri"/>
          <w:szCs w:val="24"/>
        </w:rPr>
      </w:pPr>
      <w:r w:rsidRPr="001E2A15">
        <w:rPr>
          <w:rFonts w:ascii="Calibri" w:hAnsi="Calibri" w:cs="Calibri"/>
          <w:szCs w:val="24"/>
        </w:rPr>
        <w:t xml:space="preserve">Reflected within the </w:t>
      </w:r>
      <w:r>
        <w:rPr>
          <w:rFonts w:ascii="Calibri" w:hAnsi="Calibri" w:cs="Calibri"/>
          <w:szCs w:val="24"/>
        </w:rPr>
        <w:t xml:space="preserve">forecast for the resource budget </w:t>
      </w:r>
      <w:r w:rsidRPr="001E2A15">
        <w:rPr>
          <w:rFonts w:ascii="Calibri" w:hAnsi="Calibri" w:cs="Calibri"/>
          <w:szCs w:val="24"/>
        </w:rPr>
        <w:t xml:space="preserve">is an expense of £0.284m for an abandoned claim value relating to Structural Funds.  The Managing Authority changed the advice provided for apportionment after we had agreed contracts with our grantees.  This leaves us unable to recover this sum from ERDF or from the recipients.  </w:t>
      </w:r>
    </w:p>
    <w:p w14:paraId="17FE7F56" w14:textId="77777777" w:rsidR="00283F5C" w:rsidRDefault="00283F5C" w:rsidP="00283F5C">
      <w:pPr>
        <w:pStyle w:val="ListParagraph"/>
        <w:spacing w:after="120"/>
        <w:ind w:left="714"/>
        <w:jc w:val="both"/>
        <w:rPr>
          <w:rFonts w:ascii="Calibri" w:hAnsi="Calibri" w:cs="Calibri"/>
          <w:szCs w:val="24"/>
          <w:highlight w:val="yellow"/>
        </w:rPr>
      </w:pPr>
    </w:p>
    <w:p w14:paraId="1967CE8D" w14:textId="77777777" w:rsidR="00283F5C" w:rsidRPr="002336D3" w:rsidRDefault="00283F5C" w:rsidP="00283F5C">
      <w:pPr>
        <w:keepNext/>
        <w:keepLines/>
        <w:ind w:left="360"/>
        <w:contextualSpacing/>
        <w:outlineLvl w:val="1"/>
        <w:rPr>
          <w:rFonts w:ascii="Calibri" w:eastAsia="Times New Roman" w:hAnsi="Calibri" w:cs="Calibri"/>
          <w:szCs w:val="24"/>
        </w:rPr>
      </w:pPr>
      <w:r w:rsidRPr="002336D3">
        <w:rPr>
          <w:rFonts w:ascii="Calibri" w:eastAsia="Times New Roman" w:hAnsi="Calibri" w:cs="Calibri"/>
          <w:b/>
          <w:szCs w:val="24"/>
        </w:rPr>
        <w:t>Capital Budget Performance</w:t>
      </w:r>
    </w:p>
    <w:p w14:paraId="3E6BB590" w14:textId="77777777" w:rsidR="00283F5C" w:rsidRDefault="00283F5C" w:rsidP="00283F5C">
      <w:pPr>
        <w:pStyle w:val="ListParagraph"/>
        <w:numPr>
          <w:ilvl w:val="0"/>
          <w:numId w:val="3"/>
        </w:numPr>
        <w:ind w:left="720"/>
        <w:jc w:val="both"/>
        <w:rPr>
          <w:rFonts w:ascii="Calibri" w:hAnsi="Calibri" w:cs="Calibri"/>
          <w:szCs w:val="24"/>
        </w:rPr>
      </w:pPr>
      <w:r w:rsidRPr="002C0D29">
        <w:rPr>
          <w:rFonts w:ascii="Calibri" w:hAnsi="Calibri" w:cs="Calibri"/>
          <w:szCs w:val="24"/>
        </w:rPr>
        <w:t xml:space="preserve">An </w:t>
      </w:r>
      <w:r>
        <w:rPr>
          <w:rFonts w:ascii="Calibri" w:hAnsi="Calibri" w:cs="Calibri"/>
          <w:szCs w:val="24"/>
        </w:rPr>
        <w:t>overspend of £0.073</w:t>
      </w:r>
      <w:r w:rsidRPr="002C0D29">
        <w:rPr>
          <w:rFonts w:ascii="Calibri" w:hAnsi="Calibri" w:cs="Calibri"/>
          <w:szCs w:val="24"/>
        </w:rPr>
        <w:t>m is forecast on the capital budget</w:t>
      </w:r>
      <w:r>
        <w:rPr>
          <w:rFonts w:ascii="Calibri" w:hAnsi="Calibri" w:cs="Calibri"/>
          <w:szCs w:val="24"/>
        </w:rPr>
        <w:t xml:space="preserve">. </w:t>
      </w:r>
    </w:p>
    <w:p w14:paraId="452133F2" w14:textId="77777777" w:rsidR="00283F5C" w:rsidRPr="001B1B91" w:rsidRDefault="00283F5C" w:rsidP="00283F5C">
      <w:pPr>
        <w:pStyle w:val="ListParagraph"/>
        <w:numPr>
          <w:ilvl w:val="0"/>
          <w:numId w:val="3"/>
        </w:numPr>
        <w:spacing w:after="120"/>
        <w:ind w:left="720"/>
        <w:jc w:val="both"/>
        <w:rPr>
          <w:rFonts w:ascii="Calibri" w:hAnsi="Calibri" w:cs="Calibri"/>
          <w:szCs w:val="24"/>
        </w:rPr>
      </w:pPr>
      <w:r>
        <w:rPr>
          <w:rFonts w:ascii="Calibri" w:hAnsi="Calibri" w:cs="Calibri"/>
          <w:szCs w:val="24"/>
        </w:rPr>
        <w:t>We will continue to r</w:t>
      </w:r>
      <w:r w:rsidRPr="001B1B91">
        <w:rPr>
          <w:rFonts w:ascii="Calibri" w:hAnsi="Calibri" w:cs="Calibri"/>
          <w:szCs w:val="24"/>
        </w:rPr>
        <w:t xml:space="preserve">eview </w:t>
      </w:r>
      <w:r>
        <w:rPr>
          <w:rFonts w:ascii="Calibri" w:hAnsi="Calibri" w:cs="Calibri"/>
          <w:szCs w:val="24"/>
        </w:rPr>
        <w:t xml:space="preserve">and actively manage the </w:t>
      </w:r>
      <w:r w:rsidRPr="001B1B91">
        <w:rPr>
          <w:rFonts w:ascii="Calibri" w:hAnsi="Calibri" w:cs="Calibri"/>
          <w:szCs w:val="24"/>
        </w:rPr>
        <w:t xml:space="preserve">capital budget to ensure outturn can be brought in line with budget for the year.  </w:t>
      </w:r>
    </w:p>
    <w:p w14:paraId="42742CB2" w14:textId="77777777" w:rsidR="00475D56" w:rsidRDefault="00475D56">
      <w:pPr>
        <w:rPr>
          <w:rFonts w:ascii="Calibri" w:eastAsiaTheme="majorEastAsia" w:hAnsi="Calibri" w:cs="Calibri"/>
          <w:b/>
          <w:color w:val="007DC3"/>
          <w:sz w:val="28"/>
          <w:szCs w:val="28"/>
        </w:rPr>
      </w:pPr>
      <w:r>
        <w:rPr>
          <w:rFonts w:ascii="Calibri" w:eastAsiaTheme="majorEastAsia" w:hAnsi="Calibri" w:cs="Calibri"/>
          <w:b/>
          <w:color w:val="007DC3"/>
          <w:sz w:val="28"/>
          <w:szCs w:val="28"/>
        </w:rPr>
        <w:br w:type="page"/>
      </w:r>
    </w:p>
    <w:p w14:paraId="55C4FC37" w14:textId="5C123B27" w:rsidR="008D20BE" w:rsidRDefault="008D20BE" w:rsidP="004F3330">
      <w:pPr>
        <w:keepNext/>
        <w:keepLines/>
        <w:spacing w:before="40" w:after="0" w:line="259" w:lineRule="auto"/>
        <w:outlineLvl w:val="1"/>
        <w:rPr>
          <w:rFonts w:ascii="Calibri" w:eastAsiaTheme="majorEastAsia" w:hAnsi="Calibri" w:cs="Calibri"/>
          <w:b/>
          <w:color w:val="007DC3"/>
          <w:sz w:val="28"/>
          <w:szCs w:val="28"/>
        </w:rPr>
      </w:pPr>
      <w:r w:rsidRPr="004F3330">
        <w:rPr>
          <w:rFonts w:ascii="Calibri" w:eastAsiaTheme="majorEastAsia" w:hAnsi="Calibri" w:cs="Calibri"/>
          <w:b/>
          <w:color w:val="007DC3"/>
          <w:sz w:val="28"/>
          <w:szCs w:val="28"/>
        </w:rPr>
        <w:lastRenderedPageBreak/>
        <w:t xml:space="preserve">RISK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376"/>
        <w:gridCol w:w="3199"/>
      </w:tblGrid>
      <w:tr w:rsidR="00B7627D" w:rsidRPr="00CA47FF" w14:paraId="00072827" w14:textId="77777777" w:rsidTr="005E5068">
        <w:trPr>
          <w:cantSplit/>
          <w:trHeight w:val="284"/>
          <w:tblHeader/>
        </w:trPr>
        <w:tc>
          <w:tcPr>
            <w:tcW w:w="5376" w:type="dxa"/>
            <w:tcBorders>
              <w:top w:val="single" w:sz="12" w:space="0" w:color="auto"/>
              <w:left w:val="single" w:sz="12" w:space="0" w:color="auto"/>
              <w:bottom w:val="single" w:sz="12" w:space="0" w:color="auto"/>
              <w:right w:val="single" w:sz="12" w:space="0" w:color="auto"/>
            </w:tcBorders>
            <w:shd w:val="clear" w:color="auto" w:fill="5E8CC0"/>
            <w:vAlign w:val="bottom"/>
          </w:tcPr>
          <w:p w14:paraId="3DE41865" w14:textId="77777777" w:rsidR="00B7627D" w:rsidRPr="00CA47FF" w:rsidRDefault="00B7627D" w:rsidP="005E5068">
            <w:pPr>
              <w:rPr>
                <w:rFonts w:ascii="Calibri" w:hAnsi="Calibri" w:cs="Calibri"/>
                <w:b/>
                <w:bCs/>
                <w:color w:val="1F497D" w:themeColor="text2"/>
                <w:szCs w:val="24"/>
                <w:highlight w:val="yellow"/>
              </w:rPr>
            </w:pPr>
            <w:r w:rsidRPr="00CA47FF">
              <w:rPr>
                <w:rFonts w:ascii="Calibri" w:hAnsi="Calibri" w:cs="Calibri"/>
                <w:b/>
                <w:bCs/>
                <w:szCs w:val="24"/>
              </w:rPr>
              <w:t>Corporate Risks</w:t>
            </w:r>
          </w:p>
        </w:tc>
        <w:tc>
          <w:tcPr>
            <w:tcW w:w="3199" w:type="dxa"/>
            <w:tcBorders>
              <w:top w:val="single" w:sz="12" w:space="0" w:color="auto"/>
              <w:left w:val="single" w:sz="12" w:space="0" w:color="auto"/>
              <w:bottom w:val="single" w:sz="12" w:space="0" w:color="auto"/>
              <w:right w:val="single" w:sz="12" w:space="0" w:color="auto"/>
            </w:tcBorders>
            <w:shd w:val="clear" w:color="auto" w:fill="5E8CC0"/>
          </w:tcPr>
          <w:p w14:paraId="7288AAA3" w14:textId="77777777" w:rsidR="00B7627D" w:rsidRPr="00CA47FF" w:rsidRDefault="00B7627D" w:rsidP="005E5068">
            <w:pPr>
              <w:rPr>
                <w:rFonts w:ascii="Calibri" w:hAnsi="Calibri" w:cs="Calibri"/>
                <w:b/>
                <w:bCs/>
                <w:color w:val="1F497D" w:themeColor="text2"/>
                <w:szCs w:val="24"/>
                <w:highlight w:val="yellow"/>
              </w:rPr>
            </w:pPr>
            <w:r w:rsidRPr="00CA47FF">
              <w:rPr>
                <w:rFonts w:ascii="Calibri" w:hAnsi="Calibri" w:cs="Calibri"/>
                <w:b/>
                <w:bCs/>
                <w:szCs w:val="24"/>
              </w:rPr>
              <w:t>Risk Changes</w:t>
            </w:r>
          </w:p>
        </w:tc>
      </w:tr>
      <w:tr w:rsidR="00B7627D" w:rsidRPr="004D18D9" w14:paraId="20881E16" w14:textId="77777777" w:rsidTr="005E5068">
        <w:trPr>
          <w:trHeight w:val="3745"/>
        </w:trPr>
        <w:tc>
          <w:tcPr>
            <w:tcW w:w="5376" w:type="dxa"/>
            <w:tcBorders>
              <w:top w:val="single" w:sz="12" w:space="0" w:color="auto"/>
              <w:left w:val="single" w:sz="12" w:space="0" w:color="auto"/>
              <w:bottom w:val="single" w:sz="12" w:space="0" w:color="auto"/>
              <w:right w:val="single" w:sz="12" w:space="0" w:color="auto"/>
            </w:tcBorders>
            <w:shd w:val="clear" w:color="auto" w:fill="auto"/>
          </w:tcPr>
          <w:tbl>
            <w:tblPr>
              <w:tblW w:w="5412" w:type="dxa"/>
              <w:jc w:val="center"/>
              <w:tblLayout w:type="fixed"/>
              <w:tblLook w:val="04A0" w:firstRow="1" w:lastRow="0" w:firstColumn="1" w:lastColumn="0" w:noHBand="0" w:noVBand="1"/>
            </w:tblPr>
            <w:tblGrid>
              <w:gridCol w:w="5412"/>
            </w:tblGrid>
            <w:tr w:rsidR="00B7627D" w:rsidRPr="00FE4730" w14:paraId="58A7673C" w14:textId="77777777" w:rsidTr="005E5068">
              <w:trPr>
                <w:trHeight w:val="99"/>
                <w:jc w:val="center"/>
              </w:trPr>
              <w:tc>
                <w:tcPr>
                  <w:tcW w:w="5412" w:type="dxa"/>
                  <w:tcBorders>
                    <w:top w:val="nil"/>
                    <w:left w:val="nil"/>
                    <w:bottom w:val="nil"/>
                    <w:right w:val="nil"/>
                  </w:tcBorders>
                  <w:shd w:val="clear" w:color="auto" w:fill="auto"/>
                  <w:noWrap/>
                  <w:vAlign w:val="center"/>
                  <w:hideMark/>
                </w:tcPr>
                <w:p w14:paraId="2D9C1A3D" w14:textId="77777777" w:rsidR="00B7627D" w:rsidRPr="00FE4730" w:rsidRDefault="00B7627D" w:rsidP="005E5068">
                  <w:pPr>
                    <w:jc w:val="center"/>
                    <w:rPr>
                      <w:rFonts w:ascii="Calibri" w:eastAsia="Times New Roman" w:hAnsi="Calibri" w:cs="Calibri"/>
                      <w:color w:val="000000"/>
                      <w:lang w:eastAsia="en-GB"/>
                    </w:rPr>
                  </w:pPr>
                </w:p>
              </w:tc>
            </w:tr>
          </w:tbl>
          <w:p w14:paraId="29303E71" w14:textId="50C777F3" w:rsidR="00B7627D" w:rsidRPr="00030D53" w:rsidRDefault="00F67DDD" w:rsidP="005E5068">
            <w:pPr>
              <w:jc w:val="center"/>
              <w:rPr>
                <w:rFonts w:ascii="Calibri" w:hAnsi="Calibri" w:cs="Calibri"/>
                <w:szCs w:val="24"/>
              </w:rPr>
            </w:pPr>
            <w:commentRangeStart w:id="6"/>
            <w:commentRangeEnd w:id="6"/>
            <w:r>
              <w:rPr>
                <w:rStyle w:val="CommentReference"/>
              </w:rPr>
              <w:commentReference w:id="6"/>
            </w:r>
            <w:r w:rsidR="009A4D80">
              <w:rPr>
                <w:rFonts w:ascii="Calibri" w:hAnsi="Calibri" w:cs="Calibri"/>
                <w:noProof/>
                <w:szCs w:val="24"/>
                <w:lang w:eastAsia="en-GB"/>
              </w:rPr>
              <w:drawing>
                <wp:inline distT="0" distB="0" distL="0" distR="0" wp14:anchorId="4247551B" wp14:editId="1CA57113">
                  <wp:extent cx="3336161" cy="2110154"/>
                  <wp:effectExtent l="0" t="0" r="0" b="4445"/>
                  <wp:docPr id="1656891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53900" cy="2121374"/>
                          </a:xfrm>
                          <a:prstGeom prst="rect">
                            <a:avLst/>
                          </a:prstGeom>
                          <a:noFill/>
                        </pic:spPr>
                      </pic:pic>
                    </a:graphicData>
                  </a:graphic>
                </wp:inline>
              </w:drawing>
            </w:r>
          </w:p>
        </w:tc>
        <w:tc>
          <w:tcPr>
            <w:tcW w:w="3199" w:type="dxa"/>
            <w:tcBorders>
              <w:top w:val="single" w:sz="12" w:space="0" w:color="auto"/>
              <w:left w:val="single" w:sz="12" w:space="0" w:color="auto"/>
              <w:bottom w:val="single" w:sz="12" w:space="0" w:color="auto"/>
              <w:right w:val="single" w:sz="12" w:space="0" w:color="auto"/>
            </w:tcBorders>
            <w:shd w:val="clear" w:color="auto" w:fill="auto"/>
          </w:tcPr>
          <w:p w14:paraId="3AD84021" w14:textId="77777777" w:rsidR="00B7627D" w:rsidRPr="00030D53" w:rsidRDefault="00B7627D" w:rsidP="005E5068">
            <w:pPr>
              <w:rPr>
                <w:rFonts w:ascii="Calibri" w:hAnsi="Calibri" w:cs="Calibri"/>
                <w:szCs w:val="24"/>
              </w:rPr>
            </w:pPr>
            <w:r w:rsidRPr="00030D53">
              <w:rPr>
                <w:rFonts w:ascii="Calibri" w:hAnsi="Calibri" w:cs="Calibri"/>
                <w:szCs w:val="24"/>
                <w:u w:val="single"/>
              </w:rPr>
              <w:t>Changes to Corporate Risk Scores</w:t>
            </w:r>
          </w:p>
          <w:p w14:paraId="15210BFB" w14:textId="348A99FB" w:rsidR="00B7627D" w:rsidRPr="00030D53" w:rsidRDefault="00B7627D" w:rsidP="005E5068">
            <w:pPr>
              <w:rPr>
                <w:rFonts w:ascii="Calibri" w:hAnsi="Calibri" w:cs="Calibri"/>
                <w:szCs w:val="24"/>
              </w:rPr>
            </w:pPr>
            <w:r w:rsidRPr="00030D53">
              <w:rPr>
                <w:rFonts w:ascii="Calibri" w:hAnsi="Calibri" w:cs="Calibri"/>
                <w:szCs w:val="24"/>
              </w:rPr>
              <w:t xml:space="preserve">↑ </w:t>
            </w:r>
            <w:r w:rsidR="009A4D80">
              <w:rPr>
                <w:rFonts w:ascii="Calibri" w:hAnsi="Calibri" w:cs="Calibri"/>
                <w:szCs w:val="24"/>
              </w:rPr>
              <w:t>0</w:t>
            </w:r>
            <w:r w:rsidRPr="00030D53">
              <w:rPr>
                <w:rFonts w:ascii="Calibri" w:hAnsi="Calibri" w:cs="Calibri"/>
                <w:szCs w:val="24"/>
              </w:rPr>
              <w:t xml:space="preserve"> Gone Up </w:t>
            </w:r>
          </w:p>
          <w:p w14:paraId="2FD5556E" w14:textId="77777777" w:rsidR="00B7627D" w:rsidRPr="00030D53" w:rsidRDefault="00B7627D" w:rsidP="005E5068">
            <w:pPr>
              <w:rPr>
                <w:rFonts w:ascii="Calibri" w:hAnsi="Calibri" w:cs="Calibri"/>
                <w:szCs w:val="24"/>
              </w:rPr>
            </w:pPr>
            <w:r w:rsidRPr="00030D53">
              <w:rPr>
                <w:rFonts w:ascii="Calibri" w:hAnsi="Calibri" w:cs="Calibri"/>
                <w:szCs w:val="24"/>
              </w:rPr>
              <w:t xml:space="preserve">↓ </w:t>
            </w:r>
            <w:r w:rsidRPr="00030D53">
              <w:rPr>
                <w:rFonts w:ascii="Calibri" w:hAnsi="Calibri" w:cs="Calibri"/>
                <w:b/>
                <w:szCs w:val="24"/>
              </w:rPr>
              <w:t xml:space="preserve">0 </w:t>
            </w:r>
            <w:r w:rsidRPr="00030D53">
              <w:rPr>
                <w:rFonts w:ascii="Calibri" w:hAnsi="Calibri" w:cs="Calibri"/>
                <w:szCs w:val="24"/>
              </w:rPr>
              <w:t xml:space="preserve">Gone Down </w:t>
            </w:r>
          </w:p>
          <w:p w14:paraId="263B2E1C" w14:textId="77777777" w:rsidR="00B7627D" w:rsidRPr="00030D53" w:rsidRDefault="00B7627D" w:rsidP="005E5068">
            <w:pPr>
              <w:rPr>
                <w:rFonts w:ascii="Calibri" w:hAnsi="Calibri" w:cs="Calibri"/>
                <w:szCs w:val="24"/>
              </w:rPr>
            </w:pPr>
            <w:r w:rsidRPr="00030D53">
              <w:rPr>
                <w:rFonts w:ascii="Calibri" w:hAnsi="Calibri" w:cs="Calibri"/>
                <w:szCs w:val="24"/>
                <w:u w:val="single"/>
              </w:rPr>
              <w:t>Change to Corporate Risk Register - proposed</w:t>
            </w:r>
          </w:p>
          <w:p w14:paraId="4764B725" w14:textId="77777777" w:rsidR="00B7627D" w:rsidRPr="00030D53" w:rsidRDefault="00B7627D" w:rsidP="005E5068">
            <w:pPr>
              <w:rPr>
                <w:rFonts w:ascii="Calibri" w:hAnsi="Calibri" w:cs="Calibri"/>
                <w:szCs w:val="24"/>
              </w:rPr>
            </w:pPr>
            <w:r w:rsidRPr="00030D53">
              <w:rPr>
                <w:rFonts w:ascii="Calibri" w:hAnsi="Calibri" w:cs="Calibri"/>
                <w:szCs w:val="24"/>
              </w:rPr>
              <w:t>↗</w:t>
            </w:r>
            <w:r w:rsidRPr="00030D53">
              <w:rPr>
                <w:rFonts w:ascii="Calibri" w:hAnsi="Calibri" w:cs="Calibri"/>
                <w:b/>
                <w:szCs w:val="24"/>
              </w:rPr>
              <w:t xml:space="preserve"> 0 </w:t>
            </w:r>
            <w:r w:rsidRPr="00030D53">
              <w:rPr>
                <w:rFonts w:ascii="Calibri" w:hAnsi="Calibri" w:cs="Calibri"/>
                <w:szCs w:val="24"/>
              </w:rPr>
              <w:t xml:space="preserve">New Corporate Risks </w:t>
            </w:r>
          </w:p>
          <w:p w14:paraId="7DD2F183" w14:textId="77777777" w:rsidR="00B7627D" w:rsidRPr="004D18D9" w:rsidRDefault="00B7627D" w:rsidP="005E5068">
            <w:pPr>
              <w:rPr>
                <w:rFonts w:ascii="Calibri" w:hAnsi="Calibri" w:cs="Calibri"/>
                <w:noProof/>
                <w:szCs w:val="24"/>
                <w:lang w:eastAsia="en-GB"/>
              </w:rPr>
            </w:pPr>
            <w:r w:rsidRPr="00030D53">
              <w:rPr>
                <w:rFonts w:ascii="Calibri" w:hAnsi="Calibri" w:cs="Calibri"/>
                <w:szCs w:val="24"/>
              </w:rPr>
              <w:t xml:space="preserve">↘ </w:t>
            </w:r>
            <w:r w:rsidRPr="00030D53">
              <w:rPr>
                <w:rFonts w:ascii="Calibri" w:hAnsi="Calibri" w:cs="Calibri"/>
                <w:b/>
                <w:bCs/>
                <w:szCs w:val="24"/>
              </w:rPr>
              <w:t>0</w:t>
            </w:r>
            <w:r w:rsidRPr="00030D53">
              <w:rPr>
                <w:rFonts w:ascii="Calibri" w:hAnsi="Calibri" w:cs="Calibri"/>
                <w:b/>
                <w:szCs w:val="24"/>
              </w:rPr>
              <w:t xml:space="preserve"> </w:t>
            </w:r>
            <w:r w:rsidRPr="00030D53">
              <w:rPr>
                <w:rFonts w:ascii="Calibri" w:hAnsi="Calibri" w:cs="Calibri"/>
                <w:szCs w:val="24"/>
              </w:rPr>
              <w:t>Risk De-Escalated</w:t>
            </w:r>
            <w:r w:rsidRPr="00F77EE9">
              <w:rPr>
                <w:rFonts w:ascii="Calibri" w:hAnsi="Calibri" w:cs="Calibri"/>
                <w:szCs w:val="24"/>
              </w:rPr>
              <w:t xml:space="preserve"> </w:t>
            </w:r>
          </w:p>
        </w:tc>
      </w:tr>
    </w:tbl>
    <w:p w14:paraId="401DCFA1" w14:textId="5F3A3A07" w:rsidR="00CA47FF" w:rsidRPr="004F3330" w:rsidRDefault="00CA47FF" w:rsidP="00B7627D">
      <w:pPr>
        <w:keepNext/>
        <w:keepLines/>
        <w:spacing w:before="40" w:after="0" w:line="259" w:lineRule="auto"/>
        <w:jc w:val="center"/>
        <w:outlineLvl w:val="1"/>
        <w:rPr>
          <w:rFonts w:ascii="Calibri" w:eastAsiaTheme="majorEastAsia" w:hAnsi="Calibri" w:cs="Calibri"/>
          <w:b/>
          <w:color w:val="007DC3"/>
          <w:sz w:val="28"/>
          <w:szCs w:val="28"/>
        </w:rPr>
      </w:pPr>
    </w:p>
    <w:p w14:paraId="6F27AD07" w14:textId="77777777" w:rsidR="008D20BE" w:rsidRPr="00CA47FF" w:rsidRDefault="008D20BE" w:rsidP="008D20BE">
      <w:pPr>
        <w:pStyle w:val="Heading2"/>
        <w:spacing w:before="0" w:after="120" w:line="240" w:lineRule="auto"/>
        <w:rPr>
          <w:rFonts w:ascii="Calibri" w:hAnsi="Calibri" w:cs="Calibri"/>
          <w:szCs w:val="24"/>
        </w:rPr>
      </w:pPr>
      <w:r w:rsidRPr="00CA47FF">
        <w:rPr>
          <w:rFonts w:ascii="Calibri" w:hAnsi="Calibri" w:cs="Calibri"/>
          <w:szCs w:val="24"/>
        </w:rPr>
        <w:t>Risk</w:t>
      </w:r>
    </w:p>
    <w:p w14:paraId="6025E418" w14:textId="6BF79B1E" w:rsidR="008D20BE" w:rsidRPr="00CA47FF" w:rsidRDefault="008D20BE" w:rsidP="00025C49">
      <w:pPr>
        <w:pStyle w:val="ListParagraph"/>
        <w:numPr>
          <w:ilvl w:val="0"/>
          <w:numId w:val="1"/>
        </w:numPr>
        <w:rPr>
          <w:rFonts w:ascii="Calibri" w:hAnsi="Calibri" w:cs="Calibri"/>
          <w:szCs w:val="24"/>
        </w:rPr>
      </w:pPr>
      <w:r w:rsidRPr="00945709">
        <w:rPr>
          <w:rFonts w:ascii="Calibri" w:hAnsi="Calibri" w:cs="Calibri"/>
          <w:szCs w:val="24"/>
        </w:rPr>
        <w:t xml:space="preserve">The </w:t>
      </w:r>
      <w:r w:rsidRPr="002D5461">
        <w:rPr>
          <w:rFonts w:ascii="Calibri" w:hAnsi="Calibri" w:cs="Calibri"/>
          <w:szCs w:val="24"/>
        </w:rPr>
        <w:t>Corporate Risk Register</w:t>
      </w:r>
      <w:r w:rsidRPr="00945709">
        <w:rPr>
          <w:rFonts w:ascii="Calibri" w:hAnsi="Calibri" w:cs="Calibri"/>
          <w:szCs w:val="24"/>
        </w:rPr>
        <w:t xml:space="preserve"> holds the</w:t>
      </w:r>
      <w:r w:rsidRPr="00CA47FF">
        <w:rPr>
          <w:rFonts w:ascii="Calibri" w:hAnsi="Calibri" w:cs="Calibri"/>
          <w:szCs w:val="24"/>
        </w:rPr>
        <w:t xml:space="preserve"> current corporate risks for NatureScot. </w:t>
      </w:r>
      <w:r w:rsidR="00D14F08" w:rsidRPr="005840E9">
        <w:rPr>
          <w:rFonts w:ascii="Calibri" w:hAnsi="Calibri" w:cs="Calibri"/>
          <w:szCs w:val="24"/>
        </w:rPr>
        <w:t xml:space="preserve">The position of the </w:t>
      </w:r>
      <w:r w:rsidR="00D14F08">
        <w:rPr>
          <w:rFonts w:ascii="Calibri" w:hAnsi="Calibri" w:cs="Calibri"/>
          <w:szCs w:val="24"/>
        </w:rPr>
        <w:t xml:space="preserve">high and very high rated </w:t>
      </w:r>
      <w:r w:rsidR="00D14F08" w:rsidRPr="005840E9">
        <w:rPr>
          <w:rFonts w:ascii="Calibri" w:hAnsi="Calibri" w:cs="Calibri"/>
          <w:szCs w:val="24"/>
        </w:rPr>
        <w:t xml:space="preserve">Corporate Risks are detailed in the </w:t>
      </w:r>
      <w:hyperlink w:anchor="AnnexA" w:history="1">
        <w:r w:rsidR="00D14F08" w:rsidRPr="00E3535A">
          <w:rPr>
            <w:rStyle w:val="Hyperlink"/>
            <w:rFonts w:ascii="Calibri" w:hAnsi="Calibri" w:cs="Calibri"/>
            <w:szCs w:val="24"/>
          </w:rPr>
          <w:t>Corporate Risk Register in Annex A</w:t>
        </w:r>
      </w:hyperlink>
      <w:r w:rsidR="00D14F08" w:rsidRPr="00E3535A">
        <w:rPr>
          <w:rStyle w:val="Hyperlink"/>
          <w:rFonts w:ascii="Calibri" w:hAnsi="Calibri" w:cs="Calibri"/>
          <w:szCs w:val="24"/>
        </w:rPr>
        <w:t>.</w:t>
      </w:r>
      <w:r w:rsidRPr="00CA47FF">
        <w:rPr>
          <w:rFonts w:ascii="Calibri" w:hAnsi="Calibri" w:cs="Calibri"/>
          <w:szCs w:val="24"/>
        </w:rPr>
        <w:t xml:space="preserve"> Activity and project risks are managed within the risk management system, which underpins the corporate risk register.  All risks are managed in line with the Risk Management Policy and monitored regularly for compliance and visibility of impact.  </w:t>
      </w:r>
      <w:r w:rsidRPr="00CA47FF">
        <w:rPr>
          <w:rFonts w:ascii="Calibri" w:eastAsia="Times New Roman" w:hAnsi="Calibri" w:cs="Calibri"/>
          <w:szCs w:val="24"/>
        </w:rPr>
        <w:br/>
      </w:r>
    </w:p>
    <w:p w14:paraId="28AC64FB" w14:textId="024090DE" w:rsidR="008D20BE" w:rsidRPr="00945709" w:rsidRDefault="008D20BE" w:rsidP="00025C49">
      <w:pPr>
        <w:pStyle w:val="ListParagraph"/>
        <w:numPr>
          <w:ilvl w:val="0"/>
          <w:numId w:val="1"/>
        </w:numPr>
        <w:rPr>
          <w:rFonts w:ascii="Calibri" w:eastAsia="Times New Roman" w:hAnsi="Calibri" w:cs="Calibri"/>
          <w:szCs w:val="24"/>
        </w:rPr>
      </w:pPr>
      <w:r w:rsidRPr="00945709">
        <w:rPr>
          <w:rFonts w:ascii="Calibri" w:eastAsia="Times New Roman" w:hAnsi="Calibri" w:cs="Calibri"/>
          <w:szCs w:val="24"/>
        </w:rPr>
        <w:t>There are currently 1</w:t>
      </w:r>
      <w:r w:rsidR="00CA47FF" w:rsidRPr="00945709">
        <w:rPr>
          <w:rFonts w:ascii="Calibri" w:eastAsia="Times New Roman" w:hAnsi="Calibri" w:cs="Calibri"/>
          <w:szCs w:val="24"/>
        </w:rPr>
        <w:t>0</w:t>
      </w:r>
      <w:r w:rsidRPr="00945709">
        <w:rPr>
          <w:rFonts w:ascii="Calibri" w:eastAsia="Times New Roman" w:hAnsi="Calibri" w:cs="Calibri"/>
          <w:szCs w:val="24"/>
        </w:rPr>
        <w:t xml:space="preserve"> approved Corporate Risks, 6 medium</w:t>
      </w:r>
      <w:r w:rsidR="00030D53" w:rsidRPr="00945709">
        <w:rPr>
          <w:rFonts w:ascii="Calibri" w:eastAsia="Times New Roman" w:hAnsi="Calibri" w:cs="Calibri"/>
          <w:szCs w:val="24"/>
        </w:rPr>
        <w:t xml:space="preserve">, </w:t>
      </w:r>
      <w:r w:rsidR="00F67DDD">
        <w:rPr>
          <w:rFonts w:ascii="Calibri" w:eastAsia="Times New Roman" w:hAnsi="Calibri" w:cs="Calibri"/>
          <w:szCs w:val="24"/>
        </w:rPr>
        <w:t>3</w:t>
      </w:r>
      <w:r w:rsidRPr="00945709">
        <w:rPr>
          <w:rFonts w:ascii="Calibri" w:eastAsia="Times New Roman" w:hAnsi="Calibri" w:cs="Calibri"/>
          <w:szCs w:val="24"/>
        </w:rPr>
        <w:t xml:space="preserve"> high</w:t>
      </w:r>
      <w:r w:rsidR="00030D53" w:rsidRPr="00945709">
        <w:rPr>
          <w:rFonts w:ascii="Calibri" w:eastAsia="Times New Roman" w:hAnsi="Calibri" w:cs="Calibri"/>
          <w:szCs w:val="24"/>
        </w:rPr>
        <w:t xml:space="preserve"> and </w:t>
      </w:r>
      <w:r w:rsidR="00F67DDD">
        <w:rPr>
          <w:rFonts w:ascii="Calibri" w:eastAsia="Times New Roman" w:hAnsi="Calibri" w:cs="Calibri"/>
          <w:szCs w:val="24"/>
        </w:rPr>
        <w:t>1</w:t>
      </w:r>
      <w:r w:rsidR="00030D53" w:rsidRPr="00945709">
        <w:rPr>
          <w:rFonts w:ascii="Calibri" w:eastAsia="Times New Roman" w:hAnsi="Calibri" w:cs="Calibri"/>
          <w:szCs w:val="24"/>
        </w:rPr>
        <w:t xml:space="preserve"> very high</w:t>
      </w:r>
      <w:r w:rsidRPr="00945709">
        <w:rPr>
          <w:rFonts w:ascii="Calibri" w:eastAsia="Times New Roman" w:hAnsi="Calibri" w:cs="Calibri"/>
          <w:szCs w:val="24"/>
        </w:rPr>
        <w:t>.  During Q</w:t>
      </w:r>
      <w:r w:rsidR="00945709" w:rsidRPr="00945709">
        <w:rPr>
          <w:rFonts w:ascii="Calibri" w:eastAsia="Times New Roman" w:hAnsi="Calibri" w:cs="Calibri"/>
          <w:szCs w:val="24"/>
        </w:rPr>
        <w:t>3</w:t>
      </w:r>
      <w:r w:rsidRPr="00945709">
        <w:rPr>
          <w:rFonts w:ascii="Calibri" w:eastAsia="Times New Roman" w:hAnsi="Calibri" w:cs="Calibri"/>
          <w:szCs w:val="24"/>
        </w:rPr>
        <w:t xml:space="preserve"> the</w:t>
      </w:r>
      <w:r w:rsidR="00030D53" w:rsidRPr="00945709">
        <w:rPr>
          <w:rFonts w:ascii="Calibri" w:eastAsia="Times New Roman" w:hAnsi="Calibri" w:cs="Calibri"/>
          <w:szCs w:val="24"/>
        </w:rPr>
        <w:t xml:space="preserve"> overall score for risk </w:t>
      </w:r>
      <w:r w:rsidR="00945709" w:rsidRPr="00945709">
        <w:rPr>
          <w:rFonts w:ascii="Calibri" w:eastAsia="Times New Roman" w:hAnsi="Calibri" w:cs="Calibri"/>
          <w:szCs w:val="24"/>
        </w:rPr>
        <w:t>393</w:t>
      </w:r>
      <w:r w:rsidR="00030D53" w:rsidRPr="00945709">
        <w:rPr>
          <w:rFonts w:ascii="Calibri" w:eastAsia="Times New Roman" w:hAnsi="Calibri" w:cs="Calibri"/>
          <w:szCs w:val="24"/>
        </w:rPr>
        <w:t xml:space="preserve"> - </w:t>
      </w:r>
      <w:r w:rsidR="00945709" w:rsidRPr="00945709">
        <w:rPr>
          <w:rFonts w:ascii="Calibri" w:eastAsia="Times New Roman" w:hAnsi="Calibri" w:cs="Calibri"/>
          <w:szCs w:val="24"/>
        </w:rPr>
        <w:t xml:space="preserve">Future Funding of NatureScot </w:t>
      </w:r>
      <w:r w:rsidR="00030D53" w:rsidRPr="00945709">
        <w:rPr>
          <w:rFonts w:ascii="Calibri" w:eastAsia="Times New Roman" w:hAnsi="Calibri" w:cs="Calibri"/>
          <w:szCs w:val="24"/>
        </w:rPr>
        <w:t>increased from high to very high</w:t>
      </w:r>
      <w:r w:rsidR="00945709" w:rsidRPr="00945709">
        <w:rPr>
          <w:rFonts w:ascii="Calibri" w:eastAsia="Times New Roman" w:hAnsi="Calibri" w:cs="Calibri"/>
          <w:szCs w:val="24"/>
        </w:rPr>
        <w:t xml:space="preserve"> due to assumption of a reduction to our budget</w:t>
      </w:r>
      <w:r w:rsidR="00F67DDD">
        <w:rPr>
          <w:rFonts w:ascii="Calibri" w:eastAsia="Times New Roman" w:hAnsi="Calibri" w:cs="Calibri"/>
          <w:szCs w:val="24"/>
        </w:rPr>
        <w:t xml:space="preserve"> but this has since been reverted to high following SLT discussion about the budget settlement </w:t>
      </w:r>
      <w:r w:rsidR="00945709" w:rsidRPr="00945709">
        <w:rPr>
          <w:rFonts w:ascii="Calibri" w:eastAsia="Times New Roman" w:hAnsi="Calibri" w:cs="Calibri"/>
          <w:szCs w:val="24"/>
        </w:rPr>
        <w:t xml:space="preserve">. </w:t>
      </w:r>
      <w:r w:rsidRPr="00945709">
        <w:rPr>
          <w:rFonts w:ascii="Calibri" w:eastAsia="Times New Roman" w:hAnsi="Calibri" w:cs="Calibri"/>
          <w:szCs w:val="24"/>
        </w:rPr>
        <w:t xml:space="preserve"> </w:t>
      </w:r>
    </w:p>
    <w:p w14:paraId="78AAB91D" w14:textId="77777777" w:rsidR="008D20BE" w:rsidRPr="00CA47FF" w:rsidRDefault="008D20BE" w:rsidP="008D20BE">
      <w:pPr>
        <w:pStyle w:val="ListParagraph"/>
        <w:ind w:left="360"/>
        <w:rPr>
          <w:rFonts w:ascii="Calibri" w:eastAsia="Times New Roman" w:hAnsi="Calibri" w:cs="Calibri"/>
          <w:szCs w:val="24"/>
          <w:highlight w:val="yellow"/>
        </w:rPr>
      </w:pPr>
    </w:p>
    <w:p w14:paraId="488C75C3" w14:textId="0B534D2D" w:rsidR="008D20BE" w:rsidRPr="00CA47FF" w:rsidRDefault="008D20BE" w:rsidP="00025C49">
      <w:pPr>
        <w:pStyle w:val="ListParagraph"/>
        <w:numPr>
          <w:ilvl w:val="0"/>
          <w:numId w:val="1"/>
        </w:numPr>
        <w:spacing w:after="0"/>
        <w:rPr>
          <w:rFonts w:ascii="Calibri" w:hAnsi="Calibri" w:cs="Calibri"/>
          <w:szCs w:val="24"/>
        </w:rPr>
      </w:pPr>
      <w:r w:rsidRPr="00CA47FF">
        <w:rPr>
          <w:rFonts w:ascii="Calibri" w:eastAsia="Times New Roman" w:hAnsi="Calibri" w:cs="Calibri"/>
          <w:szCs w:val="24"/>
        </w:rPr>
        <w:t>During Q</w:t>
      </w:r>
      <w:r w:rsidR="00F63AD7">
        <w:rPr>
          <w:rFonts w:ascii="Calibri" w:eastAsia="Times New Roman" w:hAnsi="Calibri" w:cs="Calibri"/>
          <w:szCs w:val="24"/>
        </w:rPr>
        <w:t>3</w:t>
      </w:r>
      <w:r w:rsidRPr="00CA47FF">
        <w:rPr>
          <w:rFonts w:ascii="Calibri" w:eastAsia="Times New Roman" w:hAnsi="Calibri" w:cs="Calibri"/>
          <w:szCs w:val="24"/>
        </w:rPr>
        <w:t xml:space="preserve">, the Corporate Risks have been reviewed to ensure that they still require to be managed at the corporate level. </w:t>
      </w:r>
      <w:r w:rsidR="00D771D0">
        <w:rPr>
          <w:rFonts w:ascii="Calibri" w:eastAsia="Times New Roman" w:hAnsi="Calibri" w:cs="Calibri"/>
          <w:szCs w:val="24"/>
        </w:rPr>
        <w:t>None of the current corporate risks have been required to be archived or de-escalated this quarter.</w:t>
      </w:r>
    </w:p>
    <w:p w14:paraId="4F8E86CA" w14:textId="77777777" w:rsidR="008D20BE" w:rsidRPr="00517D22" w:rsidRDefault="008D20BE" w:rsidP="008D20BE">
      <w:pPr>
        <w:spacing w:after="0"/>
        <w:rPr>
          <w:rFonts w:ascii="Calibri" w:hAnsi="Calibri" w:cs="Calibri"/>
          <w:szCs w:val="24"/>
        </w:rPr>
      </w:pPr>
    </w:p>
    <w:p w14:paraId="0D50D14D" w14:textId="77777777" w:rsidR="008D20BE" w:rsidRDefault="008D20BE" w:rsidP="008D20BE">
      <w:pPr>
        <w:rPr>
          <w:rFonts w:ascii="Calibri" w:eastAsia="Times New Roman" w:hAnsi="Calibri" w:cs="Calibri"/>
          <w:b/>
          <w:szCs w:val="24"/>
        </w:rPr>
      </w:pPr>
    </w:p>
    <w:p w14:paraId="19D52E4A" w14:textId="77777777" w:rsidR="008D20BE" w:rsidRPr="00517D22" w:rsidRDefault="008D20BE" w:rsidP="008D20BE">
      <w:pPr>
        <w:rPr>
          <w:rFonts w:eastAsiaTheme="majorEastAsia"/>
          <w:b/>
          <w:szCs w:val="26"/>
        </w:rPr>
      </w:pPr>
    </w:p>
    <w:p w14:paraId="34FF7ADB" w14:textId="77777777" w:rsidR="00CA47FF" w:rsidRDefault="00CA47FF">
      <w:pPr>
        <w:rPr>
          <w:rFonts w:ascii="Calibri" w:eastAsiaTheme="majorEastAsia" w:hAnsi="Calibri" w:cs="Calibri"/>
          <w:b/>
          <w:color w:val="5E8CC0"/>
          <w:szCs w:val="26"/>
        </w:rPr>
      </w:pPr>
      <w:r>
        <w:rPr>
          <w:rFonts w:ascii="Calibri" w:hAnsi="Calibri" w:cs="Calibri"/>
          <w:color w:val="5E8CC0"/>
        </w:rPr>
        <w:br w:type="page"/>
      </w:r>
    </w:p>
    <w:p w14:paraId="08D8CA8F" w14:textId="0572CEFC" w:rsidR="00C20BBB" w:rsidRPr="005D1EE3" w:rsidRDefault="008D20BE" w:rsidP="005D1EE3">
      <w:pPr>
        <w:keepNext/>
        <w:keepLines/>
        <w:spacing w:before="40" w:after="0" w:line="259" w:lineRule="auto"/>
        <w:outlineLvl w:val="1"/>
        <w:rPr>
          <w:rFonts w:ascii="Calibri" w:eastAsiaTheme="majorEastAsia" w:hAnsi="Calibri" w:cs="Calibri"/>
          <w:b/>
          <w:color w:val="007DC3"/>
          <w:sz w:val="28"/>
          <w:szCs w:val="28"/>
        </w:rPr>
      </w:pPr>
      <w:r w:rsidRPr="005D1EE3">
        <w:rPr>
          <w:rFonts w:ascii="Calibri" w:eastAsiaTheme="majorEastAsia" w:hAnsi="Calibri" w:cs="Calibri"/>
          <w:b/>
          <w:color w:val="007DC3"/>
          <w:sz w:val="28"/>
          <w:szCs w:val="28"/>
        </w:rPr>
        <w:lastRenderedPageBreak/>
        <w:t>PEOPLE</w:t>
      </w:r>
      <w:r w:rsidR="00701FAD" w:rsidRPr="005D1EE3">
        <w:rPr>
          <w:rFonts w:ascii="Calibri" w:eastAsiaTheme="majorEastAsia" w:hAnsi="Calibri" w:cs="Calibri"/>
          <w:b/>
          <w:color w:val="007DC3"/>
          <w:sz w:val="28"/>
          <w:szCs w:val="28"/>
        </w:rPr>
        <w:t xml:space="preserve"> </w:t>
      </w:r>
    </w:p>
    <w:tbl>
      <w:tblPr>
        <w:tblpPr w:leftFromText="180" w:rightFromText="180" w:vertAnchor="text" w:horzAnchor="margin" w:tblpXSpec="center" w:tblpY="680"/>
        <w:tblOverlap w:val="neve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4"/>
        <w:gridCol w:w="836"/>
      </w:tblGrid>
      <w:tr w:rsidR="00C20BBB" w:rsidRPr="006B15AA" w14:paraId="54B25F19" w14:textId="77777777" w:rsidTr="00C20BBB">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4F81BD"/>
            <w:hideMark/>
          </w:tcPr>
          <w:p w14:paraId="2B8AA2B6" w14:textId="3C1825E6"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b/>
                <w:bCs/>
                <w:sz w:val="22"/>
                <w:lang w:eastAsia="en-GB"/>
              </w:rPr>
              <w:t>People</w:t>
            </w:r>
            <w:r>
              <w:rPr>
                <w:rFonts w:ascii="Calibri" w:eastAsia="Times New Roman" w:hAnsi="Calibri" w:cs="Calibri"/>
                <w:b/>
                <w:bCs/>
                <w:sz w:val="22"/>
                <w:lang w:eastAsia="en-GB"/>
              </w:rPr>
              <w:t xml:space="preserve"> </w:t>
            </w:r>
            <w:r w:rsidRPr="006B15AA">
              <w:rPr>
                <w:rFonts w:ascii="Calibri" w:eastAsia="Times New Roman" w:hAnsi="Calibri" w:cs="Calibri"/>
                <w:b/>
                <w:bCs/>
                <w:sz w:val="22"/>
                <w:lang w:eastAsia="en-GB"/>
              </w:rPr>
              <w:t>Metrics </w:t>
            </w:r>
          </w:p>
        </w:tc>
        <w:tc>
          <w:tcPr>
            <w:tcW w:w="836" w:type="dxa"/>
            <w:tcBorders>
              <w:top w:val="single" w:sz="6" w:space="0" w:color="BFBFBF"/>
              <w:left w:val="single" w:sz="6" w:space="0" w:color="BFBFBF"/>
              <w:bottom w:val="single" w:sz="6" w:space="0" w:color="BFBFBF"/>
              <w:right w:val="single" w:sz="6" w:space="0" w:color="BFBFBF"/>
            </w:tcBorders>
            <w:shd w:val="clear" w:color="auto" w:fill="4F81BD"/>
            <w:hideMark/>
          </w:tcPr>
          <w:p w14:paraId="0090F923"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b/>
                <w:bCs/>
                <w:sz w:val="22"/>
                <w:lang w:eastAsia="en-GB"/>
              </w:rPr>
              <w:t>Status </w:t>
            </w:r>
          </w:p>
        </w:tc>
      </w:tr>
      <w:tr w:rsidR="00C20BBB" w:rsidRPr="00ED71F6" w14:paraId="55307DDF" w14:textId="77777777" w:rsidTr="00C20BBB">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C000"/>
            <w:hideMark/>
          </w:tcPr>
          <w:p w14:paraId="59F72271"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b/>
                <w:bCs/>
                <w:sz w:val="22"/>
                <w:lang w:eastAsia="en-GB"/>
              </w:rPr>
              <w:t>Wellbeing - Accidents</w:t>
            </w:r>
            <w:r>
              <w:rPr>
                <w:rFonts w:ascii="Calibri" w:eastAsia="Times New Roman" w:hAnsi="Calibri" w:cs="Calibri"/>
                <w:b/>
                <w:bCs/>
                <w:sz w:val="22"/>
                <w:lang w:eastAsia="en-GB"/>
              </w:rPr>
              <w:t xml:space="preserve"> and Near Misses</w:t>
            </w:r>
            <w:r w:rsidRPr="006B15AA">
              <w:rPr>
                <w:rFonts w:ascii="Calibri" w:eastAsia="Times New Roman" w:hAnsi="Calibri" w:cs="Calibri"/>
                <w:b/>
                <w:bCs/>
                <w:sz w:val="22"/>
                <w:lang w:eastAsia="en-GB"/>
              </w:rPr>
              <w:t xml:space="preserve"> </w:t>
            </w:r>
            <w:r>
              <w:rPr>
                <w:rFonts w:ascii="Calibri" w:eastAsia="Times New Roman" w:hAnsi="Calibri" w:cs="Calibri"/>
                <w:b/>
                <w:bCs/>
                <w:sz w:val="22"/>
                <w:lang w:eastAsia="en-GB"/>
              </w:rPr>
              <w:t xml:space="preserve">are slightly out with our target levels </w:t>
            </w:r>
          </w:p>
        </w:tc>
        <w:tc>
          <w:tcPr>
            <w:tcW w:w="836" w:type="dxa"/>
            <w:tcBorders>
              <w:top w:val="single" w:sz="6" w:space="0" w:color="BFBFBF"/>
              <w:left w:val="single" w:sz="6" w:space="0" w:color="BFBFBF"/>
              <w:bottom w:val="single" w:sz="6" w:space="0" w:color="BFBFBF"/>
              <w:right w:val="single" w:sz="6" w:space="0" w:color="BFBFBF"/>
            </w:tcBorders>
            <w:shd w:val="clear" w:color="auto" w:fill="FFC000"/>
            <w:hideMark/>
          </w:tcPr>
          <w:p w14:paraId="78F11E9E" w14:textId="77777777" w:rsidR="00C20BBB" w:rsidRPr="00ED71F6" w:rsidRDefault="00C20BBB" w:rsidP="00C20BBB">
            <w:pPr>
              <w:spacing w:after="0" w:line="240" w:lineRule="auto"/>
              <w:textAlignment w:val="baseline"/>
              <w:rPr>
                <w:rFonts w:ascii="Times New Roman" w:eastAsia="Times New Roman" w:hAnsi="Times New Roman" w:cs="Times New Roman"/>
                <w:b/>
                <w:lang w:eastAsia="en-GB"/>
              </w:rPr>
            </w:pPr>
            <w:r w:rsidRPr="006B15AA">
              <w:rPr>
                <w:rFonts w:ascii="Calibri" w:eastAsia="Times New Roman" w:hAnsi="Calibri" w:cs="Calibri"/>
                <w:sz w:val="22"/>
                <w:lang w:eastAsia="en-GB"/>
              </w:rPr>
              <w:t> </w:t>
            </w:r>
            <w:r w:rsidRPr="00ED71F6">
              <w:rPr>
                <w:rFonts w:ascii="Calibri" w:eastAsia="Times New Roman" w:hAnsi="Calibri" w:cs="Calibri"/>
                <w:b/>
                <w:sz w:val="22"/>
                <w:lang w:eastAsia="en-GB"/>
              </w:rPr>
              <w:t> Amber</w:t>
            </w:r>
          </w:p>
        </w:tc>
      </w:tr>
      <w:tr w:rsidR="00C20BBB" w:rsidRPr="00CA2B13" w14:paraId="6E11BFFC" w14:textId="77777777" w:rsidTr="00C20BBB">
        <w:trPr>
          <w:trHeight w:val="2115"/>
        </w:trPr>
        <w:tc>
          <w:tcPr>
            <w:tcW w:w="9614" w:type="dxa"/>
            <w:tcBorders>
              <w:top w:val="single" w:sz="6" w:space="0" w:color="BFBFBF"/>
              <w:left w:val="single" w:sz="6" w:space="0" w:color="BFBFBF"/>
              <w:bottom w:val="single" w:sz="6" w:space="0" w:color="BFBFBF"/>
              <w:right w:val="single" w:sz="6" w:space="0" w:color="BFBFBF"/>
            </w:tcBorders>
            <w:shd w:val="clear" w:color="auto" w:fill="auto"/>
            <w:hideMark/>
          </w:tcPr>
          <w:p w14:paraId="4059B232" w14:textId="77777777" w:rsidR="00C20BBB" w:rsidRPr="00F23C97" w:rsidRDefault="00C20BBB" w:rsidP="00C20BBB">
            <w:pPr>
              <w:spacing w:after="0" w:line="240" w:lineRule="auto"/>
              <w:textAlignment w:val="baseline"/>
              <w:rPr>
                <w:rFonts w:ascii="Calibri" w:eastAsia="Times New Roman" w:hAnsi="Calibri" w:cs="Calibri"/>
                <w:b/>
                <w:bCs/>
                <w:lang w:eastAsia="en-GB"/>
              </w:rPr>
            </w:pPr>
            <w:r>
              <w:rPr>
                <w:rFonts w:ascii="Calibri" w:eastAsia="Times New Roman" w:hAnsi="Calibri" w:cs="Calibri"/>
                <w:b/>
                <w:bCs/>
                <w:sz w:val="22"/>
                <w:lang w:eastAsia="en-GB"/>
              </w:rPr>
              <w:t>Key Messages:</w:t>
            </w:r>
          </w:p>
          <w:p w14:paraId="4C160E5E" w14:textId="77777777" w:rsidR="00C20BBB" w:rsidRPr="006B15AA" w:rsidRDefault="00C20BBB" w:rsidP="00C20BBB">
            <w:pPr>
              <w:pStyle w:val="ListParagraph"/>
              <w:numPr>
                <w:ilvl w:val="0"/>
                <w:numId w:val="16"/>
              </w:numPr>
              <w:spacing w:after="0" w:line="240" w:lineRule="auto"/>
              <w:ind w:left="720"/>
              <w:textAlignment w:val="baseline"/>
              <w:rPr>
                <w:rFonts w:ascii="Calibri" w:eastAsia="Times New Roman" w:hAnsi="Calibri" w:cs="Calibri"/>
                <w:bCs/>
                <w:lang w:eastAsia="en-GB"/>
              </w:rPr>
            </w:pPr>
            <w:r w:rsidRPr="006B15AA">
              <w:rPr>
                <w:rFonts w:ascii="Calibri" w:eastAsia="Times New Roman" w:hAnsi="Calibri" w:cs="Calibri"/>
                <w:bCs/>
                <w:sz w:val="22"/>
                <w:lang w:eastAsia="en-GB"/>
              </w:rPr>
              <w:t>Our Health &amp; Safety engagement theme for Q</w:t>
            </w:r>
            <w:r>
              <w:rPr>
                <w:rFonts w:ascii="Calibri" w:eastAsia="Times New Roman" w:hAnsi="Calibri" w:cs="Calibri"/>
                <w:bCs/>
                <w:sz w:val="22"/>
                <w:lang w:eastAsia="en-GB"/>
              </w:rPr>
              <w:t>3</w:t>
            </w:r>
            <w:r w:rsidRPr="006B15AA">
              <w:rPr>
                <w:rFonts w:ascii="Calibri" w:eastAsia="Times New Roman" w:hAnsi="Calibri" w:cs="Calibri"/>
                <w:bCs/>
                <w:sz w:val="22"/>
                <w:lang w:eastAsia="en-GB"/>
              </w:rPr>
              <w:t xml:space="preserve"> was </w:t>
            </w:r>
            <w:r>
              <w:rPr>
                <w:rFonts w:ascii="Calibri" w:eastAsia="Times New Roman" w:hAnsi="Calibri" w:cs="Calibri"/>
                <w:bCs/>
                <w:sz w:val="22"/>
                <w:lang w:eastAsia="en-GB"/>
              </w:rPr>
              <w:t xml:space="preserve">on slips, trips, and falls. </w:t>
            </w:r>
          </w:p>
          <w:p w14:paraId="0531FCB3" w14:textId="77777777" w:rsidR="00C20BBB" w:rsidRPr="006B15AA" w:rsidRDefault="00C20BBB" w:rsidP="00C20BBB">
            <w:pPr>
              <w:spacing w:after="0" w:line="240" w:lineRule="auto"/>
              <w:textAlignment w:val="baseline"/>
              <w:rPr>
                <w:rFonts w:ascii="Calibri" w:eastAsia="Times New Roman" w:hAnsi="Calibri" w:cs="Calibri"/>
                <w:b/>
                <w:bCs/>
                <w:lang w:eastAsia="en-GB"/>
              </w:rPr>
            </w:pPr>
          </w:p>
          <w:p w14:paraId="69B81C9E" w14:textId="77777777" w:rsidR="00C20BBB" w:rsidRPr="006B15AA" w:rsidRDefault="00C20BBB" w:rsidP="00C20BBB">
            <w:p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t>Accidents &amp; Near Misses</w:t>
            </w:r>
          </w:p>
          <w:p w14:paraId="572EBF13" w14:textId="77777777" w:rsidR="00C20BBB" w:rsidRPr="006B15AA" w:rsidRDefault="00C20BBB" w:rsidP="00C20BBB">
            <w:pPr>
              <w:pStyle w:val="ListParagraph"/>
              <w:numPr>
                <w:ilvl w:val="0"/>
                <w:numId w:val="17"/>
              </w:num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b/>
                <w:bCs/>
                <w:sz w:val="22"/>
                <w:lang w:eastAsia="en-GB"/>
              </w:rPr>
              <w:t xml:space="preserve">Target: to stay within variations around the mean </w:t>
            </w:r>
            <w:r>
              <w:rPr>
                <w:rFonts w:ascii="Calibri" w:eastAsia="Times New Roman" w:hAnsi="Calibri" w:cs="Calibri"/>
                <w:b/>
                <w:bCs/>
                <w:sz w:val="22"/>
                <w:lang w:eastAsia="en-GB"/>
              </w:rPr>
              <w:t>(</w:t>
            </w:r>
            <w:r w:rsidRPr="006B15AA">
              <w:rPr>
                <w:rFonts w:ascii="Calibri" w:eastAsia="Times New Roman" w:hAnsi="Calibri" w:cs="Calibri"/>
                <w:b/>
                <w:bCs/>
                <w:sz w:val="22"/>
                <w:lang w:eastAsia="en-GB"/>
              </w:rPr>
              <w:t xml:space="preserve">4.4 for </w:t>
            </w:r>
            <w:r>
              <w:rPr>
                <w:rFonts w:ascii="Calibri" w:eastAsia="Times New Roman" w:hAnsi="Calibri" w:cs="Calibri"/>
                <w:b/>
                <w:bCs/>
                <w:sz w:val="22"/>
                <w:lang w:eastAsia="en-GB"/>
              </w:rPr>
              <w:t xml:space="preserve">number of </w:t>
            </w:r>
            <w:r w:rsidRPr="006B15AA">
              <w:rPr>
                <w:rFonts w:ascii="Calibri" w:eastAsia="Times New Roman" w:hAnsi="Calibri" w:cs="Calibri"/>
                <w:b/>
                <w:bCs/>
                <w:sz w:val="22"/>
                <w:lang w:eastAsia="en-GB"/>
              </w:rPr>
              <w:t xml:space="preserve">accidents &amp; 5.8 for </w:t>
            </w:r>
            <w:r>
              <w:rPr>
                <w:rFonts w:ascii="Calibri" w:eastAsia="Times New Roman" w:hAnsi="Calibri" w:cs="Calibri"/>
                <w:b/>
                <w:bCs/>
                <w:sz w:val="22"/>
                <w:lang w:eastAsia="en-GB"/>
              </w:rPr>
              <w:t xml:space="preserve">number of </w:t>
            </w:r>
            <w:r w:rsidRPr="006B15AA">
              <w:rPr>
                <w:rFonts w:ascii="Calibri" w:eastAsia="Times New Roman" w:hAnsi="Calibri" w:cs="Calibri"/>
                <w:b/>
                <w:bCs/>
                <w:sz w:val="22"/>
                <w:lang w:eastAsia="en-GB"/>
              </w:rPr>
              <w:t>near misses</w:t>
            </w:r>
            <w:r>
              <w:rPr>
                <w:rFonts w:ascii="Calibri" w:eastAsia="Times New Roman" w:hAnsi="Calibri" w:cs="Calibri"/>
                <w:b/>
                <w:bCs/>
                <w:sz w:val="22"/>
                <w:lang w:eastAsia="en-GB"/>
              </w:rPr>
              <w:t>)</w:t>
            </w:r>
            <w:r w:rsidRPr="006B15AA">
              <w:rPr>
                <w:rFonts w:ascii="Calibri" w:eastAsia="Times New Roman" w:hAnsi="Calibri" w:cs="Calibri"/>
                <w:b/>
                <w:bCs/>
                <w:sz w:val="22"/>
                <w:lang w:eastAsia="en-GB"/>
              </w:rPr>
              <w:t> </w:t>
            </w:r>
          </w:p>
          <w:p w14:paraId="37652866" w14:textId="77777777" w:rsidR="00C20BBB" w:rsidRPr="006B15AA" w:rsidRDefault="00C20BBB" w:rsidP="00C20BBB">
            <w:pPr>
              <w:spacing w:after="0" w:line="240" w:lineRule="auto"/>
              <w:textAlignment w:val="baseline"/>
              <w:rPr>
                <w:rFonts w:ascii="Calibri" w:eastAsia="Times New Roman" w:hAnsi="Calibri" w:cs="Calibri"/>
                <w:lang w:eastAsia="en-GB"/>
              </w:rPr>
            </w:pPr>
          </w:p>
          <w:p w14:paraId="3ECBAB7E" w14:textId="77777777" w:rsidR="00C20BBB" w:rsidRDefault="00C20BBB" w:rsidP="00C20BBB">
            <w:pPr>
              <w:spacing w:after="0" w:line="240" w:lineRule="auto"/>
              <w:textAlignment w:val="baseline"/>
              <w:rPr>
                <w:rFonts w:ascii="Calibri" w:eastAsia="Times New Roman" w:hAnsi="Calibri" w:cs="Calibri"/>
                <w:lang w:eastAsia="en-GB"/>
              </w:rPr>
            </w:pPr>
            <w:r w:rsidRPr="006B15AA">
              <w:rPr>
                <w:rFonts w:ascii="Calibri" w:eastAsia="Times New Roman" w:hAnsi="Calibri" w:cs="Calibri"/>
                <w:sz w:val="22"/>
                <w:lang w:eastAsia="en-GB"/>
              </w:rPr>
              <w:t>Q</w:t>
            </w:r>
            <w:r>
              <w:rPr>
                <w:rFonts w:ascii="Calibri" w:eastAsia="Times New Roman" w:hAnsi="Calibri" w:cs="Calibri"/>
                <w:sz w:val="22"/>
                <w:lang w:eastAsia="en-GB"/>
              </w:rPr>
              <w:t>3</w:t>
            </w:r>
            <w:r w:rsidRPr="006B15AA">
              <w:rPr>
                <w:rFonts w:ascii="Calibri" w:eastAsia="Times New Roman" w:hAnsi="Calibri" w:cs="Calibri"/>
                <w:sz w:val="22"/>
                <w:lang w:eastAsia="en-GB"/>
              </w:rPr>
              <w:t>: Accidents</w:t>
            </w:r>
            <w:r>
              <w:rPr>
                <w:rFonts w:ascii="Calibri" w:eastAsia="Times New Roman" w:hAnsi="Calibri" w:cs="Calibri"/>
                <w:sz w:val="22"/>
                <w:lang w:eastAsia="en-GB"/>
              </w:rPr>
              <w:t xml:space="preserve"> </w:t>
            </w:r>
            <w:r w:rsidRPr="006B15AA">
              <w:rPr>
                <w:rFonts w:ascii="Calibri" w:eastAsia="Times New Roman" w:hAnsi="Calibri" w:cs="Calibri"/>
                <w:sz w:val="22"/>
                <w:lang w:eastAsia="en-GB"/>
              </w:rPr>
              <w:t>=</w:t>
            </w:r>
            <w:r>
              <w:rPr>
                <w:rFonts w:ascii="Calibri" w:eastAsia="Times New Roman" w:hAnsi="Calibri" w:cs="Calibri"/>
                <w:sz w:val="22"/>
                <w:lang w:eastAsia="en-GB"/>
              </w:rPr>
              <w:t xml:space="preserve"> 10;</w:t>
            </w:r>
            <w:r w:rsidRPr="006B15AA">
              <w:rPr>
                <w:rFonts w:ascii="Calibri" w:eastAsia="Times New Roman" w:hAnsi="Calibri" w:cs="Calibri"/>
                <w:sz w:val="22"/>
                <w:lang w:eastAsia="en-GB"/>
              </w:rPr>
              <w:t xml:space="preserve"> Near Misses</w:t>
            </w:r>
            <w:r>
              <w:rPr>
                <w:rFonts w:ascii="Calibri" w:eastAsia="Times New Roman" w:hAnsi="Calibri" w:cs="Calibri"/>
                <w:sz w:val="22"/>
                <w:lang w:eastAsia="en-GB"/>
              </w:rPr>
              <w:t xml:space="preserve"> </w:t>
            </w:r>
            <w:r w:rsidRPr="006B15AA">
              <w:rPr>
                <w:rFonts w:ascii="Calibri" w:eastAsia="Times New Roman" w:hAnsi="Calibri" w:cs="Calibri"/>
                <w:sz w:val="22"/>
                <w:lang w:eastAsia="en-GB"/>
              </w:rPr>
              <w:t>=</w:t>
            </w:r>
            <w:r>
              <w:rPr>
                <w:rFonts w:ascii="Calibri" w:eastAsia="Times New Roman" w:hAnsi="Calibri" w:cs="Calibri"/>
                <w:sz w:val="22"/>
                <w:lang w:eastAsia="en-GB"/>
              </w:rPr>
              <w:t xml:space="preserve"> 8</w:t>
            </w:r>
          </w:p>
          <w:p w14:paraId="267EE3D5" w14:textId="77777777" w:rsidR="00C20BBB" w:rsidRDefault="00C20BBB" w:rsidP="00C20BBB">
            <w:pPr>
              <w:spacing w:after="0" w:line="240" w:lineRule="auto"/>
              <w:textAlignment w:val="baseline"/>
              <w:rPr>
                <w:rFonts w:ascii="Calibri" w:eastAsia="Times New Roman" w:hAnsi="Calibri" w:cs="Calibri"/>
                <w:lang w:eastAsia="en-GB"/>
              </w:rPr>
            </w:pPr>
          </w:p>
          <w:p w14:paraId="6CF71ACC" w14:textId="77777777" w:rsidR="00C20BBB" w:rsidRDefault="00C20BBB" w:rsidP="00C20BBB">
            <w:pPr>
              <w:spacing w:after="0" w:line="240" w:lineRule="auto"/>
              <w:textAlignment w:val="baseline"/>
              <w:rPr>
                <w:rFonts w:ascii="Calibri" w:eastAsia="Times New Roman" w:hAnsi="Calibri" w:cs="Calibri"/>
                <w:lang w:eastAsia="en-GB"/>
              </w:rPr>
            </w:pPr>
            <w:bookmarkStart w:id="7" w:name="_Hlk155258499"/>
            <w:r>
              <w:rPr>
                <w:rFonts w:ascii="Calibri" w:eastAsia="Times New Roman" w:hAnsi="Calibri" w:cs="Calibri"/>
                <w:sz w:val="22"/>
                <w:lang w:eastAsia="en-GB"/>
              </w:rPr>
              <w:t>XmR charts for Accident and Near-miss reporting in Q3 indicate that accidents reported in Q3 are above the mean target but within acceptable bounds of variation.  Near-misses are maintaining their increased level outside the bounds of variation which may be due to the increased engagement on incident reporting.</w:t>
            </w:r>
            <w:r w:rsidRPr="006B15AA">
              <w:rPr>
                <w:rFonts w:ascii="Calibri" w:eastAsia="Times New Roman" w:hAnsi="Calibri" w:cs="Calibri"/>
                <w:sz w:val="22"/>
                <w:lang w:eastAsia="en-GB"/>
              </w:rPr>
              <w:t xml:space="preserve"> </w:t>
            </w:r>
          </w:p>
          <w:p w14:paraId="5ECBFBB2" w14:textId="77777777" w:rsidR="00C20BBB" w:rsidRDefault="00C20BBB" w:rsidP="00C20BBB">
            <w:pPr>
              <w:spacing w:after="0" w:line="240" w:lineRule="auto"/>
              <w:textAlignment w:val="baseline"/>
              <w:rPr>
                <w:rFonts w:ascii="Calibri" w:eastAsia="Times New Roman" w:hAnsi="Calibri" w:cs="Calibri"/>
                <w:lang w:eastAsia="en-GB"/>
              </w:rPr>
            </w:pPr>
          </w:p>
          <w:p w14:paraId="5283B19B" w14:textId="77777777" w:rsidR="00C20BBB" w:rsidRDefault="00C20BBB" w:rsidP="00C20BBB">
            <w:pPr>
              <w:spacing w:after="0" w:line="240" w:lineRule="auto"/>
              <w:textAlignment w:val="baseline"/>
              <w:rPr>
                <w:rFonts w:ascii="Calibri" w:eastAsia="Times New Roman" w:hAnsi="Calibri" w:cs="Calibri"/>
                <w:lang w:eastAsia="en-GB"/>
              </w:rPr>
            </w:pPr>
            <w:r>
              <w:rPr>
                <w:rFonts w:ascii="Calibri" w:eastAsia="Times New Roman" w:hAnsi="Calibri" w:cs="Calibri"/>
                <w:noProof/>
                <w:sz w:val="22"/>
                <w:lang w:eastAsia="en-GB"/>
              </w:rPr>
              <w:drawing>
                <wp:inline distT="0" distB="0" distL="0" distR="0" wp14:anchorId="48BEEA04" wp14:editId="5F2470F2">
                  <wp:extent cx="2543258" cy="1788795"/>
                  <wp:effectExtent l="0" t="0" r="9525" b="1905"/>
                  <wp:docPr id="1220317264" name="Picture 1" descr="A graph of accid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17264" name="Picture 1" descr="A graph of accident&#10;&#10;Description automatically generated"/>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54840" cy="1796941"/>
                          </a:xfrm>
                          <a:prstGeom prst="rect">
                            <a:avLst/>
                          </a:prstGeom>
                          <a:noFill/>
                        </pic:spPr>
                      </pic:pic>
                    </a:graphicData>
                  </a:graphic>
                </wp:inline>
              </w:drawing>
            </w:r>
            <w:r>
              <w:rPr>
                <w:rFonts w:ascii="Calibri" w:eastAsia="Times New Roman" w:hAnsi="Calibri" w:cs="Calibri"/>
                <w:noProof/>
                <w:sz w:val="22"/>
                <w:lang w:eastAsia="en-GB"/>
              </w:rPr>
              <w:drawing>
                <wp:inline distT="0" distB="0" distL="0" distR="0" wp14:anchorId="140DD76C" wp14:editId="720E0619">
                  <wp:extent cx="2857500" cy="1774190"/>
                  <wp:effectExtent l="0" t="0" r="0" b="0"/>
                  <wp:docPr id="1128905573" name="Picture 2"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05573" name="Picture 2" descr="A graph with a line and a line&#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889319" cy="1793946"/>
                          </a:xfrm>
                          <a:prstGeom prst="rect">
                            <a:avLst/>
                          </a:prstGeom>
                          <a:noFill/>
                        </pic:spPr>
                      </pic:pic>
                    </a:graphicData>
                  </a:graphic>
                </wp:inline>
              </w:drawing>
            </w:r>
          </w:p>
          <w:p w14:paraId="21416E43" w14:textId="5DCF6F59" w:rsidR="00C20BBB" w:rsidRDefault="00C20BBB" w:rsidP="00C20BBB">
            <w:pPr>
              <w:spacing w:after="0" w:line="240" w:lineRule="auto"/>
              <w:textAlignment w:val="baseline"/>
              <w:rPr>
                <w:rFonts w:ascii="Calibri" w:eastAsia="Times New Roman" w:hAnsi="Calibri" w:cs="Calibri"/>
                <w:lang w:eastAsia="en-GB"/>
              </w:rPr>
            </w:pPr>
            <w:r>
              <w:rPr>
                <w:rFonts w:ascii="Calibri" w:eastAsia="Times New Roman" w:hAnsi="Calibri" w:cs="Calibri"/>
                <w:sz w:val="22"/>
                <w:lang w:eastAsia="en-GB"/>
              </w:rPr>
              <w:t xml:space="preserve">(This graph shows number of </w:t>
            </w:r>
            <w:r w:rsidR="00F73BF3">
              <w:rPr>
                <w:rFonts w:ascii="Calibri" w:eastAsia="Times New Roman" w:hAnsi="Calibri" w:cs="Calibri"/>
                <w:sz w:val="22"/>
                <w:lang w:eastAsia="en-GB"/>
              </w:rPr>
              <w:t xml:space="preserve">accidents)  </w:t>
            </w:r>
            <w:r>
              <w:rPr>
                <w:rFonts w:ascii="Calibri" w:eastAsia="Times New Roman" w:hAnsi="Calibri" w:cs="Calibri"/>
                <w:sz w:val="22"/>
                <w:lang w:eastAsia="en-GB"/>
              </w:rPr>
              <w:t xml:space="preserve">                   (This graph shows number of near misses)</w:t>
            </w:r>
          </w:p>
          <w:p w14:paraId="662FC9D8" w14:textId="77777777" w:rsidR="00C20BBB" w:rsidRDefault="00C20BBB" w:rsidP="00C20BBB">
            <w:pPr>
              <w:spacing w:after="0" w:line="240" w:lineRule="auto"/>
              <w:textAlignment w:val="baseline"/>
              <w:rPr>
                <w:rFonts w:ascii="Calibri" w:eastAsia="Times New Roman" w:hAnsi="Calibri" w:cs="Calibri"/>
                <w:lang w:eastAsia="en-GB"/>
              </w:rPr>
            </w:pPr>
          </w:p>
          <w:p w14:paraId="525F4493" w14:textId="77777777" w:rsidR="00C20BBB" w:rsidRDefault="00C20BBB" w:rsidP="00C20BBB">
            <w:pPr>
              <w:spacing w:after="0" w:line="240" w:lineRule="auto"/>
              <w:textAlignment w:val="baseline"/>
              <w:rPr>
                <w:rFonts w:ascii="Calibri" w:eastAsia="Times New Roman" w:hAnsi="Calibri" w:cs="Calibri"/>
                <w:lang w:eastAsia="en-GB"/>
              </w:rPr>
            </w:pPr>
            <w:r>
              <w:rPr>
                <w:rFonts w:ascii="Calibri" w:eastAsia="Times New Roman" w:hAnsi="Calibri" w:cs="Calibri"/>
                <w:sz w:val="22"/>
                <w:lang w:eastAsia="en-GB"/>
              </w:rPr>
              <w:t>The engagement theme for Q4 is Safety Culture.</w:t>
            </w:r>
          </w:p>
          <w:p w14:paraId="2BD6A4D4" w14:textId="77777777" w:rsidR="00C20BBB" w:rsidRDefault="00C20BBB" w:rsidP="00C20BBB">
            <w:pPr>
              <w:spacing w:after="0" w:line="240" w:lineRule="auto"/>
              <w:textAlignment w:val="baseline"/>
              <w:rPr>
                <w:rFonts w:ascii="Calibri" w:eastAsia="Times New Roman" w:hAnsi="Calibri" w:cs="Calibri"/>
                <w:lang w:eastAsia="en-GB"/>
              </w:rPr>
            </w:pPr>
          </w:p>
          <w:bookmarkEnd w:id="7"/>
          <w:p w14:paraId="647E224B"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auto"/>
            <w:hideMark/>
          </w:tcPr>
          <w:p w14:paraId="55F689CF" w14:textId="77777777" w:rsidR="00C20BBB" w:rsidRPr="00CA2B13" w:rsidRDefault="00C20BBB" w:rsidP="00C20BBB">
            <w:pPr>
              <w:spacing w:after="0" w:line="240" w:lineRule="auto"/>
              <w:textAlignment w:val="baseline"/>
              <w:rPr>
                <w:rFonts w:ascii="Times New Roman" w:eastAsia="Times New Roman" w:hAnsi="Times New Roman" w:cs="Times New Roman"/>
                <w:b/>
                <w:bCs/>
                <w:lang w:eastAsia="en-GB"/>
              </w:rPr>
            </w:pPr>
          </w:p>
        </w:tc>
      </w:tr>
      <w:tr w:rsidR="00C20BBB" w:rsidRPr="009D67C2" w14:paraId="229B7764" w14:textId="77777777" w:rsidTr="00C20BBB">
        <w:trPr>
          <w:trHeight w:val="65"/>
        </w:trPr>
        <w:tc>
          <w:tcPr>
            <w:tcW w:w="9614" w:type="dxa"/>
            <w:tcBorders>
              <w:top w:val="single" w:sz="6" w:space="0" w:color="BFBFBF"/>
              <w:left w:val="single" w:sz="6" w:space="0" w:color="BFBFBF"/>
              <w:bottom w:val="single" w:sz="6" w:space="0" w:color="BFBFBF"/>
              <w:right w:val="single" w:sz="6" w:space="0" w:color="BFBFBF"/>
            </w:tcBorders>
            <w:shd w:val="clear" w:color="auto" w:fill="00B050"/>
          </w:tcPr>
          <w:p w14:paraId="39FF1511" w14:textId="77777777" w:rsidR="00C20BBB" w:rsidRDefault="00C20BBB" w:rsidP="00C20BBB">
            <w:pPr>
              <w:spacing w:after="0" w:line="240" w:lineRule="auto"/>
              <w:textAlignment w:val="baseline"/>
              <w:rPr>
                <w:rFonts w:ascii="Calibri" w:eastAsia="Times New Roman" w:hAnsi="Calibri" w:cs="Calibri"/>
                <w:b/>
                <w:bCs/>
                <w:lang w:eastAsia="en-GB"/>
              </w:rPr>
            </w:pPr>
            <w:r w:rsidRPr="009D67C2">
              <w:rPr>
                <w:rFonts w:ascii="Calibri" w:eastAsia="Times New Roman" w:hAnsi="Calibri" w:cs="Calibri"/>
                <w:b/>
                <w:bCs/>
                <w:sz w:val="22"/>
                <w:lang w:eastAsia="en-GB"/>
              </w:rPr>
              <w:t>Pulse Survey</w:t>
            </w:r>
            <w:r>
              <w:rPr>
                <w:rFonts w:ascii="Calibri" w:eastAsia="Times New Roman" w:hAnsi="Calibri" w:cs="Calibri"/>
                <w:b/>
                <w:bCs/>
                <w:sz w:val="22"/>
                <w:lang w:eastAsia="en-GB"/>
              </w:rPr>
              <w:t xml:space="preserve"> – Workload Management, Safety Culture, Equality, inclusion, and diversity</w:t>
            </w:r>
          </w:p>
          <w:p w14:paraId="09D80405" w14:textId="77777777" w:rsidR="00C20BBB" w:rsidRPr="00CA2B13" w:rsidRDefault="00C20BBB" w:rsidP="00C20BBB">
            <w:pPr>
              <w:spacing w:after="0" w:line="240" w:lineRule="auto"/>
              <w:textAlignment w:val="baseline"/>
              <w:rPr>
                <w:rFonts w:ascii="Calibri" w:eastAsia="Times New Roman" w:hAnsi="Calibri" w:cs="Calibri"/>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00B050"/>
          </w:tcPr>
          <w:p w14:paraId="3F1EFB4C" w14:textId="77777777" w:rsidR="00C20BBB" w:rsidRPr="009D67C2" w:rsidRDefault="00C20BBB" w:rsidP="00C20BBB">
            <w:pPr>
              <w:spacing w:after="0" w:line="240" w:lineRule="auto"/>
              <w:textAlignment w:val="baseline"/>
              <w:rPr>
                <w:rFonts w:ascii="Calibri" w:eastAsia="Times New Roman" w:hAnsi="Calibri" w:cs="Calibri"/>
                <w:b/>
                <w:bCs/>
                <w:color w:val="FFC000"/>
                <w:lang w:eastAsia="en-GB"/>
              </w:rPr>
            </w:pPr>
            <w:r w:rsidRPr="00ED71F6">
              <w:rPr>
                <w:rFonts w:ascii="Calibri" w:eastAsia="Times New Roman" w:hAnsi="Calibri" w:cs="Calibri"/>
                <w:b/>
                <w:bCs/>
                <w:sz w:val="22"/>
                <w:lang w:eastAsia="en-GB"/>
              </w:rPr>
              <w:t xml:space="preserve">Green </w:t>
            </w:r>
          </w:p>
        </w:tc>
      </w:tr>
      <w:tr w:rsidR="00C20BBB" w:rsidRPr="006B15AA" w14:paraId="02B2A608" w14:textId="77777777" w:rsidTr="00C20BBB">
        <w:trPr>
          <w:trHeight w:val="794"/>
        </w:trPr>
        <w:tc>
          <w:tcPr>
            <w:tcW w:w="9614" w:type="dxa"/>
            <w:tcBorders>
              <w:top w:val="single" w:sz="6" w:space="0" w:color="BFBFBF"/>
              <w:left w:val="single" w:sz="6" w:space="0" w:color="BFBFBF"/>
              <w:bottom w:val="single" w:sz="6" w:space="0" w:color="BFBFBF"/>
              <w:right w:val="single" w:sz="6" w:space="0" w:color="BFBFBF"/>
            </w:tcBorders>
            <w:shd w:val="clear" w:color="auto" w:fill="auto"/>
            <w:hideMark/>
          </w:tcPr>
          <w:p w14:paraId="413FF691" w14:textId="77777777" w:rsidR="00C20BBB" w:rsidRDefault="00C20BBB" w:rsidP="00C20BBB">
            <w:pPr>
              <w:spacing w:after="0" w:line="240" w:lineRule="auto"/>
              <w:textAlignment w:val="baseline"/>
              <w:rPr>
                <w:rFonts w:ascii="Calibri" w:eastAsia="Times New Roman" w:hAnsi="Calibri" w:cs="Calibri"/>
                <w:b/>
                <w:lang w:eastAsia="en-GB"/>
              </w:rPr>
            </w:pPr>
            <w:r>
              <w:rPr>
                <w:rFonts w:ascii="Calibri" w:eastAsia="Times New Roman" w:hAnsi="Calibri" w:cs="Calibri"/>
                <w:b/>
                <w:sz w:val="22"/>
                <w:lang w:eastAsia="en-GB"/>
              </w:rPr>
              <w:t xml:space="preserve">Key Messages: </w:t>
            </w:r>
          </w:p>
          <w:p w14:paraId="4DE2FE34" w14:textId="35E58E14" w:rsidR="00C20BBB" w:rsidRDefault="00C20BBB" w:rsidP="00C20BBB">
            <w:pPr>
              <w:pStyle w:val="ListParagraph"/>
              <w:numPr>
                <w:ilvl w:val="0"/>
                <w:numId w:val="16"/>
              </w:numPr>
              <w:spacing w:after="0" w:line="240" w:lineRule="auto"/>
              <w:ind w:left="720"/>
              <w:textAlignment w:val="baseline"/>
              <w:rPr>
                <w:rFonts w:ascii="Calibri" w:eastAsia="Times New Roman" w:hAnsi="Calibri" w:cs="Calibri"/>
                <w:lang w:eastAsia="en-GB"/>
              </w:rPr>
            </w:pPr>
            <w:r>
              <w:rPr>
                <w:rFonts w:ascii="Calibri" w:eastAsia="Times New Roman" w:hAnsi="Calibri" w:cs="Calibri"/>
                <w:sz w:val="22"/>
                <w:lang w:eastAsia="en-GB"/>
              </w:rPr>
              <w:t xml:space="preserve">The </w:t>
            </w:r>
            <w:r w:rsidR="009E5426">
              <w:rPr>
                <w:rFonts w:ascii="Calibri" w:eastAsia="Times New Roman" w:hAnsi="Calibri" w:cs="Calibri"/>
                <w:sz w:val="22"/>
                <w:lang w:eastAsia="en-GB"/>
              </w:rPr>
              <w:t xml:space="preserve">Q3 </w:t>
            </w:r>
            <w:r w:rsidRPr="0059502B">
              <w:rPr>
                <w:rFonts w:ascii="Calibri" w:eastAsia="Times New Roman" w:hAnsi="Calibri" w:cs="Calibri"/>
                <w:sz w:val="22"/>
                <w:lang w:eastAsia="en-GB"/>
              </w:rPr>
              <w:t xml:space="preserve">pulse survey </w:t>
            </w:r>
            <w:r>
              <w:rPr>
                <w:rFonts w:ascii="Calibri" w:eastAsia="Times New Roman" w:hAnsi="Calibri" w:cs="Calibri"/>
                <w:sz w:val="22"/>
                <w:lang w:eastAsia="en-GB"/>
              </w:rPr>
              <w:t>closed on 16</w:t>
            </w:r>
            <w:r w:rsidRPr="00C3240E">
              <w:rPr>
                <w:rFonts w:ascii="Calibri" w:eastAsia="Times New Roman" w:hAnsi="Calibri" w:cs="Calibri"/>
                <w:sz w:val="22"/>
                <w:vertAlign w:val="superscript"/>
                <w:lang w:eastAsia="en-GB"/>
              </w:rPr>
              <w:t>th</w:t>
            </w:r>
            <w:r>
              <w:rPr>
                <w:rFonts w:ascii="Calibri" w:eastAsia="Times New Roman" w:hAnsi="Calibri" w:cs="Calibri"/>
                <w:sz w:val="22"/>
                <w:lang w:eastAsia="en-GB"/>
              </w:rPr>
              <w:t xml:space="preserve"> Jan</w:t>
            </w:r>
            <w:r w:rsidRPr="0059502B">
              <w:rPr>
                <w:rFonts w:ascii="Calibri" w:eastAsia="Times New Roman" w:hAnsi="Calibri" w:cs="Calibri"/>
                <w:sz w:val="22"/>
                <w:lang w:eastAsia="en-GB"/>
              </w:rPr>
              <w:t xml:space="preserve">; </w:t>
            </w:r>
            <w:r w:rsidR="009E5426">
              <w:rPr>
                <w:rFonts w:ascii="Calibri" w:eastAsia="Times New Roman" w:hAnsi="Calibri" w:cs="Calibri"/>
                <w:sz w:val="22"/>
                <w:lang w:eastAsia="en-GB"/>
              </w:rPr>
              <w:t xml:space="preserve">with a </w:t>
            </w:r>
            <w:r w:rsidR="00F73BF3">
              <w:rPr>
                <w:rFonts w:ascii="Calibri" w:eastAsia="Times New Roman" w:hAnsi="Calibri" w:cs="Calibri"/>
                <w:sz w:val="22"/>
                <w:lang w:eastAsia="en-GB"/>
              </w:rPr>
              <w:t>much-improved</w:t>
            </w:r>
            <w:r w:rsidR="009E5426">
              <w:rPr>
                <w:rFonts w:ascii="Calibri" w:eastAsia="Times New Roman" w:hAnsi="Calibri" w:cs="Calibri"/>
                <w:sz w:val="22"/>
                <w:lang w:eastAsia="en-GB"/>
              </w:rPr>
              <w:t xml:space="preserve"> response rate of 78%.</w:t>
            </w:r>
          </w:p>
          <w:p w14:paraId="4174F175" w14:textId="77777777" w:rsidR="00C20BBB" w:rsidRPr="006B15AA" w:rsidRDefault="00C20BBB" w:rsidP="009E5426">
            <w:pPr>
              <w:pStyle w:val="ListParagraph"/>
              <w:spacing w:after="0" w:line="240" w:lineRule="auto"/>
              <w:textAlignment w:val="baseline"/>
              <w:rPr>
                <w:rFonts w:ascii="Calibri" w:eastAsia="Times New Roman" w:hAnsi="Calibri" w:cs="Calibri"/>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auto"/>
            <w:hideMark/>
          </w:tcPr>
          <w:p w14:paraId="3E5FF7CF" w14:textId="77777777" w:rsidR="00C20BBB" w:rsidRPr="006B15AA" w:rsidRDefault="00C20BBB" w:rsidP="00C20BBB">
            <w:pPr>
              <w:spacing w:after="0" w:line="240" w:lineRule="auto"/>
              <w:textAlignment w:val="baseline"/>
              <w:rPr>
                <w:rFonts w:ascii="Times New Roman" w:eastAsia="Times New Roman" w:hAnsi="Times New Roman" w:cs="Times New Roman"/>
                <w:lang w:eastAsia="en-GB"/>
              </w:rPr>
            </w:pPr>
          </w:p>
        </w:tc>
      </w:tr>
      <w:tr w:rsidR="00C20BBB" w:rsidRPr="008757FF" w14:paraId="0E572A34" w14:textId="77777777" w:rsidTr="00C20BBB">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C000"/>
            <w:hideMark/>
          </w:tcPr>
          <w:p w14:paraId="1A982E9D" w14:textId="77777777" w:rsidR="00C20BBB" w:rsidRPr="008757FF" w:rsidRDefault="00C20BBB" w:rsidP="00C20BBB">
            <w:pPr>
              <w:spacing w:after="0" w:line="240" w:lineRule="auto"/>
              <w:textAlignment w:val="baseline"/>
              <w:rPr>
                <w:rFonts w:ascii="Calibri" w:eastAsia="Times New Roman" w:hAnsi="Calibri" w:cs="Calibri"/>
                <w:b/>
                <w:bCs/>
                <w:lang w:eastAsia="en-GB"/>
              </w:rPr>
            </w:pPr>
            <w:r w:rsidRPr="008757FF">
              <w:rPr>
                <w:rFonts w:ascii="Calibri" w:eastAsia="Times New Roman" w:hAnsi="Calibri" w:cs="Calibri"/>
                <w:b/>
                <w:bCs/>
                <w:sz w:val="22"/>
                <w:lang w:eastAsia="en-GB"/>
              </w:rPr>
              <w:t>Capacity </w:t>
            </w:r>
          </w:p>
          <w:p w14:paraId="5B410F3C" w14:textId="77777777" w:rsidR="00C20BBB" w:rsidRPr="008757FF" w:rsidRDefault="00C20BBB" w:rsidP="00C20BBB">
            <w:pPr>
              <w:spacing w:after="0" w:line="240" w:lineRule="auto"/>
              <w:textAlignment w:val="baseline"/>
              <w:rPr>
                <w:rFonts w:ascii="Calibri" w:eastAsia="Times New Roman" w:hAnsi="Calibri" w:cs="Calibri"/>
                <w:b/>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FFC000"/>
            <w:hideMark/>
          </w:tcPr>
          <w:p w14:paraId="69F2453D" w14:textId="77777777" w:rsidR="00C20BBB" w:rsidRPr="008757FF" w:rsidRDefault="00C20BBB" w:rsidP="00C20BBB">
            <w:pPr>
              <w:spacing w:after="0" w:line="240" w:lineRule="auto"/>
              <w:textAlignment w:val="baseline"/>
              <w:rPr>
                <w:rFonts w:ascii="Times New Roman" w:eastAsia="Times New Roman" w:hAnsi="Times New Roman" w:cs="Times New Roman"/>
                <w:b/>
                <w:bCs/>
                <w:lang w:eastAsia="en-GB"/>
              </w:rPr>
            </w:pPr>
            <w:r>
              <w:rPr>
                <w:rFonts w:ascii="Calibri" w:eastAsia="Times New Roman" w:hAnsi="Calibri" w:cs="Calibri"/>
                <w:sz w:val="22"/>
                <w:lang w:eastAsia="en-GB"/>
              </w:rPr>
              <w:t xml:space="preserve"> </w:t>
            </w:r>
            <w:r w:rsidRPr="008757FF">
              <w:rPr>
                <w:rFonts w:ascii="Calibri" w:eastAsia="Times New Roman" w:hAnsi="Calibri" w:cs="Calibri"/>
                <w:b/>
                <w:bCs/>
                <w:sz w:val="22"/>
                <w:lang w:eastAsia="en-GB"/>
              </w:rPr>
              <w:t>Amber</w:t>
            </w:r>
          </w:p>
        </w:tc>
      </w:tr>
      <w:tr w:rsidR="00C20BBB" w:rsidRPr="006B15AA" w14:paraId="0F179835" w14:textId="77777777" w:rsidTr="00C20BBB">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FFFF"/>
            <w:hideMark/>
          </w:tcPr>
          <w:p w14:paraId="40FAB5BA" w14:textId="77777777" w:rsidR="00C20BBB" w:rsidRPr="00022612" w:rsidRDefault="00C20BBB" w:rsidP="00C20BBB">
            <w:pPr>
              <w:spacing w:after="0" w:line="240" w:lineRule="auto"/>
              <w:textAlignment w:val="baseline"/>
              <w:rPr>
                <w:rFonts w:ascii="Calibri" w:eastAsia="Times New Roman" w:hAnsi="Calibri" w:cs="Calibri"/>
                <w:b/>
                <w:bCs/>
                <w:lang w:eastAsia="en-GB"/>
              </w:rPr>
            </w:pPr>
            <w:r w:rsidRPr="00022612">
              <w:rPr>
                <w:rFonts w:ascii="Calibri" w:eastAsia="Times New Roman" w:hAnsi="Calibri" w:cs="Calibri"/>
                <w:b/>
                <w:bCs/>
                <w:sz w:val="22"/>
                <w:lang w:eastAsia="en-GB"/>
              </w:rPr>
              <w:t>Key Messages:</w:t>
            </w:r>
          </w:p>
          <w:p w14:paraId="6D1A7A2F" w14:textId="77777777" w:rsidR="00C20BBB" w:rsidRPr="00ED098B" w:rsidRDefault="00C20BBB" w:rsidP="00C20BBB">
            <w:pPr>
              <w:pStyle w:val="ListParagraph"/>
              <w:numPr>
                <w:ilvl w:val="0"/>
                <w:numId w:val="25"/>
              </w:num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t xml:space="preserve">Sickness </w:t>
            </w:r>
            <w:r>
              <w:rPr>
                <w:rFonts w:ascii="Calibri" w:eastAsia="Times New Roman" w:hAnsi="Calibri" w:cs="Calibri"/>
                <w:b/>
                <w:bCs/>
                <w:sz w:val="22"/>
                <w:lang w:eastAsia="en-GB"/>
              </w:rPr>
              <w:t xml:space="preserve">is within </w:t>
            </w:r>
            <w:r w:rsidRPr="006B15AA">
              <w:rPr>
                <w:rFonts w:ascii="Calibri" w:eastAsia="Times New Roman" w:hAnsi="Calibri" w:cs="Calibri"/>
                <w:b/>
                <w:bCs/>
                <w:sz w:val="22"/>
                <w:lang w:eastAsia="en-GB"/>
              </w:rPr>
              <w:t xml:space="preserve">target and </w:t>
            </w:r>
            <w:r>
              <w:rPr>
                <w:rFonts w:ascii="Calibri" w:eastAsia="Times New Roman" w:hAnsi="Calibri" w:cs="Calibri"/>
                <w:b/>
                <w:bCs/>
                <w:sz w:val="22"/>
                <w:lang w:eastAsia="en-GB"/>
              </w:rPr>
              <w:t xml:space="preserve">annual </w:t>
            </w:r>
            <w:r w:rsidRPr="006B15AA">
              <w:rPr>
                <w:rFonts w:ascii="Calibri" w:eastAsia="Times New Roman" w:hAnsi="Calibri" w:cs="Calibri"/>
                <w:b/>
                <w:bCs/>
                <w:sz w:val="22"/>
                <w:lang w:eastAsia="en-GB"/>
              </w:rPr>
              <w:t xml:space="preserve">leave </w:t>
            </w:r>
            <w:r>
              <w:rPr>
                <w:rFonts w:ascii="Calibri" w:eastAsia="Times New Roman" w:hAnsi="Calibri" w:cs="Calibri"/>
                <w:b/>
                <w:bCs/>
                <w:sz w:val="22"/>
                <w:lang w:eastAsia="en-GB"/>
              </w:rPr>
              <w:t xml:space="preserve">is </w:t>
            </w:r>
            <w:r w:rsidRPr="006B15AA">
              <w:rPr>
                <w:rFonts w:ascii="Calibri" w:eastAsia="Times New Roman" w:hAnsi="Calibri" w:cs="Calibri"/>
                <w:b/>
                <w:bCs/>
                <w:sz w:val="22"/>
                <w:lang w:eastAsia="en-GB"/>
              </w:rPr>
              <w:t>on target</w:t>
            </w:r>
            <w:r>
              <w:rPr>
                <w:rFonts w:ascii="Calibri" w:eastAsia="Times New Roman" w:hAnsi="Calibri" w:cs="Calibri"/>
                <w:b/>
                <w:bCs/>
                <w:sz w:val="22"/>
                <w:lang w:eastAsia="en-GB"/>
              </w:rPr>
              <w:t xml:space="preserve"> from a corporate perspective, however 6.5% of employees have over half their leave balance remaining.</w:t>
            </w:r>
          </w:p>
          <w:p w14:paraId="2BCE4035" w14:textId="77777777" w:rsidR="00C20BBB" w:rsidRPr="00E40713" w:rsidRDefault="00C20BBB" w:rsidP="00C20BBB">
            <w:pPr>
              <w:pStyle w:val="ListParagraph"/>
              <w:spacing w:after="0" w:line="240" w:lineRule="auto"/>
              <w:textAlignment w:val="baseline"/>
              <w:rPr>
                <w:rFonts w:ascii="Calibri" w:eastAsia="Times New Roman" w:hAnsi="Calibri" w:cs="Calibri"/>
                <w:b/>
                <w:bCs/>
                <w:lang w:eastAsia="en-GB"/>
              </w:rPr>
            </w:pPr>
          </w:p>
          <w:p w14:paraId="2281F0B8"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b/>
                <w:bCs/>
                <w:sz w:val="22"/>
                <w:lang w:eastAsia="en-GB"/>
              </w:rPr>
              <w:t xml:space="preserve">Sickness – Target: </w:t>
            </w:r>
            <w:r>
              <w:rPr>
                <w:rFonts w:ascii="Calibri" w:eastAsia="Times New Roman" w:hAnsi="Calibri" w:cs="Calibri"/>
                <w:b/>
                <w:bCs/>
                <w:sz w:val="22"/>
                <w:lang w:eastAsia="en-GB"/>
              </w:rPr>
              <w:t>less than</w:t>
            </w:r>
            <w:r w:rsidRPr="006B15AA">
              <w:rPr>
                <w:rFonts w:ascii="Calibri" w:eastAsia="Times New Roman" w:hAnsi="Calibri" w:cs="Calibri"/>
                <w:b/>
                <w:bCs/>
                <w:sz w:val="22"/>
                <w:lang w:eastAsia="en-GB"/>
              </w:rPr>
              <w:t xml:space="preserve"> 2 days per person per quarter</w:t>
            </w:r>
          </w:p>
          <w:p w14:paraId="6DFC96E9" w14:textId="77777777" w:rsidR="00C20BBB" w:rsidRPr="006B15AA" w:rsidRDefault="00C20BBB" w:rsidP="00C20BBB">
            <w:pPr>
              <w:spacing w:after="0" w:line="240" w:lineRule="auto"/>
              <w:textAlignment w:val="baseline"/>
              <w:rPr>
                <w:rFonts w:ascii="Calibri" w:eastAsia="Times New Roman" w:hAnsi="Calibri" w:cs="Calibri"/>
                <w:lang w:eastAsia="en-GB"/>
              </w:rPr>
            </w:pPr>
          </w:p>
          <w:p w14:paraId="0E366135" w14:textId="77777777" w:rsidR="00C20BBB" w:rsidRPr="00022612" w:rsidRDefault="00C20BBB" w:rsidP="00C20BBB">
            <w:pPr>
              <w:pStyle w:val="ListParagraph"/>
              <w:numPr>
                <w:ilvl w:val="0"/>
                <w:numId w:val="25"/>
              </w:num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sz w:val="22"/>
                <w:lang w:eastAsia="en-GB"/>
              </w:rPr>
              <w:t>Q</w:t>
            </w:r>
            <w:r>
              <w:rPr>
                <w:rFonts w:ascii="Calibri" w:eastAsia="Times New Roman" w:hAnsi="Calibri" w:cs="Calibri"/>
                <w:sz w:val="22"/>
                <w:lang w:eastAsia="en-GB"/>
              </w:rPr>
              <w:t>3</w:t>
            </w:r>
            <w:r w:rsidRPr="006B15AA">
              <w:rPr>
                <w:rFonts w:ascii="Calibri" w:eastAsia="Times New Roman" w:hAnsi="Calibri" w:cs="Calibri"/>
                <w:sz w:val="22"/>
                <w:lang w:eastAsia="en-GB"/>
              </w:rPr>
              <w:t>: 1.</w:t>
            </w:r>
            <w:r>
              <w:rPr>
                <w:rFonts w:ascii="Calibri" w:eastAsia="Times New Roman" w:hAnsi="Calibri" w:cs="Calibri"/>
                <w:sz w:val="22"/>
                <w:lang w:eastAsia="en-GB"/>
              </w:rPr>
              <w:t>95</w:t>
            </w:r>
            <w:r w:rsidRPr="006B15AA">
              <w:rPr>
                <w:rFonts w:ascii="Calibri" w:eastAsia="Times New Roman" w:hAnsi="Calibri" w:cs="Calibri"/>
                <w:sz w:val="22"/>
                <w:lang w:eastAsia="en-GB"/>
              </w:rPr>
              <w:t xml:space="preserve"> days per person sickness (1.</w:t>
            </w:r>
            <w:r>
              <w:rPr>
                <w:rFonts w:ascii="Calibri" w:eastAsia="Times New Roman" w:hAnsi="Calibri" w:cs="Calibri"/>
                <w:sz w:val="22"/>
                <w:lang w:eastAsia="en-GB"/>
              </w:rPr>
              <w:t>60</w:t>
            </w:r>
            <w:r w:rsidRPr="006B15AA">
              <w:rPr>
                <w:rFonts w:ascii="Calibri" w:eastAsia="Times New Roman" w:hAnsi="Calibri" w:cs="Calibri"/>
                <w:sz w:val="22"/>
                <w:lang w:eastAsia="en-GB"/>
              </w:rPr>
              <w:t xml:space="preserve"> days in Q</w:t>
            </w:r>
            <w:r>
              <w:rPr>
                <w:rFonts w:ascii="Calibri" w:eastAsia="Times New Roman" w:hAnsi="Calibri" w:cs="Calibri"/>
                <w:sz w:val="22"/>
                <w:lang w:eastAsia="en-GB"/>
              </w:rPr>
              <w:t>2; ↑0.35days</w:t>
            </w:r>
            <w:r w:rsidRPr="006B15AA">
              <w:rPr>
                <w:rFonts w:ascii="Calibri" w:eastAsia="Times New Roman" w:hAnsi="Calibri" w:cs="Calibri"/>
                <w:sz w:val="22"/>
                <w:lang w:eastAsia="en-GB"/>
              </w:rPr>
              <w:t xml:space="preserve">). </w:t>
            </w:r>
            <w:r>
              <w:rPr>
                <w:rFonts w:ascii="Calibri" w:eastAsia="Times New Roman" w:hAnsi="Calibri" w:cs="Calibri"/>
                <w:sz w:val="22"/>
                <w:lang w:eastAsia="en-GB"/>
              </w:rPr>
              <w:t xml:space="preserve">  Although the number of days lost to sickness has increased, the rolling annual average days lost is maintained at 6.4 days which is below the annual UK average days lost to sick absence of 7.8 days</w:t>
            </w:r>
            <w:r>
              <w:rPr>
                <w:rStyle w:val="FootnoteReference"/>
                <w:rFonts w:ascii="Calibri" w:eastAsia="Times New Roman" w:hAnsi="Calibri" w:cs="Calibri"/>
                <w:sz w:val="22"/>
                <w:lang w:eastAsia="en-GB"/>
              </w:rPr>
              <w:footnoteReference w:id="1"/>
            </w:r>
            <w:r>
              <w:rPr>
                <w:rFonts w:ascii="Calibri" w:eastAsia="Times New Roman" w:hAnsi="Calibri" w:cs="Calibri"/>
                <w:sz w:val="22"/>
                <w:lang w:eastAsia="en-GB"/>
              </w:rPr>
              <w:t>.</w:t>
            </w:r>
          </w:p>
          <w:p w14:paraId="573BEBC5" w14:textId="77777777" w:rsidR="00C20BBB" w:rsidRPr="006B15AA" w:rsidRDefault="00C20BBB" w:rsidP="00C20BBB">
            <w:pPr>
              <w:pStyle w:val="ListParagraph"/>
              <w:numPr>
                <w:ilvl w:val="0"/>
                <w:numId w:val="25"/>
              </w:numPr>
              <w:spacing w:after="0" w:line="240" w:lineRule="auto"/>
              <w:textAlignment w:val="baseline"/>
              <w:rPr>
                <w:rFonts w:ascii="Times New Roman" w:eastAsia="Times New Roman" w:hAnsi="Times New Roman" w:cs="Times New Roman"/>
                <w:b/>
                <w:bCs/>
                <w:lang w:eastAsia="en-GB"/>
              </w:rPr>
            </w:pPr>
            <w:r>
              <w:rPr>
                <w:rFonts w:ascii="Calibri" w:eastAsia="Times New Roman" w:hAnsi="Calibri" w:cs="Calibri"/>
                <w:sz w:val="22"/>
                <w:lang w:eastAsia="en-GB"/>
              </w:rPr>
              <w:lastRenderedPageBreak/>
              <w:t>S</w:t>
            </w:r>
            <w:r w:rsidRPr="006B15AA">
              <w:rPr>
                <w:rFonts w:ascii="Calibri" w:eastAsia="Times New Roman" w:hAnsi="Calibri" w:cs="Calibri"/>
                <w:sz w:val="22"/>
                <w:lang w:eastAsia="en-GB"/>
              </w:rPr>
              <w:t xml:space="preserve">hort-term absences continue </w:t>
            </w:r>
            <w:r>
              <w:rPr>
                <w:rFonts w:ascii="Calibri" w:eastAsia="Times New Roman" w:hAnsi="Calibri" w:cs="Calibri"/>
                <w:sz w:val="22"/>
                <w:lang w:eastAsia="en-GB"/>
              </w:rPr>
              <w:t xml:space="preserve">to be the bulk of working time lost </w:t>
            </w:r>
            <w:r w:rsidRPr="006B15AA">
              <w:rPr>
                <w:rFonts w:ascii="Calibri" w:eastAsia="Times New Roman" w:hAnsi="Calibri" w:cs="Calibri"/>
                <w:sz w:val="22"/>
                <w:lang w:eastAsia="en-GB"/>
              </w:rPr>
              <w:t>in Q</w:t>
            </w:r>
            <w:r>
              <w:rPr>
                <w:rFonts w:ascii="Calibri" w:eastAsia="Times New Roman" w:hAnsi="Calibri" w:cs="Calibri"/>
                <w:sz w:val="22"/>
                <w:lang w:eastAsia="en-GB"/>
              </w:rPr>
              <w:t>3</w:t>
            </w:r>
            <w:r w:rsidRPr="006B15AA">
              <w:rPr>
                <w:rFonts w:ascii="Calibri" w:eastAsia="Times New Roman" w:hAnsi="Calibri" w:cs="Calibri"/>
                <w:sz w:val="22"/>
                <w:lang w:eastAsia="en-GB"/>
              </w:rPr>
              <w:t xml:space="preserve">; </w:t>
            </w:r>
            <w:r>
              <w:rPr>
                <w:rFonts w:ascii="Calibri" w:eastAsia="Times New Roman" w:hAnsi="Calibri" w:cs="Calibri"/>
                <w:sz w:val="22"/>
                <w:lang w:eastAsia="en-GB"/>
              </w:rPr>
              <w:t>1</w:t>
            </w:r>
            <w:r w:rsidRPr="006B15AA">
              <w:rPr>
                <w:rFonts w:ascii="Calibri" w:eastAsia="Times New Roman" w:hAnsi="Calibri" w:cs="Calibri"/>
                <w:sz w:val="22"/>
                <w:lang w:eastAsia="en-GB"/>
              </w:rPr>
              <w:t>.</w:t>
            </w:r>
            <w:r>
              <w:rPr>
                <w:rFonts w:ascii="Calibri" w:eastAsia="Times New Roman" w:hAnsi="Calibri" w:cs="Calibri"/>
                <w:sz w:val="22"/>
                <w:lang w:eastAsia="en-GB"/>
              </w:rPr>
              <w:t>3</w:t>
            </w:r>
            <w:r w:rsidRPr="006B15AA">
              <w:rPr>
                <w:rFonts w:ascii="Calibri" w:eastAsia="Times New Roman" w:hAnsi="Calibri" w:cs="Calibri"/>
                <w:sz w:val="22"/>
                <w:lang w:eastAsia="en-GB"/>
              </w:rPr>
              <w:t xml:space="preserve">% of </w:t>
            </w:r>
            <w:r>
              <w:rPr>
                <w:rFonts w:ascii="Calibri" w:eastAsia="Times New Roman" w:hAnsi="Calibri" w:cs="Calibri"/>
                <w:sz w:val="22"/>
                <w:lang w:eastAsia="en-GB"/>
              </w:rPr>
              <w:t>383</w:t>
            </w:r>
            <w:r w:rsidRPr="006B15AA">
              <w:rPr>
                <w:rFonts w:ascii="Calibri" w:eastAsia="Times New Roman" w:hAnsi="Calibri" w:cs="Calibri"/>
                <w:sz w:val="22"/>
                <w:lang w:eastAsia="en-GB"/>
              </w:rPr>
              <w:t xml:space="preserve"> sick absence</w:t>
            </w:r>
            <w:r>
              <w:rPr>
                <w:rFonts w:ascii="Calibri" w:eastAsia="Times New Roman" w:hAnsi="Calibri" w:cs="Calibri"/>
                <w:sz w:val="22"/>
                <w:lang w:eastAsia="en-GB"/>
              </w:rPr>
              <w:t xml:space="preserve"> occurrences </w:t>
            </w:r>
            <w:r w:rsidRPr="006B15AA">
              <w:rPr>
                <w:rFonts w:ascii="Calibri" w:eastAsia="Times New Roman" w:hAnsi="Calibri" w:cs="Calibri"/>
                <w:sz w:val="22"/>
                <w:lang w:eastAsia="en-GB"/>
              </w:rPr>
              <w:t>in Q</w:t>
            </w:r>
            <w:r>
              <w:rPr>
                <w:rFonts w:ascii="Calibri" w:eastAsia="Times New Roman" w:hAnsi="Calibri" w:cs="Calibri"/>
                <w:sz w:val="22"/>
                <w:lang w:eastAsia="en-GB"/>
              </w:rPr>
              <w:t>3</w:t>
            </w:r>
            <w:r w:rsidRPr="006B15AA">
              <w:rPr>
                <w:rFonts w:ascii="Calibri" w:eastAsia="Times New Roman" w:hAnsi="Calibri" w:cs="Calibri"/>
                <w:sz w:val="22"/>
                <w:lang w:eastAsia="en-GB"/>
              </w:rPr>
              <w:t xml:space="preserve"> were long term.</w:t>
            </w:r>
          </w:p>
          <w:p w14:paraId="5DC5B76C" w14:textId="229E9999" w:rsidR="00C20BBB" w:rsidRPr="009E5426" w:rsidRDefault="00C20BBB" w:rsidP="009E5426">
            <w:pPr>
              <w:pStyle w:val="ListParagraph"/>
              <w:numPr>
                <w:ilvl w:val="0"/>
                <w:numId w:val="25"/>
              </w:num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sz w:val="22"/>
                <w:lang w:eastAsia="en-GB"/>
              </w:rPr>
              <w:t xml:space="preserve">The top </w:t>
            </w:r>
            <w:r>
              <w:rPr>
                <w:rFonts w:ascii="Calibri" w:eastAsia="Times New Roman" w:hAnsi="Calibri" w:cs="Calibri"/>
                <w:sz w:val="22"/>
                <w:lang w:eastAsia="en-GB"/>
              </w:rPr>
              <w:t xml:space="preserve">reason for </w:t>
            </w:r>
            <w:r w:rsidRPr="006B15AA">
              <w:rPr>
                <w:rFonts w:ascii="Calibri" w:eastAsia="Times New Roman" w:hAnsi="Calibri" w:cs="Calibri"/>
                <w:sz w:val="22"/>
                <w:lang w:eastAsia="en-GB"/>
              </w:rPr>
              <w:t>short-term sickness reason in Q</w:t>
            </w:r>
            <w:r>
              <w:rPr>
                <w:rFonts w:ascii="Calibri" w:eastAsia="Times New Roman" w:hAnsi="Calibri" w:cs="Calibri"/>
                <w:sz w:val="22"/>
                <w:lang w:eastAsia="en-GB"/>
              </w:rPr>
              <w:t>3</w:t>
            </w:r>
            <w:r w:rsidRPr="006B15AA">
              <w:rPr>
                <w:rFonts w:ascii="Calibri" w:eastAsia="Times New Roman" w:hAnsi="Calibri" w:cs="Calibri"/>
                <w:sz w:val="22"/>
                <w:lang w:eastAsia="en-GB"/>
              </w:rPr>
              <w:t xml:space="preserve"> was </w:t>
            </w:r>
            <w:r>
              <w:rPr>
                <w:rFonts w:ascii="Calibri" w:eastAsia="Times New Roman" w:hAnsi="Calibri" w:cs="Calibri"/>
                <w:sz w:val="22"/>
                <w:lang w:eastAsia="en-GB"/>
              </w:rPr>
              <w:t>c</w:t>
            </w:r>
            <w:r w:rsidRPr="006B15AA">
              <w:rPr>
                <w:rFonts w:ascii="Calibri" w:eastAsia="Times New Roman" w:hAnsi="Calibri" w:cs="Calibri"/>
                <w:sz w:val="22"/>
                <w:lang w:eastAsia="en-GB"/>
              </w:rPr>
              <w:t>oronavirus</w:t>
            </w:r>
            <w:r>
              <w:rPr>
                <w:rFonts w:ascii="Calibri" w:eastAsia="Times New Roman" w:hAnsi="Calibri" w:cs="Calibri"/>
                <w:sz w:val="22"/>
                <w:lang w:eastAsia="en-GB"/>
              </w:rPr>
              <w:t>, with 320 days (199</w:t>
            </w:r>
            <w:r w:rsidRPr="006B15AA">
              <w:rPr>
                <w:rFonts w:ascii="Calibri" w:eastAsia="Times New Roman" w:hAnsi="Calibri" w:cs="Calibri"/>
                <w:sz w:val="22"/>
                <w:lang w:eastAsia="en-GB"/>
              </w:rPr>
              <w:t xml:space="preserve"> days</w:t>
            </w:r>
            <w:r>
              <w:rPr>
                <w:rFonts w:ascii="Calibri" w:eastAsia="Times New Roman" w:hAnsi="Calibri" w:cs="Calibri"/>
                <w:sz w:val="22"/>
                <w:lang w:eastAsia="en-GB"/>
              </w:rPr>
              <w:t xml:space="preserve"> in Q2; ↑121 days). An</w:t>
            </w:r>
            <w:r w:rsidRPr="006B15AA">
              <w:rPr>
                <w:rFonts w:ascii="Calibri" w:eastAsia="Times New Roman" w:hAnsi="Calibri" w:cs="Calibri"/>
                <w:sz w:val="22"/>
                <w:lang w:eastAsia="en-GB"/>
              </w:rPr>
              <w:t xml:space="preserve"> increase </w:t>
            </w:r>
            <w:r>
              <w:rPr>
                <w:rFonts w:ascii="Calibri" w:eastAsia="Times New Roman" w:hAnsi="Calibri" w:cs="Calibri"/>
                <w:sz w:val="22"/>
                <w:lang w:eastAsia="en-GB"/>
              </w:rPr>
              <w:t>(of</w:t>
            </w:r>
            <w:r w:rsidRPr="006B15AA">
              <w:rPr>
                <w:rFonts w:ascii="Calibri" w:eastAsia="Times New Roman" w:hAnsi="Calibri" w:cs="Calibri"/>
                <w:sz w:val="22"/>
                <w:lang w:eastAsia="en-GB"/>
              </w:rPr>
              <w:t xml:space="preserve"> </w:t>
            </w:r>
            <w:r>
              <w:rPr>
                <w:rFonts w:ascii="Calibri" w:eastAsia="Times New Roman" w:hAnsi="Calibri" w:cs="Calibri"/>
                <w:sz w:val="22"/>
                <w:lang w:eastAsia="en-GB"/>
              </w:rPr>
              <w:t>36</w:t>
            </w:r>
            <w:r w:rsidRPr="006B15AA">
              <w:rPr>
                <w:rFonts w:ascii="Calibri" w:eastAsia="Times New Roman" w:hAnsi="Calibri" w:cs="Calibri"/>
                <w:sz w:val="22"/>
                <w:lang w:eastAsia="en-GB"/>
              </w:rPr>
              <w:t>%</w:t>
            </w:r>
            <w:r>
              <w:rPr>
                <w:rFonts w:ascii="Calibri" w:eastAsia="Times New Roman" w:hAnsi="Calibri" w:cs="Calibri"/>
                <w:sz w:val="22"/>
                <w:lang w:eastAsia="en-GB"/>
              </w:rPr>
              <w:t>)</w:t>
            </w:r>
            <w:r w:rsidRPr="006B15AA">
              <w:rPr>
                <w:rFonts w:ascii="Calibri" w:eastAsia="Times New Roman" w:hAnsi="Calibri" w:cs="Calibri"/>
                <w:sz w:val="22"/>
                <w:lang w:eastAsia="en-GB"/>
              </w:rPr>
              <w:t xml:space="preserve"> in days lost </w:t>
            </w:r>
            <w:r>
              <w:rPr>
                <w:rFonts w:ascii="Calibri" w:eastAsia="Times New Roman" w:hAnsi="Calibri" w:cs="Calibri"/>
                <w:sz w:val="22"/>
                <w:lang w:eastAsia="en-GB"/>
              </w:rPr>
              <w:t xml:space="preserve">for </w:t>
            </w:r>
            <w:r w:rsidRPr="006B15AA">
              <w:rPr>
                <w:rFonts w:ascii="Calibri" w:eastAsia="Times New Roman" w:hAnsi="Calibri" w:cs="Calibri"/>
                <w:sz w:val="22"/>
                <w:lang w:eastAsia="en-GB"/>
              </w:rPr>
              <w:t xml:space="preserve">the same reason from </w:t>
            </w:r>
            <w:r>
              <w:rPr>
                <w:rFonts w:ascii="Calibri" w:eastAsia="Times New Roman" w:hAnsi="Calibri" w:cs="Calibri"/>
                <w:sz w:val="22"/>
                <w:lang w:eastAsia="en-GB"/>
              </w:rPr>
              <w:t>20</w:t>
            </w:r>
            <w:r w:rsidRPr="006B15AA">
              <w:rPr>
                <w:rFonts w:ascii="Calibri" w:eastAsia="Times New Roman" w:hAnsi="Calibri" w:cs="Calibri"/>
                <w:sz w:val="22"/>
                <w:lang w:eastAsia="en-GB"/>
              </w:rPr>
              <w:t>22/23 Q</w:t>
            </w:r>
            <w:r>
              <w:rPr>
                <w:rFonts w:ascii="Calibri" w:eastAsia="Times New Roman" w:hAnsi="Calibri" w:cs="Calibri"/>
                <w:sz w:val="22"/>
                <w:lang w:eastAsia="en-GB"/>
              </w:rPr>
              <w:t>3 (222 days)</w:t>
            </w:r>
            <w:r w:rsidRPr="006B15AA">
              <w:rPr>
                <w:rFonts w:ascii="Calibri" w:eastAsia="Times New Roman" w:hAnsi="Calibri" w:cs="Calibri"/>
                <w:sz w:val="22"/>
                <w:lang w:eastAsia="en-GB"/>
              </w:rPr>
              <w:t xml:space="preserve">. </w:t>
            </w:r>
          </w:p>
          <w:p w14:paraId="051A90D1" w14:textId="77777777" w:rsidR="00C20BBB" w:rsidRPr="009A1258" w:rsidRDefault="00C20BBB" w:rsidP="00C20BBB">
            <w:pPr>
              <w:spacing w:after="0" w:line="240" w:lineRule="auto"/>
              <w:textAlignment w:val="baseline"/>
              <w:rPr>
                <w:rFonts w:ascii="Times New Roman" w:eastAsia="Times New Roman" w:hAnsi="Times New Roman" w:cs="Times New Roman"/>
                <w:b/>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FFFFFF"/>
            <w:hideMark/>
          </w:tcPr>
          <w:p w14:paraId="67324896" w14:textId="77777777" w:rsidR="00C20BBB" w:rsidRPr="006B15AA" w:rsidRDefault="00C20BBB" w:rsidP="00C20BBB">
            <w:pPr>
              <w:spacing w:after="0" w:line="240" w:lineRule="auto"/>
              <w:textAlignment w:val="baseline"/>
              <w:rPr>
                <w:rFonts w:ascii="Times New Roman" w:eastAsia="Times New Roman" w:hAnsi="Times New Roman" w:cs="Times New Roman"/>
                <w:lang w:eastAsia="en-GB"/>
              </w:rPr>
            </w:pPr>
          </w:p>
        </w:tc>
      </w:tr>
      <w:tr w:rsidR="00C20BBB" w:rsidRPr="006B15AA" w14:paraId="68737601" w14:textId="77777777" w:rsidTr="00C20BBB">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FFFF"/>
            <w:hideMark/>
          </w:tcPr>
          <w:p w14:paraId="1736EA72" w14:textId="77777777" w:rsidR="00C20BBB" w:rsidRPr="006B15AA" w:rsidRDefault="00C20BBB" w:rsidP="00C20BBB">
            <w:p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t>Annual Leave</w:t>
            </w:r>
          </w:p>
          <w:p w14:paraId="30CCCBF1" w14:textId="77777777" w:rsidR="00C20BBB" w:rsidRPr="006B15AA" w:rsidRDefault="00C20BBB" w:rsidP="00C20BBB">
            <w:pPr>
              <w:pStyle w:val="ListParagraph"/>
              <w:numPr>
                <w:ilvl w:val="0"/>
                <w:numId w:val="18"/>
              </w:num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sz w:val="22"/>
                <w:lang w:eastAsia="en-GB"/>
              </w:rPr>
              <w:t>Q</w:t>
            </w:r>
            <w:r>
              <w:rPr>
                <w:rFonts w:ascii="Calibri" w:eastAsia="Times New Roman" w:hAnsi="Calibri" w:cs="Calibri"/>
                <w:sz w:val="22"/>
                <w:lang w:eastAsia="en-GB"/>
              </w:rPr>
              <w:t>3</w:t>
            </w:r>
            <w:r w:rsidRPr="006B15AA">
              <w:rPr>
                <w:rFonts w:ascii="Calibri" w:eastAsia="Times New Roman" w:hAnsi="Calibri" w:cs="Calibri"/>
                <w:sz w:val="22"/>
                <w:lang w:eastAsia="en-GB"/>
              </w:rPr>
              <w:t xml:space="preserve">: </w:t>
            </w:r>
            <w:r>
              <w:rPr>
                <w:rFonts w:ascii="Calibri" w:eastAsia="Times New Roman" w:hAnsi="Calibri" w:cs="Calibri"/>
                <w:sz w:val="22"/>
                <w:lang w:eastAsia="en-GB"/>
              </w:rPr>
              <w:t>76</w:t>
            </w:r>
            <w:r w:rsidRPr="006B15AA">
              <w:rPr>
                <w:rFonts w:ascii="Calibri" w:eastAsia="Times New Roman" w:hAnsi="Calibri" w:cs="Calibri"/>
                <w:sz w:val="22"/>
                <w:lang w:eastAsia="en-GB"/>
              </w:rPr>
              <w:t xml:space="preserve">% of holiday leave booked or taken; this is </w:t>
            </w:r>
            <w:r>
              <w:rPr>
                <w:rFonts w:ascii="Calibri" w:eastAsia="Times New Roman" w:hAnsi="Calibri" w:cs="Calibri"/>
                <w:sz w:val="22"/>
                <w:lang w:eastAsia="en-GB"/>
              </w:rPr>
              <w:t xml:space="preserve">on </w:t>
            </w:r>
            <w:r w:rsidRPr="006B15AA">
              <w:rPr>
                <w:rFonts w:ascii="Calibri" w:eastAsia="Times New Roman" w:hAnsi="Calibri" w:cs="Calibri"/>
                <w:sz w:val="22"/>
                <w:lang w:eastAsia="en-GB"/>
              </w:rPr>
              <w:t>target for Q</w:t>
            </w:r>
            <w:r>
              <w:rPr>
                <w:rFonts w:ascii="Calibri" w:eastAsia="Times New Roman" w:hAnsi="Calibri" w:cs="Calibri"/>
                <w:sz w:val="22"/>
                <w:lang w:eastAsia="en-GB"/>
              </w:rPr>
              <w:t>3</w:t>
            </w:r>
            <w:r w:rsidRPr="006B15AA">
              <w:rPr>
                <w:rFonts w:ascii="Calibri" w:eastAsia="Times New Roman" w:hAnsi="Calibri" w:cs="Calibri"/>
                <w:sz w:val="22"/>
                <w:lang w:eastAsia="en-GB"/>
              </w:rPr>
              <w:t xml:space="preserve"> in terms of accrued leave booked or taken i.e., </w:t>
            </w:r>
            <w:r>
              <w:rPr>
                <w:rFonts w:ascii="Calibri" w:eastAsia="Times New Roman" w:hAnsi="Calibri" w:cs="Calibri"/>
                <w:sz w:val="22"/>
                <w:lang w:eastAsia="en-GB"/>
              </w:rPr>
              <w:t>75</w:t>
            </w:r>
            <w:r w:rsidRPr="006B15AA">
              <w:rPr>
                <w:rFonts w:ascii="Calibri" w:eastAsia="Times New Roman" w:hAnsi="Calibri" w:cs="Calibri"/>
                <w:sz w:val="22"/>
                <w:lang w:eastAsia="en-GB"/>
              </w:rPr>
              <w:t>%</w:t>
            </w:r>
            <w:r>
              <w:rPr>
                <w:rFonts w:ascii="Calibri" w:eastAsia="Times New Roman" w:hAnsi="Calibri" w:cs="Calibri"/>
                <w:sz w:val="22"/>
                <w:lang w:eastAsia="en-GB"/>
              </w:rPr>
              <w:t>.</w:t>
            </w:r>
          </w:p>
          <w:p w14:paraId="3BB89CB1" w14:textId="169299AB" w:rsidR="00C20BBB" w:rsidRPr="00F73BF3" w:rsidRDefault="00C20BBB" w:rsidP="00C20BBB">
            <w:pPr>
              <w:pStyle w:val="ListParagraph"/>
              <w:numPr>
                <w:ilvl w:val="0"/>
                <w:numId w:val="18"/>
              </w:num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sz w:val="22"/>
                <w:lang w:eastAsia="en-GB"/>
              </w:rPr>
              <w:t>Although the overall leave figure is</w:t>
            </w:r>
            <w:r>
              <w:rPr>
                <w:rFonts w:ascii="Calibri" w:eastAsia="Times New Roman" w:hAnsi="Calibri" w:cs="Calibri"/>
                <w:sz w:val="22"/>
                <w:lang w:eastAsia="en-GB"/>
              </w:rPr>
              <w:t xml:space="preserve"> on </w:t>
            </w:r>
            <w:r w:rsidRPr="006B15AA">
              <w:rPr>
                <w:rFonts w:ascii="Calibri" w:eastAsia="Times New Roman" w:hAnsi="Calibri" w:cs="Calibri"/>
                <w:sz w:val="22"/>
                <w:lang w:eastAsia="en-GB"/>
              </w:rPr>
              <w:t xml:space="preserve">target, there are </w:t>
            </w:r>
            <w:r>
              <w:rPr>
                <w:rFonts w:ascii="Calibri" w:eastAsia="Times New Roman" w:hAnsi="Calibri" w:cs="Calibri"/>
                <w:sz w:val="22"/>
                <w:lang w:eastAsia="en-GB"/>
              </w:rPr>
              <w:t>53</w:t>
            </w:r>
            <w:r w:rsidRPr="006B15AA">
              <w:rPr>
                <w:rFonts w:ascii="Calibri" w:eastAsia="Times New Roman" w:hAnsi="Calibri" w:cs="Calibri"/>
                <w:sz w:val="22"/>
                <w:lang w:eastAsia="en-GB"/>
              </w:rPr>
              <w:t xml:space="preserve"> employees </w:t>
            </w:r>
            <w:r>
              <w:rPr>
                <w:rFonts w:ascii="Calibri" w:eastAsia="Times New Roman" w:hAnsi="Calibri" w:cs="Calibri"/>
                <w:sz w:val="22"/>
                <w:lang w:eastAsia="en-GB"/>
              </w:rPr>
              <w:t xml:space="preserve">(6.5% of our employees), who </w:t>
            </w:r>
            <w:r w:rsidRPr="006B15AA">
              <w:rPr>
                <w:rFonts w:ascii="Calibri" w:eastAsia="Times New Roman" w:hAnsi="Calibri" w:cs="Calibri"/>
                <w:sz w:val="22"/>
                <w:lang w:eastAsia="en-GB"/>
              </w:rPr>
              <w:t xml:space="preserve">have </w:t>
            </w:r>
            <w:r>
              <w:rPr>
                <w:rFonts w:ascii="Calibri" w:eastAsia="Times New Roman" w:hAnsi="Calibri" w:cs="Calibri"/>
                <w:sz w:val="22"/>
                <w:lang w:eastAsia="en-GB"/>
              </w:rPr>
              <w:t xml:space="preserve">more than 50% of their </w:t>
            </w:r>
            <w:r w:rsidRPr="006B15AA">
              <w:rPr>
                <w:rFonts w:ascii="Calibri" w:eastAsia="Times New Roman" w:hAnsi="Calibri" w:cs="Calibri"/>
                <w:sz w:val="22"/>
                <w:lang w:eastAsia="en-GB"/>
              </w:rPr>
              <w:t xml:space="preserve">leave </w:t>
            </w:r>
            <w:r>
              <w:rPr>
                <w:rFonts w:ascii="Calibri" w:eastAsia="Times New Roman" w:hAnsi="Calibri" w:cs="Calibri"/>
                <w:sz w:val="22"/>
                <w:lang w:eastAsia="en-GB"/>
              </w:rPr>
              <w:t>accrual remaining</w:t>
            </w:r>
            <w:r w:rsidRPr="006B15AA">
              <w:rPr>
                <w:rFonts w:ascii="Calibri" w:eastAsia="Times New Roman" w:hAnsi="Calibri" w:cs="Calibri"/>
                <w:sz w:val="22"/>
                <w:lang w:eastAsia="en-GB"/>
              </w:rPr>
              <w:t xml:space="preserve"> at the end of Q</w:t>
            </w:r>
            <w:r>
              <w:rPr>
                <w:rFonts w:ascii="Calibri" w:eastAsia="Times New Roman" w:hAnsi="Calibri" w:cs="Calibri"/>
                <w:sz w:val="22"/>
                <w:lang w:eastAsia="en-GB"/>
              </w:rPr>
              <w:t>3</w:t>
            </w:r>
            <w:r w:rsidRPr="006B15AA">
              <w:rPr>
                <w:rFonts w:ascii="Calibri" w:eastAsia="Times New Roman" w:hAnsi="Calibri" w:cs="Calibri"/>
                <w:sz w:val="22"/>
                <w:lang w:eastAsia="en-GB"/>
              </w:rPr>
              <w:t xml:space="preserve">. </w:t>
            </w:r>
            <w:r>
              <w:rPr>
                <w:rFonts w:ascii="Calibri" w:eastAsia="Times New Roman" w:hAnsi="Calibri" w:cs="Calibri"/>
                <w:sz w:val="22"/>
                <w:lang w:eastAsia="en-GB"/>
              </w:rPr>
              <w:t xml:space="preserve"> Of these employees, 8 are due to long term absences. </w:t>
            </w:r>
          </w:p>
          <w:p w14:paraId="08C4E773" w14:textId="77777777" w:rsidR="00F73BF3" w:rsidRPr="003C1742" w:rsidRDefault="00F73BF3" w:rsidP="00F73BF3">
            <w:pPr>
              <w:pStyle w:val="ListParagraph"/>
              <w:spacing w:after="0" w:line="240" w:lineRule="auto"/>
              <w:textAlignment w:val="baseline"/>
              <w:rPr>
                <w:rFonts w:ascii="Times New Roman" w:eastAsia="Times New Roman" w:hAnsi="Times New Roman" w:cs="Times New Roman"/>
                <w:b/>
                <w:bCs/>
                <w:lang w:eastAsia="en-GB"/>
              </w:rPr>
            </w:pPr>
          </w:p>
          <w:p w14:paraId="345FF85C" w14:textId="77777777" w:rsidR="00C20BBB" w:rsidRPr="006B15AA" w:rsidRDefault="00C20BBB" w:rsidP="00C20BBB">
            <w:pPr>
              <w:pStyle w:val="ListParagraph"/>
              <w:spacing w:after="0" w:line="240" w:lineRule="auto"/>
              <w:textAlignment w:val="baseline"/>
              <w:rPr>
                <w:rFonts w:ascii="Times New Roman" w:eastAsia="Times New Roman" w:hAnsi="Times New Roman" w:cs="Times New Roman"/>
                <w:b/>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FFFFFF"/>
          </w:tcPr>
          <w:p w14:paraId="60C7B4E4" w14:textId="77777777" w:rsidR="00C20BBB" w:rsidRPr="006B15AA" w:rsidRDefault="00C20BBB" w:rsidP="00C20BBB">
            <w:pPr>
              <w:spacing w:after="0" w:line="240" w:lineRule="auto"/>
              <w:textAlignment w:val="baseline"/>
              <w:rPr>
                <w:rFonts w:ascii="Times New Roman" w:eastAsia="Times New Roman" w:hAnsi="Times New Roman" w:cs="Times New Roman"/>
                <w:lang w:eastAsia="en-GB"/>
              </w:rPr>
            </w:pPr>
          </w:p>
        </w:tc>
      </w:tr>
      <w:tr w:rsidR="00C20BBB" w:rsidRPr="00DD77BC" w14:paraId="645F4EFC" w14:textId="77777777" w:rsidTr="00C20BBB">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00B050"/>
            <w:hideMark/>
          </w:tcPr>
          <w:p w14:paraId="3082E2C6" w14:textId="77777777" w:rsidR="00C20BBB" w:rsidRDefault="00C20BBB" w:rsidP="00C20BBB">
            <w:p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t>Development </w:t>
            </w:r>
          </w:p>
          <w:p w14:paraId="28429AAD" w14:textId="77777777" w:rsidR="00C20BBB" w:rsidRPr="00DD77BC" w:rsidRDefault="00C20BBB" w:rsidP="00C20BBB">
            <w:pPr>
              <w:spacing w:after="0" w:line="240" w:lineRule="auto"/>
              <w:textAlignment w:val="baseline"/>
              <w:rPr>
                <w:rFonts w:ascii="Calibri" w:eastAsia="Times New Roman" w:hAnsi="Calibri" w:cs="Calibri"/>
                <w:b/>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00B050"/>
            <w:hideMark/>
          </w:tcPr>
          <w:p w14:paraId="1E34A309" w14:textId="77777777" w:rsidR="00C20BBB" w:rsidRPr="00DD77BC" w:rsidRDefault="00C20BBB" w:rsidP="00C20BBB">
            <w:pPr>
              <w:spacing w:after="0" w:line="240" w:lineRule="auto"/>
              <w:textAlignment w:val="baseline"/>
              <w:rPr>
                <w:rFonts w:ascii="Times New Roman" w:eastAsia="Times New Roman" w:hAnsi="Times New Roman" w:cs="Times New Roman"/>
                <w:b/>
                <w:lang w:eastAsia="en-GB"/>
              </w:rPr>
            </w:pPr>
            <w:r w:rsidRPr="006B15AA">
              <w:rPr>
                <w:rFonts w:ascii="Calibri" w:eastAsia="Times New Roman" w:hAnsi="Calibri" w:cs="Calibri"/>
                <w:b/>
                <w:bCs/>
                <w:sz w:val="22"/>
                <w:lang w:eastAsia="en-GB"/>
              </w:rPr>
              <w:t> </w:t>
            </w:r>
            <w:r w:rsidRPr="006B15AA">
              <w:rPr>
                <w:rFonts w:ascii="Calibri" w:eastAsia="Times New Roman" w:hAnsi="Calibri" w:cs="Calibri"/>
                <w:sz w:val="22"/>
                <w:lang w:eastAsia="en-GB"/>
              </w:rPr>
              <w:t> </w:t>
            </w:r>
            <w:r w:rsidRPr="00DD77BC">
              <w:rPr>
                <w:rFonts w:ascii="Calibri" w:eastAsia="Times New Roman" w:hAnsi="Calibri" w:cs="Calibri"/>
                <w:b/>
                <w:sz w:val="22"/>
                <w:lang w:eastAsia="en-GB"/>
              </w:rPr>
              <w:t>Green</w:t>
            </w:r>
          </w:p>
        </w:tc>
      </w:tr>
      <w:tr w:rsidR="00C20BBB" w:rsidRPr="006B15AA" w14:paraId="09BB779F" w14:textId="77777777" w:rsidTr="00C20BBB">
        <w:tblPrEx>
          <w:tblCellMar>
            <w:left w:w="108" w:type="dxa"/>
            <w:right w:w="108" w:type="dxa"/>
          </w:tblCellMar>
        </w:tblPrEx>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FFFF"/>
            <w:hideMark/>
          </w:tcPr>
          <w:p w14:paraId="3765F4A9" w14:textId="77777777" w:rsidR="00C20BBB" w:rsidRDefault="00C20BBB" w:rsidP="00C20BBB">
            <w:pPr>
              <w:spacing w:after="0" w:line="240" w:lineRule="auto"/>
              <w:textAlignment w:val="baseline"/>
              <w:rPr>
                <w:rFonts w:ascii="Calibri" w:eastAsia="Times New Roman" w:hAnsi="Calibri" w:cs="Calibri"/>
                <w:b/>
                <w:bCs/>
                <w:lang w:eastAsia="en-GB"/>
              </w:rPr>
            </w:pPr>
            <w:r>
              <w:rPr>
                <w:rFonts w:ascii="Calibri" w:eastAsia="Times New Roman" w:hAnsi="Calibri" w:cs="Calibri"/>
                <w:b/>
                <w:bCs/>
                <w:sz w:val="22"/>
                <w:lang w:eastAsia="en-GB"/>
              </w:rPr>
              <w:t>Key Messages:</w:t>
            </w:r>
          </w:p>
          <w:p w14:paraId="5D67CC70" w14:textId="2C1F6646" w:rsidR="00C20BBB" w:rsidRDefault="00C20BBB" w:rsidP="00C20BBB">
            <w:pPr>
              <w:pStyle w:val="ListParagraph"/>
              <w:numPr>
                <w:ilvl w:val="0"/>
                <w:numId w:val="19"/>
              </w:numPr>
              <w:spacing w:after="0" w:line="240" w:lineRule="auto"/>
              <w:textAlignment w:val="baseline"/>
              <w:rPr>
                <w:rFonts w:ascii="Calibri" w:eastAsia="Times New Roman" w:hAnsi="Calibri" w:cs="Calibri"/>
                <w:b/>
                <w:bCs/>
                <w:lang w:eastAsia="en-GB"/>
              </w:rPr>
            </w:pPr>
            <w:r>
              <w:rPr>
                <w:rFonts w:ascii="Calibri" w:eastAsia="Times New Roman" w:hAnsi="Calibri" w:cs="Calibri"/>
                <w:b/>
                <w:bCs/>
                <w:sz w:val="22"/>
                <w:lang w:eastAsia="en-GB"/>
              </w:rPr>
              <w:t xml:space="preserve">Formal </w:t>
            </w:r>
            <w:r w:rsidRPr="00DB14A0">
              <w:rPr>
                <w:rFonts w:ascii="Calibri" w:eastAsia="Times New Roman" w:hAnsi="Calibri" w:cs="Calibri"/>
                <w:b/>
                <w:bCs/>
                <w:sz w:val="22"/>
                <w:lang w:eastAsia="en-GB"/>
              </w:rPr>
              <w:t xml:space="preserve">casework </w:t>
            </w:r>
            <w:r>
              <w:rPr>
                <w:rFonts w:ascii="Calibri" w:eastAsia="Times New Roman" w:hAnsi="Calibri" w:cs="Calibri"/>
                <w:b/>
                <w:bCs/>
                <w:sz w:val="22"/>
                <w:lang w:eastAsia="en-GB"/>
              </w:rPr>
              <w:t xml:space="preserve">remains low with 5 open cases (as outlined below). Therefore we are within target in terms of the comparison of formal and informal casework, i.e. 17.2% of cases are formal. </w:t>
            </w:r>
          </w:p>
          <w:p w14:paraId="721AC4BE" w14:textId="77777777" w:rsidR="00C20BBB" w:rsidRPr="00DB14A0" w:rsidRDefault="00C20BBB" w:rsidP="00C20BBB">
            <w:pPr>
              <w:pStyle w:val="ListParagraph"/>
              <w:numPr>
                <w:ilvl w:val="0"/>
                <w:numId w:val="19"/>
              </w:numPr>
              <w:spacing w:after="0" w:line="240" w:lineRule="auto"/>
              <w:textAlignment w:val="baseline"/>
              <w:rPr>
                <w:rFonts w:ascii="Calibri" w:eastAsia="Times New Roman" w:hAnsi="Calibri" w:cs="Calibri"/>
                <w:b/>
                <w:bCs/>
                <w:lang w:eastAsia="en-GB"/>
              </w:rPr>
            </w:pPr>
            <w:r>
              <w:rPr>
                <w:rFonts w:ascii="Calibri" w:eastAsia="Times New Roman" w:hAnsi="Calibri" w:cs="Calibri"/>
                <w:b/>
                <w:bCs/>
                <w:sz w:val="22"/>
                <w:lang w:eastAsia="en-GB"/>
              </w:rPr>
              <w:t>I</w:t>
            </w:r>
            <w:r w:rsidRPr="00DB14A0">
              <w:rPr>
                <w:rFonts w:ascii="Calibri" w:eastAsia="Times New Roman" w:hAnsi="Calibri" w:cs="Calibri"/>
                <w:b/>
                <w:bCs/>
                <w:sz w:val="22"/>
                <w:lang w:eastAsia="en-GB"/>
              </w:rPr>
              <w:t>nforma</w:t>
            </w:r>
            <w:r>
              <w:rPr>
                <w:rFonts w:ascii="Calibri" w:eastAsia="Times New Roman" w:hAnsi="Calibri" w:cs="Calibri"/>
                <w:b/>
                <w:bCs/>
                <w:sz w:val="22"/>
                <w:lang w:eastAsia="en-GB"/>
              </w:rPr>
              <w:t xml:space="preserve">l </w:t>
            </w:r>
            <w:r w:rsidRPr="00DB14A0">
              <w:rPr>
                <w:rFonts w:ascii="Calibri" w:eastAsia="Times New Roman" w:hAnsi="Calibri" w:cs="Calibri"/>
                <w:b/>
                <w:bCs/>
                <w:sz w:val="22"/>
                <w:lang w:eastAsia="en-GB"/>
              </w:rPr>
              <w:t xml:space="preserve">casework </w:t>
            </w:r>
            <w:r>
              <w:rPr>
                <w:rFonts w:ascii="Calibri" w:eastAsia="Times New Roman" w:hAnsi="Calibri" w:cs="Calibri"/>
                <w:b/>
                <w:bCs/>
                <w:sz w:val="22"/>
                <w:lang w:eastAsia="en-GB"/>
              </w:rPr>
              <w:t xml:space="preserve">categories </w:t>
            </w:r>
            <w:r w:rsidRPr="00DB14A0">
              <w:rPr>
                <w:rFonts w:ascii="Calibri" w:eastAsia="Times New Roman" w:hAnsi="Calibri" w:cs="Calibri"/>
                <w:b/>
                <w:bCs/>
                <w:sz w:val="22"/>
                <w:lang w:eastAsia="en-GB"/>
              </w:rPr>
              <w:t xml:space="preserve">are health &amp; wellbeing; </w:t>
            </w:r>
            <w:r>
              <w:rPr>
                <w:rFonts w:ascii="Calibri" w:eastAsia="Times New Roman" w:hAnsi="Calibri" w:cs="Calibri"/>
                <w:b/>
                <w:bCs/>
                <w:sz w:val="22"/>
                <w:lang w:eastAsia="en-GB"/>
              </w:rPr>
              <w:t xml:space="preserve">in terms of cases relating to </w:t>
            </w:r>
            <w:r w:rsidRPr="00DB14A0">
              <w:rPr>
                <w:rFonts w:ascii="Calibri" w:eastAsia="Times New Roman" w:hAnsi="Calibri" w:cs="Calibri"/>
                <w:b/>
                <w:bCs/>
                <w:sz w:val="22"/>
                <w:lang w:eastAsia="en-GB"/>
              </w:rPr>
              <w:t xml:space="preserve">short- and long-term absences. </w:t>
            </w:r>
          </w:p>
          <w:p w14:paraId="07FAA7FC" w14:textId="77777777" w:rsidR="00C20BBB" w:rsidRPr="001F4BFC" w:rsidRDefault="00C20BBB" w:rsidP="00C20BBB">
            <w:pPr>
              <w:pStyle w:val="ListParagraph"/>
              <w:spacing w:after="0" w:line="240" w:lineRule="auto"/>
              <w:textAlignment w:val="baseline"/>
              <w:rPr>
                <w:rFonts w:ascii="Calibri" w:eastAsia="Times New Roman" w:hAnsi="Calibri" w:cs="Calibri"/>
                <w:b/>
                <w:bCs/>
                <w:lang w:eastAsia="en-GB"/>
              </w:rPr>
            </w:pPr>
          </w:p>
          <w:p w14:paraId="360B24DF"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b/>
                <w:bCs/>
                <w:sz w:val="22"/>
                <w:lang w:eastAsia="en-GB"/>
              </w:rPr>
              <w:t xml:space="preserve">Formal Casework – Target &lt;=50% of informal casework  </w:t>
            </w:r>
          </w:p>
          <w:p w14:paraId="64924CEF" w14:textId="77777777" w:rsidR="00C20BBB" w:rsidRPr="00C76F77" w:rsidRDefault="00C20BBB" w:rsidP="00C20BBB">
            <w:pPr>
              <w:pStyle w:val="ListParagraph"/>
              <w:numPr>
                <w:ilvl w:val="0"/>
                <w:numId w:val="19"/>
              </w:numPr>
              <w:spacing w:after="0" w:line="240" w:lineRule="auto"/>
              <w:textAlignment w:val="baseline"/>
              <w:rPr>
                <w:rFonts w:ascii="Calibri" w:eastAsia="Times New Roman" w:hAnsi="Calibri" w:cs="Calibri"/>
                <w:b/>
                <w:bCs/>
                <w:lang w:eastAsia="en-GB"/>
              </w:rPr>
            </w:pPr>
            <w:r w:rsidRPr="00C76F77">
              <w:rPr>
                <w:rFonts w:ascii="Calibri" w:eastAsia="Times New Roman" w:hAnsi="Calibri" w:cs="Calibri"/>
                <w:bCs/>
                <w:sz w:val="22"/>
                <w:lang w:eastAsia="en-GB"/>
              </w:rPr>
              <w:t xml:space="preserve">Q3: 5 cases with </w:t>
            </w:r>
            <w:r>
              <w:rPr>
                <w:rFonts w:ascii="Calibri" w:eastAsia="Times New Roman" w:hAnsi="Calibri" w:cs="Calibri"/>
                <w:bCs/>
                <w:sz w:val="22"/>
                <w:lang w:eastAsia="en-GB"/>
              </w:rPr>
              <w:t>three</w:t>
            </w:r>
            <w:r w:rsidRPr="00C76F77">
              <w:rPr>
                <w:rFonts w:ascii="Calibri" w:eastAsia="Times New Roman" w:hAnsi="Calibri" w:cs="Calibri"/>
                <w:bCs/>
                <w:sz w:val="22"/>
                <w:lang w:eastAsia="en-GB"/>
              </w:rPr>
              <w:t xml:space="preserve"> new cases in health and wellbeing </w:t>
            </w:r>
            <w:r>
              <w:rPr>
                <w:rFonts w:ascii="Calibri" w:eastAsia="Times New Roman" w:hAnsi="Calibri" w:cs="Calibri"/>
                <w:bCs/>
                <w:sz w:val="22"/>
                <w:lang w:eastAsia="en-GB"/>
              </w:rPr>
              <w:t>and a job evaluation with</w:t>
            </w:r>
            <w:r w:rsidRPr="00C76F77">
              <w:rPr>
                <w:rFonts w:ascii="Calibri" w:eastAsia="Times New Roman" w:hAnsi="Calibri" w:cs="Calibri"/>
                <w:bCs/>
                <w:sz w:val="22"/>
                <w:lang w:eastAsia="en-GB"/>
              </w:rPr>
              <w:t xml:space="preserve"> ongoing cases in the following categories: dignity at work, and employment tribunal</w:t>
            </w:r>
            <w:r>
              <w:rPr>
                <w:rFonts w:ascii="Calibri" w:eastAsia="Times New Roman" w:hAnsi="Calibri" w:cs="Calibri"/>
                <w:bCs/>
                <w:sz w:val="22"/>
                <w:lang w:eastAsia="en-GB"/>
              </w:rPr>
              <w:t>.</w:t>
            </w:r>
            <w:r w:rsidRPr="00C76F77">
              <w:rPr>
                <w:rFonts w:ascii="Calibri" w:eastAsia="Times New Roman" w:hAnsi="Calibri" w:cs="Calibri"/>
                <w:bCs/>
                <w:sz w:val="22"/>
                <w:lang w:eastAsia="en-GB"/>
              </w:rPr>
              <w:t> </w:t>
            </w:r>
            <w:r>
              <w:rPr>
                <w:rFonts w:ascii="Calibri" w:eastAsia="Times New Roman" w:hAnsi="Calibri" w:cs="Calibri"/>
                <w:bCs/>
                <w:sz w:val="22"/>
                <w:lang w:eastAsia="en-GB"/>
              </w:rPr>
              <w:t>The two ongoing cases are long term casework involving external parties.</w:t>
            </w:r>
          </w:p>
          <w:p w14:paraId="5B9E696E" w14:textId="77777777" w:rsidR="00C20BBB" w:rsidRPr="00931C84" w:rsidRDefault="00C20BBB" w:rsidP="00C20BBB">
            <w:pPr>
              <w:spacing w:after="0" w:line="240" w:lineRule="auto"/>
              <w:textAlignment w:val="baseline"/>
              <w:rPr>
                <w:rFonts w:ascii="Calibri" w:eastAsia="Times New Roman" w:hAnsi="Calibri" w:cs="Calibri"/>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FFFFFF"/>
          </w:tcPr>
          <w:p w14:paraId="673F7D6C" w14:textId="77777777" w:rsidR="00C20BBB" w:rsidRPr="006B15AA" w:rsidRDefault="00C20BBB" w:rsidP="00C20BBB">
            <w:pPr>
              <w:spacing w:after="0" w:line="240" w:lineRule="auto"/>
              <w:textAlignment w:val="baseline"/>
              <w:rPr>
                <w:rFonts w:ascii="Times New Roman" w:eastAsia="Times New Roman" w:hAnsi="Times New Roman" w:cs="Times New Roman"/>
                <w:lang w:eastAsia="en-GB"/>
              </w:rPr>
            </w:pPr>
          </w:p>
        </w:tc>
      </w:tr>
      <w:tr w:rsidR="00C20BBB" w:rsidRPr="006B15AA" w14:paraId="3F6A4590" w14:textId="77777777" w:rsidTr="00C20BBB">
        <w:trPr>
          <w:trHeight w:val="1403"/>
        </w:trPr>
        <w:tc>
          <w:tcPr>
            <w:tcW w:w="9614" w:type="dxa"/>
            <w:tcBorders>
              <w:top w:val="single" w:sz="6" w:space="0" w:color="BFBFBF"/>
              <w:left w:val="single" w:sz="6" w:space="0" w:color="BFBFBF"/>
              <w:bottom w:val="single" w:sz="6" w:space="0" w:color="BFBFBF"/>
              <w:right w:val="single" w:sz="6" w:space="0" w:color="BFBFBF"/>
            </w:tcBorders>
            <w:shd w:val="clear" w:color="auto" w:fill="FFFFFF"/>
            <w:hideMark/>
          </w:tcPr>
          <w:p w14:paraId="77E8CB00" w14:textId="77777777" w:rsidR="00C20BBB" w:rsidRPr="006B15AA" w:rsidRDefault="00C20BBB" w:rsidP="00C20BBB">
            <w:p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t>Informal Casework  </w:t>
            </w:r>
          </w:p>
          <w:p w14:paraId="38C0C0B4" w14:textId="77777777" w:rsidR="00C20BBB" w:rsidRDefault="00C20BBB" w:rsidP="00C20BBB">
            <w:pPr>
              <w:pStyle w:val="ListParagraph"/>
              <w:numPr>
                <w:ilvl w:val="0"/>
                <w:numId w:val="19"/>
              </w:numPr>
              <w:spacing w:after="0" w:line="240" w:lineRule="auto"/>
              <w:textAlignment w:val="baseline"/>
              <w:rPr>
                <w:rFonts w:ascii="Calibri" w:eastAsia="Times New Roman" w:hAnsi="Calibri" w:cs="Calibri"/>
                <w:bCs/>
                <w:lang w:eastAsia="en-GB"/>
              </w:rPr>
            </w:pPr>
            <w:r w:rsidRPr="00087691">
              <w:rPr>
                <w:rFonts w:ascii="Calibri" w:eastAsia="Times New Roman" w:hAnsi="Calibri" w:cs="Calibri"/>
                <w:bCs/>
                <w:sz w:val="22"/>
                <w:lang w:eastAsia="en-GB"/>
              </w:rPr>
              <w:t>Q3:</w:t>
            </w:r>
            <w:r w:rsidRPr="0050651D">
              <w:rPr>
                <w:rFonts w:ascii="Calibri" w:eastAsia="Times New Roman" w:hAnsi="Calibri" w:cs="Calibri"/>
                <w:bCs/>
                <w:sz w:val="22"/>
                <w:lang w:eastAsia="en-GB"/>
              </w:rPr>
              <w:t xml:space="preserve"> </w:t>
            </w:r>
            <w:r>
              <w:rPr>
                <w:rFonts w:ascii="Calibri" w:eastAsia="Times New Roman" w:hAnsi="Calibri" w:cs="Calibri"/>
                <w:bCs/>
                <w:sz w:val="22"/>
                <w:lang w:eastAsia="en-GB"/>
              </w:rPr>
              <w:t xml:space="preserve">remains static with </w:t>
            </w:r>
            <w:r w:rsidRPr="0050651D">
              <w:rPr>
                <w:rFonts w:ascii="Calibri" w:eastAsia="Times New Roman" w:hAnsi="Calibri" w:cs="Calibri"/>
                <w:bCs/>
                <w:sz w:val="22"/>
                <w:lang w:eastAsia="en-GB"/>
              </w:rPr>
              <w:t xml:space="preserve">29 cases. </w:t>
            </w:r>
            <w:r>
              <w:rPr>
                <w:rFonts w:ascii="Calibri" w:eastAsia="Times New Roman" w:hAnsi="Calibri" w:cs="Calibri"/>
                <w:bCs/>
                <w:sz w:val="22"/>
                <w:lang w:eastAsia="en-GB"/>
              </w:rPr>
              <w:t xml:space="preserve">The majority of cases </w:t>
            </w:r>
            <w:r w:rsidRPr="0050651D">
              <w:rPr>
                <w:rFonts w:ascii="Calibri" w:eastAsia="Times New Roman" w:hAnsi="Calibri" w:cs="Calibri"/>
                <w:bCs/>
                <w:sz w:val="22"/>
                <w:lang w:eastAsia="en-GB"/>
              </w:rPr>
              <w:t xml:space="preserve">in Q3 </w:t>
            </w:r>
            <w:r>
              <w:rPr>
                <w:rFonts w:ascii="Calibri" w:eastAsia="Times New Roman" w:hAnsi="Calibri" w:cs="Calibri"/>
                <w:bCs/>
                <w:sz w:val="22"/>
                <w:lang w:eastAsia="en-GB"/>
              </w:rPr>
              <w:t>wer</w:t>
            </w:r>
            <w:r w:rsidRPr="0050651D">
              <w:rPr>
                <w:rFonts w:ascii="Calibri" w:eastAsia="Times New Roman" w:hAnsi="Calibri" w:cs="Calibri"/>
                <w:bCs/>
                <w:sz w:val="22"/>
                <w:lang w:eastAsia="en-GB"/>
              </w:rPr>
              <w:t>e health &amp; wellbeing, short and long-term absences</w:t>
            </w:r>
            <w:r>
              <w:rPr>
                <w:rFonts w:ascii="Calibri" w:eastAsia="Times New Roman" w:hAnsi="Calibri" w:cs="Calibri"/>
                <w:bCs/>
                <w:sz w:val="22"/>
                <w:lang w:eastAsia="en-GB"/>
              </w:rPr>
              <w:t xml:space="preserve"> categories.</w:t>
            </w:r>
          </w:p>
          <w:p w14:paraId="23A04298" w14:textId="77777777" w:rsidR="00C20BBB" w:rsidRPr="00F73BF3" w:rsidRDefault="00C20BBB" w:rsidP="00C20BBB">
            <w:pPr>
              <w:pStyle w:val="ListParagraph"/>
              <w:numPr>
                <w:ilvl w:val="0"/>
                <w:numId w:val="19"/>
              </w:numPr>
              <w:spacing w:after="0" w:line="240" w:lineRule="auto"/>
              <w:textAlignment w:val="baseline"/>
              <w:rPr>
                <w:rFonts w:ascii="Calibri" w:eastAsia="Times New Roman" w:hAnsi="Calibri" w:cs="Calibri"/>
                <w:bCs/>
                <w:lang w:eastAsia="en-GB"/>
              </w:rPr>
            </w:pPr>
            <w:r w:rsidRPr="009578A5">
              <w:rPr>
                <w:rFonts w:ascii="Calibri" w:eastAsia="Times New Roman" w:hAnsi="Calibri" w:cs="Calibri"/>
                <w:bCs/>
                <w:sz w:val="22"/>
                <w:lang w:eastAsia="en-GB"/>
              </w:rPr>
              <w:t xml:space="preserve">In Q3 we saw 5 new </w:t>
            </w:r>
            <w:r>
              <w:rPr>
                <w:rFonts w:ascii="Calibri" w:eastAsia="Times New Roman" w:hAnsi="Calibri" w:cs="Calibri"/>
                <w:bCs/>
                <w:sz w:val="22"/>
                <w:lang w:eastAsia="en-GB"/>
              </w:rPr>
              <w:t xml:space="preserve">cases in the </w:t>
            </w:r>
            <w:r w:rsidRPr="009578A5">
              <w:rPr>
                <w:rFonts w:ascii="Calibri" w:eastAsia="Times New Roman" w:hAnsi="Calibri" w:cs="Calibri"/>
                <w:bCs/>
                <w:sz w:val="22"/>
                <w:lang w:eastAsia="en-GB"/>
              </w:rPr>
              <w:t>health and wellbeing ca</w:t>
            </w:r>
            <w:r>
              <w:rPr>
                <w:rFonts w:ascii="Calibri" w:eastAsia="Times New Roman" w:hAnsi="Calibri" w:cs="Calibri"/>
                <w:bCs/>
                <w:sz w:val="22"/>
                <w:lang w:eastAsia="en-GB"/>
              </w:rPr>
              <w:t>tegory, w</w:t>
            </w:r>
            <w:r w:rsidRPr="009578A5">
              <w:rPr>
                <w:rFonts w:ascii="Calibri" w:eastAsia="Times New Roman" w:hAnsi="Calibri" w:cs="Calibri"/>
                <w:bCs/>
                <w:sz w:val="22"/>
                <w:lang w:eastAsia="en-GB"/>
              </w:rPr>
              <w:t xml:space="preserve">hich increased our overall cases </w:t>
            </w:r>
            <w:r w:rsidRPr="00217273">
              <w:rPr>
                <w:rFonts w:ascii="Calibri" w:eastAsia="Times New Roman" w:hAnsi="Calibri" w:cs="Calibri"/>
                <w:bCs/>
                <w:sz w:val="22"/>
                <w:lang w:eastAsia="en-GB"/>
              </w:rPr>
              <w:t>in this category</w:t>
            </w:r>
            <w:r>
              <w:rPr>
                <w:rFonts w:ascii="Calibri" w:eastAsia="Times New Roman" w:hAnsi="Calibri" w:cs="Calibri"/>
                <w:bCs/>
                <w:sz w:val="22"/>
                <w:lang w:eastAsia="en-GB"/>
              </w:rPr>
              <w:t xml:space="preserve"> </w:t>
            </w:r>
            <w:r w:rsidRPr="009578A5">
              <w:rPr>
                <w:rFonts w:ascii="Calibri" w:eastAsia="Times New Roman" w:hAnsi="Calibri" w:cs="Calibri"/>
                <w:bCs/>
                <w:sz w:val="22"/>
                <w:lang w:eastAsia="en-GB"/>
              </w:rPr>
              <w:t>to 12 (9</w:t>
            </w:r>
            <w:r w:rsidRPr="009578A5">
              <w:rPr>
                <w:rFonts w:ascii="Calibri" w:eastAsia="Times New Roman" w:hAnsi="Calibri" w:cs="Calibri"/>
                <w:sz w:val="22"/>
                <w:lang w:eastAsia="en-GB"/>
              </w:rPr>
              <w:t>↑3 cases).</w:t>
            </w:r>
          </w:p>
          <w:p w14:paraId="55AD7D0D" w14:textId="77777777" w:rsidR="00F73BF3" w:rsidRPr="009578A5" w:rsidRDefault="00F73BF3" w:rsidP="00F73BF3">
            <w:pPr>
              <w:pStyle w:val="ListParagraph"/>
              <w:spacing w:after="0" w:line="240" w:lineRule="auto"/>
              <w:textAlignment w:val="baseline"/>
              <w:rPr>
                <w:rFonts w:ascii="Calibri" w:eastAsia="Times New Roman" w:hAnsi="Calibri" w:cs="Calibri"/>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FFFFFF"/>
          </w:tcPr>
          <w:p w14:paraId="7BA33662" w14:textId="77777777" w:rsidR="00C20BBB" w:rsidRPr="006B15AA" w:rsidRDefault="00C20BBB" w:rsidP="00C20BBB">
            <w:pPr>
              <w:spacing w:after="0" w:line="240" w:lineRule="auto"/>
              <w:textAlignment w:val="baseline"/>
              <w:rPr>
                <w:rFonts w:ascii="Times New Roman" w:eastAsia="Times New Roman" w:hAnsi="Times New Roman" w:cs="Times New Roman"/>
                <w:lang w:eastAsia="en-GB"/>
              </w:rPr>
            </w:pPr>
          </w:p>
        </w:tc>
      </w:tr>
      <w:tr w:rsidR="00C20BBB" w:rsidRPr="00DD77BC" w14:paraId="465B7B7E" w14:textId="77777777" w:rsidTr="00C20BBB">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C000"/>
            <w:hideMark/>
          </w:tcPr>
          <w:p w14:paraId="6AFB77CE" w14:textId="77777777" w:rsidR="00C20BBB" w:rsidRDefault="00C20BBB" w:rsidP="00C20BBB">
            <w:p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t>Workforce Profile</w:t>
            </w:r>
          </w:p>
          <w:p w14:paraId="4C301983"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FFC000"/>
            <w:hideMark/>
          </w:tcPr>
          <w:p w14:paraId="6C4FA435" w14:textId="77777777" w:rsidR="00C20BBB" w:rsidRPr="00DD77BC" w:rsidRDefault="00C20BBB" w:rsidP="00C20BBB">
            <w:pPr>
              <w:spacing w:after="0" w:line="240" w:lineRule="auto"/>
              <w:textAlignment w:val="baseline"/>
              <w:rPr>
                <w:rFonts w:ascii="Times New Roman" w:eastAsia="Times New Roman" w:hAnsi="Times New Roman" w:cs="Times New Roman"/>
                <w:b/>
                <w:lang w:eastAsia="en-GB"/>
              </w:rPr>
            </w:pPr>
            <w:r w:rsidRPr="006B15AA">
              <w:rPr>
                <w:rFonts w:ascii="Calibri" w:eastAsia="Times New Roman" w:hAnsi="Calibri" w:cs="Calibri"/>
                <w:sz w:val="22"/>
                <w:lang w:eastAsia="en-GB"/>
              </w:rPr>
              <w:t>  </w:t>
            </w:r>
            <w:r w:rsidRPr="00DD77BC">
              <w:rPr>
                <w:rFonts w:ascii="Calibri" w:eastAsia="Times New Roman" w:hAnsi="Calibri" w:cs="Calibri"/>
                <w:b/>
                <w:sz w:val="22"/>
                <w:lang w:eastAsia="en-GB"/>
              </w:rPr>
              <w:t>Amber</w:t>
            </w:r>
          </w:p>
        </w:tc>
      </w:tr>
      <w:tr w:rsidR="00C20BBB" w:rsidRPr="001656F0" w14:paraId="4E7C4C27" w14:textId="77777777" w:rsidTr="00C20BBB">
        <w:tblPrEx>
          <w:tblCellMar>
            <w:left w:w="108" w:type="dxa"/>
            <w:right w:w="108" w:type="dxa"/>
          </w:tblCellMar>
        </w:tblPrEx>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FFFF"/>
            <w:hideMark/>
          </w:tcPr>
          <w:p w14:paraId="3E9D5C87" w14:textId="77777777" w:rsidR="00C20BBB" w:rsidRDefault="00C20BBB" w:rsidP="00C20BBB">
            <w:pPr>
              <w:spacing w:after="0" w:line="240" w:lineRule="auto"/>
              <w:textAlignment w:val="baseline"/>
              <w:rPr>
                <w:rFonts w:ascii="Calibri" w:eastAsia="Times New Roman" w:hAnsi="Calibri" w:cs="Calibri"/>
                <w:b/>
                <w:bCs/>
                <w:lang w:eastAsia="en-GB"/>
              </w:rPr>
            </w:pPr>
            <w:r>
              <w:rPr>
                <w:rFonts w:ascii="Calibri" w:eastAsia="Times New Roman" w:hAnsi="Calibri" w:cs="Calibri"/>
                <w:b/>
                <w:bCs/>
                <w:sz w:val="22"/>
                <w:lang w:eastAsia="en-GB"/>
              </w:rPr>
              <w:t>Key Message:</w:t>
            </w:r>
          </w:p>
          <w:p w14:paraId="35F37305" w14:textId="77777777" w:rsidR="00C20BBB" w:rsidRPr="00ED098B" w:rsidRDefault="00C20BBB" w:rsidP="00C20BBB">
            <w:pPr>
              <w:pStyle w:val="ListParagraph"/>
              <w:numPr>
                <w:ilvl w:val="0"/>
                <w:numId w:val="26"/>
              </w:num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t xml:space="preserve">Turnover </w:t>
            </w:r>
            <w:r>
              <w:rPr>
                <w:rFonts w:ascii="Calibri" w:eastAsia="Times New Roman" w:hAnsi="Calibri" w:cs="Calibri"/>
                <w:b/>
                <w:bCs/>
                <w:sz w:val="22"/>
                <w:lang w:eastAsia="en-GB"/>
              </w:rPr>
              <w:t>has decreased;</w:t>
            </w:r>
            <w:r w:rsidRPr="006B15AA">
              <w:rPr>
                <w:rFonts w:ascii="Calibri" w:eastAsia="Times New Roman" w:hAnsi="Calibri" w:cs="Calibri"/>
                <w:b/>
                <w:bCs/>
                <w:sz w:val="22"/>
                <w:lang w:eastAsia="en-GB"/>
              </w:rPr>
              <w:t xml:space="preserve"> headcount is increasing</w:t>
            </w:r>
            <w:r>
              <w:rPr>
                <w:rFonts w:ascii="Calibri" w:eastAsia="Times New Roman" w:hAnsi="Calibri" w:cs="Calibri"/>
                <w:b/>
                <w:bCs/>
                <w:sz w:val="22"/>
                <w:lang w:eastAsia="en-GB"/>
              </w:rPr>
              <w:t>;</w:t>
            </w:r>
            <w:r w:rsidRPr="006B15AA">
              <w:rPr>
                <w:rFonts w:ascii="Calibri" w:eastAsia="Times New Roman" w:hAnsi="Calibri" w:cs="Calibri"/>
                <w:b/>
                <w:bCs/>
                <w:sz w:val="22"/>
                <w:lang w:eastAsia="en-GB"/>
              </w:rPr>
              <w:t xml:space="preserve"> the number of recruitment exercises</w:t>
            </w:r>
            <w:r>
              <w:rPr>
                <w:rFonts w:ascii="Calibri" w:eastAsia="Times New Roman" w:hAnsi="Calibri" w:cs="Calibri"/>
                <w:b/>
                <w:bCs/>
                <w:sz w:val="22"/>
                <w:lang w:eastAsia="en-GB"/>
              </w:rPr>
              <w:t xml:space="preserve"> are</w:t>
            </w:r>
            <w:r w:rsidRPr="006B15AA">
              <w:rPr>
                <w:rFonts w:ascii="Calibri" w:eastAsia="Times New Roman" w:hAnsi="Calibri" w:cs="Calibri"/>
                <w:b/>
                <w:bCs/>
                <w:sz w:val="22"/>
                <w:lang w:eastAsia="en-GB"/>
              </w:rPr>
              <w:t xml:space="preserve"> reducing; with no change to the retirement profile.</w:t>
            </w:r>
          </w:p>
          <w:p w14:paraId="579067B3" w14:textId="77777777" w:rsidR="00C20BBB" w:rsidRDefault="00C20BBB" w:rsidP="00C20BBB">
            <w:pPr>
              <w:spacing w:after="0" w:line="240" w:lineRule="auto"/>
              <w:textAlignment w:val="baseline"/>
              <w:rPr>
                <w:rFonts w:ascii="Calibri" w:eastAsia="Times New Roman" w:hAnsi="Calibri" w:cs="Calibri"/>
                <w:b/>
                <w:bCs/>
                <w:lang w:eastAsia="en-GB"/>
              </w:rPr>
            </w:pPr>
          </w:p>
          <w:p w14:paraId="59E7128C"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b/>
                <w:bCs/>
                <w:sz w:val="22"/>
                <w:lang w:eastAsia="en-GB"/>
              </w:rPr>
              <w:t>Turnover – target: increase maintain in the range of 8-10% </w:t>
            </w:r>
          </w:p>
          <w:p w14:paraId="10BF5A81" w14:textId="47FE9A95" w:rsidR="00C20BBB" w:rsidRPr="006B15AA" w:rsidRDefault="00C20BBB" w:rsidP="00C20BBB">
            <w:pPr>
              <w:pStyle w:val="ListParagraph"/>
              <w:numPr>
                <w:ilvl w:val="0"/>
                <w:numId w:val="20"/>
              </w:numPr>
              <w:spacing w:after="0" w:line="240" w:lineRule="auto"/>
              <w:textAlignment w:val="baseline"/>
              <w:rPr>
                <w:rFonts w:ascii="Times New Roman" w:eastAsia="Times New Roman" w:hAnsi="Times New Roman" w:cs="Times New Roman"/>
                <w:bCs/>
                <w:lang w:eastAsia="en-GB"/>
              </w:rPr>
            </w:pPr>
            <w:r w:rsidRPr="006B15AA">
              <w:rPr>
                <w:rFonts w:ascii="Calibri" w:eastAsia="Times New Roman" w:hAnsi="Calibri" w:cs="Calibri"/>
                <w:bCs/>
                <w:sz w:val="22"/>
                <w:lang w:eastAsia="en-GB"/>
              </w:rPr>
              <w:t>Q</w:t>
            </w:r>
            <w:r>
              <w:rPr>
                <w:rFonts w:ascii="Calibri" w:eastAsia="Times New Roman" w:hAnsi="Calibri" w:cs="Calibri"/>
                <w:bCs/>
                <w:sz w:val="22"/>
                <w:lang w:eastAsia="en-GB"/>
              </w:rPr>
              <w:t>3</w:t>
            </w:r>
            <w:r w:rsidRPr="006B15AA">
              <w:rPr>
                <w:rFonts w:ascii="Calibri" w:eastAsia="Times New Roman" w:hAnsi="Calibri" w:cs="Calibri"/>
                <w:bCs/>
                <w:sz w:val="22"/>
                <w:lang w:eastAsia="en-GB"/>
              </w:rPr>
              <w:t xml:space="preserve">: average turnover is </w:t>
            </w:r>
            <w:r>
              <w:rPr>
                <w:rFonts w:ascii="Calibri" w:eastAsia="Times New Roman" w:hAnsi="Calibri" w:cs="Calibri"/>
                <w:bCs/>
                <w:sz w:val="22"/>
                <w:lang w:eastAsia="en-GB"/>
              </w:rPr>
              <w:t>10</w:t>
            </w:r>
            <w:r w:rsidRPr="006B15AA">
              <w:rPr>
                <w:rFonts w:ascii="Calibri" w:eastAsia="Times New Roman" w:hAnsi="Calibri" w:cs="Calibri"/>
                <w:bCs/>
                <w:sz w:val="22"/>
                <w:lang w:eastAsia="en-GB"/>
              </w:rPr>
              <w:t xml:space="preserve">% (over last 12 months), with </w:t>
            </w:r>
            <w:r w:rsidRPr="00841E2D">
              <w:rPr>
                <w:rFonts w:ascii="Calibri" w:eastAsia="Times New Roman" w:hAnsi="Calibri" w:cs="Calibri"/>
                <w:bCs/>
                <w:sz w:val="22"/>
                <w:lang w:eastAsia="en-GB"/>
              </w:rPr>
              <w:t>1</w:t>
            </w:r>
            <w:r>
              <w:rPr>
                <w:rFonts w:ascii="Calibri" w:eastAsia="Times New Roman" w:hAnsi="Calibri" w:cs="Calibri"/>
                <w:bCs/>
                <w:sz w:val="22"/>
                <w:lang w:eastAsia="en-GB"/>
              </w:rPr>
              <w:t>5</w:t>
            </w:r>
            <w:r w:rsidRPr="00841E2D">
              <w:rPr>
                <w:rFonts w:ascii="Calibri" w:eastAsia="Times New Roman" w:hAnsi="Calibri" w:cs="Calibri"/>
                <w:bCs/>
                <w:sz w:val="22"/>
                <w:lang w:eastAsia="en-GB"/>
              </w:rPr>
              <w:t xml:space="preserve"> l</w:t>
            </w:r>
            <w:r w:rsidRPr="006B15AA">
              <w:rPr>
                <w:rFonts w:ascii="Calibri" w:eastAsia="Times New Roman" w:hAnsi="Calibri" w:cs="Calibri"/>
                <w:bCs/>
                <w:sz w:val="22"/>
                <w:lang w:eastAsia="en-GB"/>
              </w:rPr>
              <w:t>eavers in Q</w:t>
            </w:r>
            <w:r>
              <w:rPr>
                <w:rFonts w:ascii="Calibri" w:eastAsia="Times New Roman" w:hAnsi="Calibri" w:cs="Calibri"/>
                <w:bCs/>
                <w:sz w:val="22"/>
                <w:lang w:eastAsia="en-GB"/>
              </w:rPr>
              <w:t xml:space="preserve">3. </w:t>
            </w:r>
          </w:p>
          <w:p w14:paraId="17FFD1F2" w14:textId="77777777" w:rsidR="00C20BBB" w:rsidRPr="006B15AA" w:rsidRDefault="00C20BBB" w:rsidP="00C20BBB">
            <w:pPr>
              <w:pStyle w:val="ListParagraph"/>
              <w:numPr>
                <w:ilvl w:val="0"/>
                <w:numId w:val="20"/>
              </w:numPr>
              <w:spacing w:after="0" w:line="240" w:lineRule="auto"/>
              <w:textAlignment w:val="baseline"/>
              <w:rPr>
                <w:rFonts w:ascii="Times New Roman" w:eastAsia="Times New Roman" w:hAnsi="Times New Roman" w:cs="Times New Roman"/>
                <w:bCs/>
                <w:lang w:eastAsia="en-GB"/>
              </w:rPr>
            </w:pPr>
            <w:r>
              <w:rPr>
                <w:rFonts w:ascii="Calibri" w:eastAsia="Times New Roman" w:hAnsi="Calibri" w:cs="Calibri"/>
                <w:bCs/>
                <w:sz w:val="22"/>
                <w:lang w:eastAsia="en-GB"/>
              </w:rPr>
              <w:t>31</w:t>
            </w:r>
            <w:r w:rsidRPr="006B15AA">
              <w:rPr>
                <w:rFonts w:ascii="Calibri" w:eastAsia="Times New Roman" w:hAnsi="Calibri" w:cs="Calibri"/>
                <w:bCs/>
                <w:sz w:val="22"/>
                <w:lang w:eastAsia="en-GB"/>
              </w:rPr>
              <w:t xml:space="preserve">% </w:t>
            </w:r>
            <w:r>
              <w:rPr>
                <w:rFonts w:ascii="Calibri" w:eastAsia="Times New Roman" w:hAnsi="Calibri" w:cs="Calibri"/>
                <w:bCs/>
                <w:sz w:val="22"/>
                <w:lang w:eastAsia="en-GB"/>
              </w:rPr>
              <w:t xml:space="preserve">of leavers </w:t>
            </w:r>
            <w:r w:rsidRPr="006B15AA">
              <w:rPr>
                <w:rFonts w:ascii="Calibri" w:eastAsia="Times New Roman" w:hAnsi="Calibri" w:cs="Calibri"/>
                <w:bCs/>
                <w:sz w:val="22"/>
                <w:lang w:eastAsia="en-GB"/>
              </w:rPr>
              <w:t xml:space="preserve">left for personal reasons, </w:t>
            </w:r>
            <w:r>
              <w:rPr>
                <w:rFonts w:ascii="Calibri" w:eastAsia="Times New Roman" w:hAnsi="Calibri" w:cs="Calibri"/>
                <w:bCs/>
                <w:sz w:val="22"/>
                <w:lang w:eastAsia="en-GB"/>
              </w:rPr>
              <w:t>27</w:t>
            </w:r>
            <w:r w:rsidRPr="006B15AA">
              <w:rPr>
                <w:rFonts w:ascii="Calibri" w:eastAsia="Times New Roman" w:hAnsi="Calibri" w:cs="Calibri"/>
                <w:bCs/>
                <w:sz w:val="22"/>
                <w:lang w:eastAsia="en-GB"/>
              </w:rPr>
              <w:t xml:space="preserve">% were colleagues leaving for alternative employment and </w:t>
            </w:r>
            <w:r>
              <w:rPr>
                <w:rFonts w:ascii="Calibri" w:eastAsia="Times New Roman" w:hAnsi="Calibri" w:cs="Calibri"/>
                <w:bCs/>
                <w:sz w:val="22"/>
                <w:lang w:eastAsia="en-GB"/>
              </w:rPr>
              <w:t>12</w:t>
            </w:r>
            <w:r w:rsidRPr="006B15AA">
              <w:rPr>
                <w:rFonts w:ascii="Calibri" w:eastAsia="Times New Roman" w:hAnsi="Calibri" w:cs="Calibri"/>
                <w:bCs/>
                <w:sz w:val="22"/>
                <w:lang w:eastAsia="en-GB"/>
              </w:rPr>
              <w:t xml:space="preserve">% of these were retirements/early retirements. </w:t>
            </w:r>
          </w:p>
          <w:p w14:paraId="4C25E48A" w14:textId="77777777" w:rsidR="00C20BBB" w:rsidRPr="006B15AA" w:rsidRDefault="00C20BBB" w:rsidP="00C20BBB">
            <w:pPr>
              <w:pStyle w:val="ListParagraph"/>
              <w:numPr>
                <w:ilvl w:val="0"/>
                <w:numId w:val="20"/>
              </w:numPr>
              <w:spacing w:after="0" w:line="240" w:lineRule="auto"/>
              <w:textAlignment w:val="baseline"/>
              <w:rPr>
                <w:rFonts w:ascii="Times New Roman" w:eastAsia="Times New Roman" w:hAnsi="Times New Roman" w:cs="Times New Roman"/>
                <w:bCs/>
                <w:lang w:eastAsia="en-GB"/>
              </w:rPr>
            </w:pPr>
            <w:r w:rsidRPr="006B15AA">
              <w:rPr>
                <w:rFonts w:ascii="Calibri" w:eastAsia="Times New Roman" w:hAnsi="Calibri" w:cs="Calibri"/>
                <w:bCs/>
                <w:sz w:val="22"/>
                <w:lang w:eastAsia="en-GB"/>
              </w:rPr>
              <w:t xml:space="preserve">The graph below shows </w:t>
            </w:r>
            <w:r>
              <w:rPr>
                <w:rFonts w:ascii="Calibri" w:eastAsia="Times New Roman" w:hAnsi="Calibri" w:cs="Calibri"/>
                <w:bCs/>
                <w:sz w:val="22"/>
                <w:lang w:eastAsia="en-GB"/>
              </w:rPr>
              <w:t>a reduction in turnover this quarter, however it is too soon to see if this will be a continued trend in Q4 due to fixed term contracts coming to an end</w:t>
            </w:r>
            <w:r w:rsidRPr="006B15AA">
              <w:rPr>
                <w:rFonts w:ascii="Calibri" w:eastAsia="Times New Roman" w:hAnsi="Calibri" w:cs="Calibri"/>
                <w:bCs/>
                <w:sz w:val="22"/>
                <w:lang w:eastAsia="en-GB"/>
              </w:rPr>
              <w:t xml:space="preserve">. </w:t>
            </w:r>
          </w:p>
          <w:p w14:paraId="64BD61BD" w14:textId="77777777" w:rsidR="00C20BBB" w:rsidRDefault="00C20BBB" w:rsidP="00C20BBB">
            <w:p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lastRenderedPageBreak/>
              <w:t> </w:t>
            </w:r>
            <w:r>
              <w:rPr>
                <w:rFonts w:ascii="Calibri" w:eastAsia="Times New Roman" w:hAnsi="Calibri" w:cs="Calibri"/>
                <w:b/>
                <w:bCs/>
                <w:noProof/>
                <w:sz w:val="22"/>
                <w:lang w:eastAsia="en-GB"/>
              </w:rPr>
              <w:drawing>
                <wp:inline distT="0" distB="0" distL="0" distR="0" wp14:anchorId="1F0CF24F" wp14:editId="4EB872AD">
                  <wp:extent cx="5657850" cy="2816644"/>
                  <wp:effectExtent l="0" t="0" r="0" b="3175"/>
                  <wp:docPr id="2003889821"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89821" name="Picture 1" descr="A graph with a line and a line&#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88576" cy="2831940"/>
                          </a:xfrm>
                          <a:prstGeom prst="rect">
                            <a:avLst/>
                          </a:prstGeom>
                          <a:noFill/>
                        </pic:spPr>
                      </pic:pic>
                    </a:graphicData>
                  </a:graphic>
                </wp:inline>
              </w:drawing>
            </w:r>
          </w:p>
          <w:p w14:paraId="505B872C" w14:textId="77777777" w:rsidR="00C20BBB" w:rsidRDefault="00C20BBB" w:rsidP="00C20BBB">
            <w:pPr>
              <w:spacing w:after="0" w:line="240" w:lineRule="auto"/>
              <w:textAlignment w:val="baseline"/>
              <w:rPr>
                <w:rFonts w:ascii="Calibri" w:eastAsia="Times New Roman" w:hAnsi="Calibri" w:cs="Calibri"/>
                <w:bCs/>
                <w:sz w:val="22"/>
                <w:lang w:eastAsia="en-GB"/>
              </w:rPr>
            </w:pPr>
            <w:r w:rsidRPr="00931C84">
              <w:rPr>
                <w:rFonts w:ascii="Calibri" w:eastAsia="Times New Roman" w:hAnsi="Calibri" w:cs="Calibri"/>
                <w:bCs/>
                <w:sz w:val="22"/>
                <w:lang w:eastAsia="en-GB"/>
              </w:rPr>
              <w:t>(This graph shows the employee turnover)</w:t>
            </w:r>
          </w:p>
          <w:p w14:paraId="0AEC733B" w14:textId="77777777" w:rsidR="00F73BF3" w:rsidRDefault="00F73BF3" w:rsidP="00C20BBB">
            <w:pPr>
              <w:spacing w:after="0" w:line="240" w:lineRule="auto"/>
              <w:textAlignment w:val="baseline"/>
              <w:rPr>
                <w:rFonts w:ascii="Calibri" w:eastAsia="Times New Roman" w:hAnsi="Calibri" w:cs="Calibri"/>
                <w:bCs/>
                <w:lang w:eastAsia="en-GB"/>
              </w:rPr>
            </w:pPr>
          </w:p>
          <w:p w14:paraId="625D71F5" w14:textId="3B121929" w:rsidR="00C20BBB" w:rsidRPr="006B15AA" w:rsidRDefault="00C20BBB" w:rsidP="00C20BBB">
            <w:pPr>
              <w:pStyle w:val="ListParagraph"/>
              <w:numPr>
                <w:ilvl w:val="0"/>
                <w:numId w:val="23"/>
              </w:numPr>
              <w:spacing w:after="0" w:line="240" w:lineRule="auto"/>
              <w:textAlignment w:val="baseline"/>
              <w:rPr>
                <w:rFonts w:ascii="Times New Roman" w:eastAsia="Times New Roman" w:hAnsi="Times New Roman" w:cs="Times New Roman"/>
                <w:bCs/>
                <w:lang w:eastAsia="en-GB"/>
              </w:rPr>
            </w:pPr>
            <w:r w:rsidRPr="006B15AA">
              <w:rPr>
                <w:rFonts w:ascii="Calibri" w:eastAsia="Times New Roman" w:hAnsi="Calibri" w:cs="Calibri"/>
                <w:bCs/>
                <w:sz w:val="22"/>
                <w:lang w:eastAsia="en-GB"/>
              </w:rPr>
              <w:t>We have seen a</w:t>
            </w:r>
            <w:r>
              <w:rPr>
                <w:rFonts w:ascii="Calibri" w:eastAsia="Times New Roman" w:hAnsi="Calibri" w:cs="Calibri"/>
                <w:bCs/>
                <w:sz w:val="22"/>
                <w:lang w:eastAsia="en-GB"/>
              </w:rPr>
              <w:t xml:space="preserve"> 50%</w:t>
            </w:r>
            <w:r w:rsidRPr="006B15AA">
              <w:rPr>
                <w:rFonts w:ascii="Calibri" w:eastAsia="Times New Roman" w:hAnsi="Calibri" w:cs="Calibri"/>
                <w:bCs/>
                <w:sz w:val="22"/>
                <w:lang w:eastAsia="en-GB"/>
              </w:rPr>
              <w:t xml:space="preserve"> return rate for exit questionnaires </w:t>
            </w:r>
            <w:r>
              <w:rPr>
                <w:rFonts w:ascii="Calibri" w:eastAsia="Times New Roman" w:hAnsi="Calibri" w:cs="Calibri"/>
                <w:bCs/>
                <w:sz w:val="22"/>
                <w:lang w:eastAsia="en-GB"/>
              </w:rPr>
              <w:t>in</w:t>
            </w:r>
            <w:r w:rsidRPr="006B15AA">
              <w:rPr>
                <w:rFonts w:ascii="Calibri" w:eastAsia="Times New Roman" w:hAnsi="Calibri" w:cs="Calibri"/>
                <w:bCs/>
                <w:sz w:val="22"/>
                <w:lang w:eastAsia="en-GB"/>
              </w:rPr>
              <w:t xml:space="preserve"> </w:t>
            </w:r>
            <w:r>
              <w:rPr>
                <w:rFonts w:ascii="Calibri" w:eastAsia="Times New Roman" w:hAnsi="Calibri" w:cs="Calibri"/>
                <w:bCs/>
                <w:sz w:val="22"/>
                <w:lang w:eastAsia="en-GB"/>
              </w:rPr>
              <w:t xml:space="preserve">Q3 </w:t>
            </w:r>
            <w:r w:rsidRPr="006B15AA">
              <w:rPr>
                <w:rFonts w:ascii="Calibri" w:eastAsia="Times New Roman" w:hAnsi="Calibri" w:cs="Calibri"/>
                <w:bCs/>
                <w:sz w:val="22"/>
                <w:lang w:eastAsia="en-GB"/>
              </w:rPr>
              <w:t>(</w:t>
            </w:r>
            <w:r>
              <w:rPr>
                <w:rFonts w:ascii="Calibri" w:eastAsia="Times New Roman" w:hAnsi="Calibri" w:cs="Calibri"/>
                <w:bCs/>
                <w:sz w:val="22"/>
                <w:lang w:eastAsia="en-GB"/>
              </w:rPr>
              <w:t>7</w:t>
            </w:r>
            <w:r w:rsidRPr="006B15AA">
              <w:rPr>
                <w:rFonts w:ascii="Calibri" w:eastAsia="Times New Roman" w:hAnsi="Calibri" w:cs="Calibri"/>
                <w:bCs/>
                <w:sz w:val="22"/>
                <w:lang w:eastAsia="en-GB"/>
              </w:rPr>
              <w:t xml:space="preserve"> in total)</w:t>
            </w:r>
            <w:r>
              <w:rPr>
                <w:rFonts w:ascii="Calibri" w:eastAsia="Times New Roman" w:hAnsi="Calibri" w:cs="Calibri"/>
                <w:bCs/>
                <w:sz w:val="22"/>
                <w:lang w:eastAsia="en-GB"/>
              </w:rPr>
              <w:t>, (</w:t>
            </w:r>
            <w:r w:rsidRPr="006B15AA">
              <w:rPr>
                <w:rFonts w:ascii="Calibri" w:eastAsia="Times New Roman" w:hAnsi="Calibri" w:cs="Calibri"/>
                <w:bCs/>
                <w:sz w:val="22"/>
                <w:lang w:eastAsia="en-GB"/>
              </w:rPr>
              <w:t>Q</w:t>
            </w:r>
            <w:r>
              <w:rPr>
                <w:rFonts w:ascii="Calibri" w:eastAsia="Times New Roman" w:hAnsi="Calibri" w:cs="Calibri"/>
                <w:bCs/>
                <w:sz w:val="22"/>
                <w:lang w:eastAsia="en-GB"/>
              </w:rPr>
              <w:t>2 91</w:t>
            </w:r>
            <w:r w:rsidRPr="006B15AA">
              <w:rPr>
                <w:rFonts w:ascii="Calibri" w:eastAsia="Times New Roman" w:hAnsi="Calibri" w:cs="Calibri"/>
                <w:bCs/>
                <w:sz w:val="22"/>
                <w:lang w:eastAsia="en-GB"/>
              </w:rPr>
              <w:t>%</w:t>
            </w:r>
            <w:r>
              <w:rPr>
                <w:rFonts w:ascii="Calibri" w:eastAsia="Times New Roman" w:hAnsi="Calibri" w:cs="Calibri"/>
                <w:bCs/>
                <w:sz w:val="22"/>
                <w:lang w:eastAsia="en-GB"/>
              </w:rPr>
              <w:t xml:space="preserve">; </w:t>
            </w:r>
            <w:r>
              <w:rPr>
                <w:rFonts w:ascii="Calibri" w:eastAsia="Times New Roman" w:hAnsi="Calibri" w:cs="Calibri"/>
                <w:sz w:val="22"/>
                <w:lang w:eastAsia="en-GB"/>
              </w:rPr>
              <w:t>↓</w:t>
            </w:r>
            <w:r>
              <w:rPr>
                <w:rFonts w:ascii="Calibri" w:eastAsia="Times New Roman" w:hAnsi="Calibri" w:cs="Calibri"/>
                <w:bCs/>
                <w:sz w:val="22"/>
                <w:lang w:eastAsia="en-GB"/>
              </w:rPr>
              <w:t>41%)</w:t>
            </w:r>
            <w:r w:rsidRPr="006B15AA">
              <w:rPr>
                <w:rFonts w:ascii="Calibri" w:eastAsia="Times New Roman" w:hAnsi="Calibri" w:cs="Calibri"/>
                <w:bCs/>
                <w:sz w:val="22"/>
                <w:lang w:eastAsia="en-GB"/>
              </w:rPr>
              <w:t>. There are no significant issues emerging from the feedback so far. </w:t>
            </w:r>
          </w:p>
          <w:p w14:paraId="3F7FFC4D" w14:textId="6EC4D66F" w:rsidR="00F73BF3" w:rsidRDefault="00C20BBB" w:rsidP="00C20BBB">
            <w:pPr>
              <w:pStyle w:val="ListParagraph"/>
              <w:numPr>
                <w:ilvl w:val="0"/>
                <w:numId w:val="24"/>
              </w:numPr>
              <w:spacing w:after="0" w:line="240" w:lineRule="auto"/>
              <w:textAlignment w:val="baseline"/>
              <w:rPr>
                <w:rFonts w:ascii="Calibri" w:eastAsia="Times New Roman" w:hAnsi="Calibri" w:cs="Calibri"/>
                <w:bCs/>
                <w:lang w:eastAsia="en-GB"/>
              </w:rPr>
            </w:pPr>
            <w:r>
              <w:rPr>
                <w:rFonts w:ascii="Calibri" w:eastAsia="Times New Roman" w:hAnsi="Calibri" w:cs="Calibri"/>
                <w:bCs/>
                <w:sz w:val="22"/>
                <w:lang w:eastAsia="en-GB"/>
              </w:rPr>
              <w:t xml:space="preserve">In 2022/23 we saw 31% </w:t>
            </w:r>
            <w:r w:rsidRPr="006B15AA">
              <w:rPr>
                <w:rFonts w:ascii="Calibri" w:eastAsia="Times New Roman" w:hAnsi="Calibri" w:cs="Calibri"/>
                <w:bCs/>
                <w:sz w:val="22"/>
                <w:lang w:eastAsia="en-GB"/>
              </w:rPr>
              <w:t xml:space="preserve">of </w:t>
            </w:r>
            <w:r w:rsidR="009E5426">
              <w:rPr>
                <w:rFonts w:ascii="Calibri" w:eastAsia="Times New Roman" w:hAnsi="Calibri" w:cs="Calibri"/>
                <w:bCs/>
                <w:sz w:val="22"/>
                <w:lang w:eastAsia="en-GB"/>
              </w:rPr>
              <w:t>leavers</w:t>
            </w:r>
            <w:r w:rsidRPr="006B15AA">
              <w:rPr>
                <w:rFonts w:ascii="Calibri" w:eastAsia="Times New Roman" w:hAnsi="Calibri" w:cs="Calibri"/>
                <w:bCs/>
                <w:sz w:val="22"/>
                <w:lang w:eastAsia="en-GB"/>
              </w:rPr>
              <w:t xml:space="preserve"> go to alternative employment. </w:t>
            </w:r>
            <w:r>
              <w:rPr>
                <w:rFonts w:ascii="Calibri" w:eastAsia="Times New Roman" w:hAnsi="Calibri" w:cs="Calibri"/>
                <w:bCs/>
                <w:sz w:val="22"/>
                <w:lang w:eastAsia="en-GB"/>
              </w:rPr>
              <w:t>The year-to-date figure for 2023/24</w:t>
            </w:r>
            <w:r w:rsidRPr="006B15AA">
              <w:rPr>
                <w:rFonts w:ascii="Calibri" w:eastAsia="Times New Roman" w:hAnsi="Calibri" w:cs="Calibri"/>
                <w:bCs/>
                <w:sz w:val="22"/>
                <w:lang w:eastAsia="en-GB"/>
              </w:rPr>
              <w:t xml:space="preserve"> is at </w:t>
            </w:r>
            <w:r>
              <w:rPr>
                <w:rFonts w:ascii="Calibri" w:eastAsia="Times New Roman" w:hAnsi="Calibri" w:cs="Calibri"/>
                <w:bCs/>
                <w:sz w:val="22"/>
                <w:lang w:eastAsia="en-GB"/>
              </w:rPr>
              <w:t>27</w:t>
            </w:r>
            <w:r w:rsidRPr="006B15AA">
              <w:rPr>
                <w:rFonts w:ascii="Calibri" w:eastAsia="Times New Roman" w:hAnsi="Calibri" w:cs="Calibri"/>
                <w:bCs/>
                <w:sz w:val="22"/>
                <w:lang w:eastAsia="en-GB"/>
              </w:rPr>
              <w:t>%</w:t>
            </w:r>
            <w:r>
              <w:rPr>
                <w:rFonts w:ascii="Calibri" w:eastAsia="Times New Roman" w:hAnsi="Calibri" w:cs="Calibri"/>
                <w:bCs/>
                <w:sz w:val="22"/>
                <w:lang w:eastAsia="en-GB"/>
              </w:rPr>
              <w:t>, a reduction from 2022/23 of 4%.</w:t>
            </w:r>
          </w:p>
          <w:p w14:paraId="4B38F1C7" w14:textId="77777777" w:rsidR="00F73BF3" w:rsidRPr="00F73BF3" w:rsidRDefault="00C20BBB" w:rsidP="00F73BF3">
            <w:pPr>
              <w:pStyle w:val="ListParagraph"/>
              <w:numPr>
                <w:ilvl w:val="0"/>
                <w:numId w:val="24"/>
              </w:numPr>
              <w:spacing w:after="0" w:line="240" w:lineRule="auto"/>
              <w:textAlignment w:val="baseline"/>
              <w:rPr>
                <w:rFonts w:ascii="Calibri" w:eastAsia="Times New Roman" w:hAnsi="Calibri" w:cs="Calibri"/>
                <w:bCs/>
                <w:lang w:eastAsia="en-GB"/>
              </w:rPr>
            </w:pPr>
            <w:r w:rsidRPr="00F73BF3">
              <w:rPr>
                <w:rFonts w:ascii="Calibri" w:eastAsia="Times New Roman" w:hAnsi="Calibri" w:cs="Calibri"/>
                <w:bCs/>
                <w:sz w:val="22"/>
                <w:lang w:eastAsia="en-GB"/>
              </w:rPr>
              <w:t xml:space="preserve">Leavers by grade – To date in 2023/24 most of our leavers come from B (23) and D (13) grades (out of a total of 51 leavers to date) </w:t>
            </w:r>
            <w:r w:rsidR="00B82380" w:rsidRPr="00F73BF3">
              <w:rPr>
                <w:rFonts w:ascii="Calibri" w:eastAsia="Times New Roman" w:hAnsi="Calibri" w:cs="Calibri"/>
                <w:bCs/>
                <w:sz w:val="22"/>
                <w:lang w:eastAsia="en-GB"/>
              </w:rPr>
              <w:t xml:space="preserve">and </w:t>
            </w:r>
            <w:r w:rsidRPr="00F73BF3">
              <w:rPr>
                <w:rFonts w:ascii="Calibri" w:eastAsia="Times New Roman" w:hAnsi="Calibri" w:cs="Calibri"/>
                <w:bCs/>
                <w:sz w:val="22"/>
                <w:lang w:eastAsia="en-GB"/>
              </w:rPr>
              <w:t>this is consistent with the same period in 2022/23.</w:t>
            </w:r>
          </w:p>
          <w:p w14:paraId="3F626E2B" w14:textId="5D06069F" w:rsidR="00C20BBB" w:rsidRPr="00F73BF3" w:rsidRDefault="00C20BBB" w:rsidP="00F73BF3">
            <w:pPr>
              <w:pStyle w:val="ListParagraph"/>
              <w:spacing w:after="0" w:line="240" w:lineRule="auto"/>
              <w:ind w:left="360"/>
              <w:textAlignment w:val="baseline"/>
              <w:rPr>
                <w:rFonts w:ascii="Calibri" w:eastAsia="Times New Roman" w:hAnsi="Calibri" w:cs="Calibri"/>
                <w:bCs/>
                <w:lang w:eastAsia="en-GB"/>
              </w:rPr>
            </w:pPr>
            <w:r w:rsidRPr="00F73BF3">
              <w:rPr>
                <w:rFonts w:ascii="Calibri" w:eastAsia="Times New Roman" w:hAnsi="Calibri" w:cs="Calibri"/>
                <w:bCs/>
                <w:sz w:val="22"/>
                <w:lang w:eastAsia="en-GB"/>
              </w:rPr>
              <w:t xml:space="preserve"> </w:t>
            </w:r>
          </w:p>
        </w:tc>
        <w:tc>
          <w:tcPr>
            <w:tcW w:w="836" w:type="dxa"/>
            <w:tcBorders>
              <w:top w:val="single" w:sz="6" w:space="0" w:color="BFBFBF"/>
              <w:left w:val="single" w:sz="6" w:space="0" w:color="BFBFBF"/>
              <w:bottom w:val="single" w:sz="6" w:space="0" w:color="BFBFBF"/>
              <w:right w:val="single" w:sz="6" w:space="0" w:color="BFBFBF"/>
            </w:tcBorders>
            <w:shd w:val="clear" w:color="auto" w:fill="FFFFFF"/>
            <w:hideMark/>
          </w:tcPr>
          <w:p w14:paraId="3E2938FE" w14:textId="77777777" w:rsidR="00C20BBB" w:rsidRPr="001656F0" w:rsidRDefault="00C20BBB" w:rsidP="00C20BBB">
            <w:pPr>
              <w:spacing w:after="0" w:line="240" w:lineRule="auto"/>
              <w:textAlignment w:val="baseline"/>
              <w:rPr>
                <w:rFonts w:ascii="Times New Roman" w:eastAsia="Times New Roman" w:hAnsi="Times New Roman" w:cs="Times New Roman"/>
                <w:b/>
                <w:bCs/>
                <w:lang w:eastAsia="en-GB"/>
              </w:rPr>
            </w:pPr>
          </w:p>
        </w:tc>
      </w:tr>
      <w:tr w:rsidR="00C20BBB" w:rsidDel="00617764" w14:paraId="061A2957" w14:textId="77777777" w:rsidTr="00C20BBB">
        <w:tblPrEx>
          <w:tblCellMar>
            <w:left w:w="108" w:type="dxa"/>
            <w:right w:w="108" w:type="dxa"/>
          </w:tblCellMar>
        </w:tblPrEx>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00B050"/>
          </w:tcPr>
          <w:p w14:paraId="118252E1" w14:textId="77777777" w:rsidR="00C20BBB" w:rsidRDefault="00C20BBB" w:rsidP="00C20BBB">
            <w:pPr>
              <w:spacing w:after="0" w:line="240" w:lineRule="auto"/>
              <w:textAlignment w:val="baseline"/>
              <w:rPr>
                <w:rFonts w:ascii="Calibri" w:eastAsia="Times New Roman" w:hAnsi="Calibri" w:cs="Calibri"/>
                <w:b/>
                <w:bCs/>
                <w:lang w:eastAsia="en-GB"/>
              </w:rPr>
            </w:pPr>
            <w:r w:rsidRPr="006B15AA">
              <w:rPr>
                <w:rFonts w:ascii="Calibri" w:eastAsia="Times New Roman" w:hAnsi="Calibri" w:cs="Calibri"/>
                <w:b/>
                <w:bCs/>
                <w:sz w:val="22"/>
                <w:lang w:eastAsia="en-GB"/>
              </w:rPr>
              <w:t>Internal Movement</w:t>
            </w:r>
          </w:p>
        </w:tc>
        <w:tc>
          <w:tcPr>
            <w:tcW w:w="836" w:type="dxa"/>
            <w:tcBorders>
              <w:top w:val="single" w:sz="6" w:space="0" w:color="BFBFBF"/>
              <w:left w:val="single" w:sz="6" w:space="0" w:color="BFBFBF"/>
              <w:bottom w:val="single" w:sz="6" w:space="0" w:color="BFBFBF"/>
              <w:right w:val="single" w:sz="6" w:space="0" w:color="BFBFBF"/>
            </w:tcBorders>
            <w:shd w:val="clear" w:color="auto" w:fill="00B050"/>
          </w:tcPr>
          <w:p w14:paraId="4FB24BFE" w14:textId="77777777" w:rsidR="00C20BBB" w:rsidDel="00617764" w:rsidRDefault="00C20BBB" w:rsidP="00C20BBB">
            <w:pPr>
              <w:spacing w:after="0" w:line="240" w:lineRule="auto"/>
              <w:textAlignment w:val="baseline"/>
              <w:rPr>
                <w:rFonts w:ascii="Calibri" w:eastAsia="Times New Roman" w:hAnsi="Calibri" w:cs="Calibri"/>
                <w:b/>
                <w:bCs/>
                <w:color w:val="00B050"/>
                <w:lang w:eastAsia="en-GB"/>
              </w:rPr>
            </w:pPr>
            <w:r w:rsidRPr="00DD77BC">
              <w:rPr>
                <w:rFonts w:ascii="Calibri" w:eastAsia="Times New Roman" w:hAnsi="Calibri" w:cs="Calibri"/>
                <w:b/>
                <w:bCs/>
                <w:sz w:val="22"/>
                <w:lang w:eastAsia="en-GB"/>
              </w:rPr>
              <w:t>Green</w:t>
            </w:r>
          </w:p>
        </w:tc>
      </w:tr>
      <w:tr w:rsidR="00C20BBB" w:rsidRPr="001656F0" w14:paraId="5A4B07E8" w14:textId="77777777" w:rsidTr="00C20BBB">
        <w:tblPrEx>
          <w:tblCellMar>
            <w:left w:w="108" w:type="dxa"/>
            <w:right w:w="108" w:type="dxa"/>
          </w:tblCellMar>
        </w:tblPrEx>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FFFF"/>
            <w:hideMark/>
          </w:tcPr>
          <w:p w14:paraId="34B0AED2"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r>
              <w:rPr>
                <w:rFonts w:ascii="Calibri" w:eastAsia="Times New Roman" w:hAnsi="Calibri" w:cs="Calibri"/>
                <w:b/>
                <w:bCs/>
                <w:sz w:val="22"/>
                <w:lang w:eastAsia="en-GB"/>
              </w:rPr>
              <w:t>T</w:t>
            </w:r>
            <w:r w:rsidRPr="006B15AA">
              <w:rPr>
                <w:rFonts w:ascii="Calibri" w:eastAsia="Times New Roman" w:hAnsi="Calibri" w:cs="Calibri"/>
                <w:b/>
                <w:bCs/>
                <w:sz w:val="22"/>
                <w:lang w:eastAsia="en-GB"/>
              </w:rPr>
              <w:t xml:space="preserve">arget: increase internal moves </w:t>
            </w:r>
          </w:p>
          <w:p w14:paraId="792F7B50" w14:textId="77777777" w:rsidR="00C20BBB" w:rsidRPr="00C37A0A" w:rsidRDefault="00C20BBB" w:rsidP="00F73BF3">
            <w:pPr>
              <w:pStyle w:val="ListParagraph"/>
              <w:numPr>
                <w:ilvl w:val="0"/>
                <w:numId w:val="22"/>
              </w:numPr>
              <w:spacing w:after="0" w:line="240" w:lineRule="auto"/>
              <w:textAlignment w:val="baseline"/>
              <w:rPr>
                <w:rFonts w:ascii="Times New Roman" w:eastAsia="Times New Roman" w:hAnsi="Times New Roman" w:cs="Times New Roman"/>
                <w:bCs/>
                <w:lang w:eastAsia="en-GB"/>
              </w:rPr>
            </w:pPr>
            <w:r w:rsidRPr="00615187">
              <w:rPr>
                <w:rFonts w:ascii="Calibri" w:eastAsia="Times New Roman" w:hAnsi="Calibri" w:cs="Calibri"/>
                <w:bCs/>
                <w:sz w:val="22"/>
                <w:lang w:eastAsia="en-GB"/>
              </w:rPr>
              <w:t>Q3:</w:t>
            </w:r>
            <w:r w:rsidRPr="006B15AA">
              <w:rPr>
                <w:rFonts w:ascii="Calibri" w:eastAsia="Times New Roman" w:hAnsi="Calibri" w:cs="Calibri"/>
                <w:bCs/>
                <w:sz w:val="22"/>
                <w:lang w:eastAsia="en-GB"/>
              </w:rPr>
              <w:t xml:space="preserve">  Internal moves have reduced again this quarter, with </w:t>
            </w:r>
            <w:r>
              <w:rPr>
                <w:rFonts w:ascii="Calibri" w:eastAsia="Times New Roman" w:hAnsi="Calibri" w:cs="Calibri"/>
                <w:bCs/>
                <w:sz w:val="22"/>
                <w:lang w:eastAsia="en-GB"/>
              </w:rPr>
              <w:t>23</w:t>
            </w:r>
            <w:r w:rsidRPr="006B15AA">
              <w:rPr>
                <w:rFonts w:ascii="Calibri" w:eastAsia="Times New Roman" w:hAnsi="Calibri" w:cs="Calibri"/>
                <w:bCs/>
                <w:sz w:val="22"/>
                <w:lang w:eastAsia="en-GB"/>
              </w:rPr>
              <w:t xml:space="preserve"> internal moves (</w:t>
            </w:r>
            <w:r>
              <w:rPr>
                <w:rFonts w:ascii="Calibri" w:eastAsia="Times New Roman" w:hAnsi="Calibri" w:cs="Calibri"/>
                <w:bCs/>
                <w:sz w:val="22"/>
                <w:lang w:eastAsia="en-GB"/>
              </w:rPr>
              <w:t>Q2 - 34</w:t>
            </w:r>
            <w:r>
              <w:rPr>
                <w:rFonts w:ascii="Calibri" w:eastAsia="Times New Roman" w:hAnsi="Calibri" w:cs="Calibri"/>
                <w:sz w:val="22"/>
                <w:lang w:eastAsia="en-GB"/>
              </w:rPr>
              <w:t>↓11</w:t>
            </w:r>
            <w:r w:rsidRPr="006B15AA">
              <w:rPr>
                <w:rFonts w:ascii="Calibri" w:eastAsia="Times New Roman" w:hAnsi="Calibri" w:cs="Calibri"/>
                <w:bCs/>
                <w:sz w:val="22"/>
                <w:lang w:eastAsia="en-GB"/>
              </w:rPr>
              <w:t xml:space="preserve">). This is </w:t>
            </w:r>
            <w:r>
              <w:rPr>
                <w:rFonts w:ascii="Calibri" w:eastAsia="Times New Roman" w:hAnsi="Calibri" w:cs="Calibri"/>
                <w:bCs/>
                <w:sz w:val="22"/>
                <w:lang w:eastAsia="en-GB"/>
              </w:rPr>
              <w:t>3</w:t>
            </w:r>
            <w:r w:rsidRPr="006B15AA">
              <w:rPr>
                <w:rFonts w:ascii="Calibri" w:eastAsia="Times New Roman" w:hAnsi="Calibri" w:cs="Calibri"/>
                <w:bCs/>
                <w:sz w:val="22"/>
                <w:lang w:eastAsia="en-GB"/>
              </w:rPr>
              <w:t>% of our headcount of employees moving into alternative roles through promotion or same grade reassignments</w:t>
            </w:r>
            <w:r>
              <w:rPr>
                <w:rFonts w:ascii="Calibri" w:eastAsia="Times New Roman" w:hAnsi="Calibri" w:cs="Calibri"/>
                <w:bCs/>
                <w:sz w:val="22"/>
                <w:lang w:eastAsia="en-GB"/>
              </w:rPr>
              <w:t xml:space="preserve">. It includes those </w:t>
            </w:r>
            <w:r w:rsidRPr="006B15AA">
              <w:rPr>
                <w:rFonts w:ascii="Calibri" w:eastAsia="Times New Roman" w:hAnsi="Calibri" w:cs="Calibri"/>
                <w:bCs/>
                <w:sz w:val="22"/>
                <w:lang w:eastAsia="en-GB"/>
              </w:rPr>
              <w:t>returning to their substantive post following a temporary reassignment.</w:t>
            </w:r>
          </w:p>
          <w:p w14:paraId="012E2E30" w14:textId="06790513" w:rsidR="00B82380" w:rsidRPr="00F73BF3" w:rsidRDefault="00C20BBB" w:rsidP="00F73BF3">
            <w:pPr>
              <w:pStyle w:val="ListParagraph"/>
              <w:numPr>
                <w:ilvl w:val="0"/>
                <w:numId w:val="22"/>
              </w:numPr>
              <w:spacing w:after="0" w:line="240" w:lineRule="auto"/>
              <w:textAlignment w:val="baseline"/>
              <w:rPr>
                <w:rFonts w:ascii="Calibri" w:eastAsia="Times New Roman" w:hAnsi="Calibri" w:cs="Calibri"/>
                <w:bCs/>
                <w:noProof/>
                <w:lang w:eastAsia="en-GB"/>
              </w:rPr>
            </w:pPr>
            <w:r w:rsidRPr="00B82380">
              <w:rPr>
                <w:rFonts w:ascii="Calibri" w:eastAsia="Times New Roman" w:hAnsi="Calibri" w:cs="Calibri"/>
                <w:bCs/>
                <w:sz w:val="22"/>
                <w:lang w:eastAsia="en-GB"/>
              </w:rPr>
              <w:t>In Q3 there have been 25 recruitment campaigns (Q2 – 42</w:t>
            </w:r>
            <w:r w:rsidRPr="00B82380">
              <w:rPr>
                <w:rFonts w:ascii="Calibri" w:eastAsia="Times New Roman" w:hAnsi="Calibri" w:cs="Calibri"/>
                <w:sz w:val="22"/>
                <w:lang w:eastAsia="en-GB"/>
              </w:rPr>
              <w:t>↓17)</w:t>
            </w:r>
            <w:r w:rsidRPr="00B82380">
              <w:rPr>
                <w:rFonts w:ascii="Calibri" w:eastAsia="Times New Roman" w:hAnsi="Calibri" w:cs="Calibri"/>
                <w:bCs/>
                <w:sz w:val="22"/>
                <w:lang w:eastAsia="en-GB"/>
              </w:rPr>
              <w:t xml:space="preserve">; 1 </w:t>
            </w:r>
            <w:r w:rsidR="00B82380" w:rsidRPr="00B82380">
              <w:rPr>
                <w:rFonts w:ascii="Calibri" w:eastAsia="Times New Roman" w:hAnsi="Calibri" w:cs="Calibri"/>
                <w:bCs/>
                <w:sz w:val="22"/>
                <w:lang w:eastAsia="en-GB"/>
              </w:rPr>
              <w:t>has</w:t>
            </w:r>
            <w:r w:rsidRPr="00B82380">
              <w:rPr>
                <w:rFonts w:ascii="Calibri" w:eastAsia="Times New Roman" w:hAnsi="Calibri" w:cs="Calibri"/>
                <w:bCs/>
                <w:sz w:val="22"/>
                <w:lang w:eastAsia="en-GB"/>
              </w:rPr>
              <w:t xml:space="preserve"> failed to attract a successful candidate, which is a significant reduction from Q3 22/23 (8</w:t>
            </w:r>
            <w:r w:rsidRPr="00B82380">
              <w:rPr>
                <w:rFonts w:ascii="Calibri" w:eastAsia="Times New Roman" w:hAnsi="Calibri" w:cs="Calibri"/>
                <w:sz w:val="22"/>
                <w:lang w:eastAsia="en-GB"/>
              </w:rPr>
              <w:t>↓7)</w:t>
            </w:r>
            <w:r w:rsidRPr="00B82380">
              <w:rPr>
                <w:rFonts w:ascii="Calibri" w:eastAsia="Times New Roman" w:hAnsi="Calibri" w:cs="Calibri"/>
                <w:bCs/>
                <w:sz w:val="22"/>
                <w:lang w:eastAsia="en-GB"/>
              </w:rPr>
              <w:t>. Recruitment exercises in Q3 have reduced compared to previous months which is predicted to continue into Q4, in light of the current external recruitment freeze.</w:t>
            </w:r>
            <w:r w:rsidR="00B82380" w:rsidRPr="00B82380">
              <w:rPr>
                <w:rFonts w:ascii="Calibri" w:eastAsia="Times New Roman" w:hAnsi="Calibri" w:cs="Calibri"/>
                <w:bCs/>
                <w:sz w:val="22"/>
                <w:lang w:eastAsia="en-GB"/>
              </w:rPr>
              <w:t xml:space="preserve"> </w:t>
            </w:r>
            <w:r w:rsidRPr="006B15AA">
              <w:rPr>
                <w:rFonts w:ascii="Calibri" w:eastAsia="Times New Roman" w:hAnsi="Calibri" w:cs="Calibri"/>
                <w:bCs/>
                <w:noProof/>
                <w:sz w:val="22"/>
                <w:lang w:eastAsia="en-GB"/>
              </w:rPr>
              <w:t xml:space="preserve">Of the recruitments which have gone live this quarter, </w:t>
            </w:r>
            <w:r>
              <w:rPr>
                <w:rFonts w:ascii="Calibri" w:eastAsia="Times New Roman" w:hAnsi="Calibri" w:cs="Calibri"/>
                <w:bCs/>
                <w:noProof/>
                <w:sz w:val="22"/>
                <w:lang w:eastAsia="en-GB"/>
              </w:rPr>
              <w:t>6</w:t>
            </w:r>
            <w:r w:rsidRPr="006B15AA">
              <w:rPr>
                <w:rFonts w:ascii="Calibri" w:eastAsia="Times New Roman" w:hAnsi="Calibri" w:cs="Calibri"/>
                <w:bCs/>
                <w:noProof/>
                <w:sz w:val="22"/>
                <w:lang w:eastAsia="en-GB"/>
              </w:rPr>
              <w:t xml:space="preserve"> recruitment campaigns have been filled internally, </w:t>
            </w:r>
            <w:r>
              <w:rPr>
                <w:rFonts w:ascii="Calibri" w:eastAsia="Times New Roman" w:hAnsi="Calibri" w:cs="Calibri"/>
                <w:bCs/>
                <w:noProof/>
                <w:sz w:val="22"/>
                <w:lang w:eastAsia="en-GB"/>
              </w:rPr>
              <w:t xml:space="preserve">5 </w:t>
            </w:r>
            <w:r w:rsidRPr="006B15AA">
              <w:rPr>
                <w:rFonts w:ascii="Calibri" w:eastAsia="Times New Roman" w:hAnsi="Calibri" w:cs="Calibri"/>
                <w:bCs/>
                <w:noProof/>
                <w:sz w:val="22"/>
                <w:lang w:eastAsia="en-GB"/>
              </w:rPr>
              <w:t>have been filled by external candidates</w:t>
            </w:r>
            <w:r w:rsidR="00B82380">
              <w:rPr>
                <w:rFonts w:ascii="Calibri" w:eastAsia="Times New Roman" w:hAnsi="Calibri" w:cs="Calibri"/>
                <w:bCs/>
                <w:noProof/>
                <w:sz w:val="22"/>
                <w:lang w:eastAsia="en-GB"/>
              </w:rPr>
              <w:t>.</w:t>
            </w:r>
          </w:p>
          <w:p w14:paraId="33318159" w14:textId="77777777" w:rsidR="00F73BF3" w:rsidRPr="008359F6" w:rsidRDefault="00F73BF3" w:rsidP="00F73BF3">
            <w:pPr>
              <w:pStyle w:val="ListParagraph"/>
              <w:numPr>
                <w:ilvl w:val="0"/>
                <w:numId w:val="22"/>
              </w:numPr>
              <w:spacing w:after="0" w:line="240" w:lineRule="auto"/>
              <w:textAlignment w:val="baseline"/>
              <w:rPr>
                <w:rFonts w:ascii="Calibri" w:eastAsia="Times New Roman" w:hAnsi="Calibri" w:cs="Calibri"/>
                <w:bCs/>
                <w:lang w:eastAsia="en-GB"/>
              </w:rPr>
            </w:pPr>
            <w:r w:rsidRPr="008359F6">
              <w:rPr>
                <w:rFonts w:ascii="Calibri" w:eastAsia="Times New Roman" w:hAnsi="Calibri" w:cs="Calibri"/>
                <w:bCs/>
                <w:sz w:val="22"/>
                <w:lang w:eastAsia="en-GB"/>
              </w:rPr>
              <w:t>In Q</w:t>
            </w:r>
            <w:r>
              <w:rPr>
                <w:rFonts w:ascii="Calibri" w:eastAsia="Times New Roman" w:hAnsi="Calibri" w:cs="Calibri"/>
                <w:bCs/>
                <w:sz w:val="22"/>
                <w:lang w:eastAsia="en-GB"/>
              </w:rPr>
              <w:t>3</w:t>
            </w:r>
            <w:r w:rsidRPr="008359F6">
              <w:rPr>
                <w:rFonts w:ascii="Calibri" w:eastAsia="Times New Roman" w:hAnsi="Calibri" w:cs="Calibri"/>
                <w:bCs/>
                <w:sz w:val="22"/>
                <w:lang w:eastAsia="en-GB"/>
              </w:rPr>
              <w:t xml:space="preserve"> there have been 2</w:t>
            </w:r>
            <w:r>
              <w:rPr>
                <w:rFonts w:ascii="Calibri" w:eastAsia="Times New Roman" w:hAnsi="Calibri" w:cs="Calibri"/>
                <w:bCs/>
                <w:sz w:val="22"/>
                <w:lang w:eastAsia="en-GB"/>
              </w:rPr>
              <w:t>5</w:t>
            </w:r>
            <w:r w:rsidRPr="008359F6">
              <w:rPr>
                <w:rFonts w:ascii="Calibri" w:eastAsia="Times New Roman" w:hAnsi="Calibri" w:cs="Calibri"/>
                <w:bCs/>
                <w:sz w:val="22"/>
                <w:lang w:eastAsia="en-GB"/>
              </w:rPr>
              <w:t xml:space="preserve"> new starts; </w:t>
            </w:r>
            <w:r>
              <w:rPr>
                <w:rFonts w:ascii="Calibri" w:eastAsia="Times New Roman" w:hAnsi="Calibri" w:cs="Calibri"/>
                <w:bCs/>
                <w:sz w:val="22"/>
                <w:lang w:eastAsia="en-GB"/>
              </w:rPr>
              <w:t xml:space="preserve">16 </w:t>
            </w:r>
            <w:r w:rsidRPr="008359F6">
              <w:rPr>
                <w:rFonts w:ascii="Calibri" w:eastAsia="Times New Roman" w:hAnsi="Calibri" w:cs="Calibri"/>
                <w:bCs/>
                <w:sz w:val="22"/>
                <w:lang w:eastAsia="en-GB"/>
              </w:rPr>
              <w:t xml:space="preserve">of them on fixed term contracts and </w:t>
            </w:r>
            <w:r>
              <w:rPr>
                <w:rFonts w:ascii="Calibri" w:eastAsia="Times New Roman" w:hAnsi="Calibri" w:cs="Calibri"/>
                <w:bCs/>
                <w:sz w:val="22"/>
                <w:lang w:eastAsia="en-GB"/>
              </w:rPr>
              <w:t>9</w:t>
            </w:r>
            <w:r w:rsidRPr="008359F6">
              <w:rPr>
                <w:rFonts w:ascii="Calibri" w:eastAsia="Times New Roman" w:hAnsi="Calibri" w:cs="Calibri"/>
                <w:bCs/>
                <w:sz w:val="22"/>
                <w:lang w:eastAsia="en-GB"/>
              </w:rPr>
              <w:t xml:space="preserve"> are on permanent contracts; </w:t>
            </w:r>
            <w:r>
              <w:rPr>
                <w:rFonts w:ascii="Calibri" w:eastAsia="Times New Roman" w:hAnsi="Calibri" w:cs="Calibri"/>
                <w:bCs/>
                <w:sz w:val="22"/>
                <w:lang w:eastAsia="en-GB"/>
              </w:rPr>
              <w:t>of which 19 are</w:t>
            </w:r>
            <w:r w:rsidRPr="008359F6">
              <w:rPr>
                <w:rFonts w:ascii="Calibri" w:eastAsia="Times New Roman" w:hAnsi="Calibri" w:cs="Calibri"/>
                <w:bCs/>
                <w:sz w:val="22"/>
                <w:lang w:eastAsia="en-GB"/>
              </w:rPr>
              <w:t xml:space="preserve"> in core positions and</w:t>
            </w:r>
            <w:r>
              <w:rPr>
                <w:rFonts w:ascii="Calibri" w:eastAsia="Times New Roman" w:hAnsi="Calibri" w:cs="Calibri"/>
                <w:bCs/>
                <w:sz w:val="22"/>
                <w:lang w:eastAsia="en-GB"/>
              </w:rPr>
              <w:t xml:space="preserve"> 6</w:t>
            </w:r>
            <w:r w:rsidRPr="008359F6">
              <w:rPr>
                <w:rFonts w:ascii="Calibri" w:eastAsia="Times New Roman" w:hAnsi="Calibri" w:cs="Calibri"/>
                <w:bCs/>
                <w:sz w:val="22"/>
                <w:lang w:eastAsia="en-GB"/>
              </w:rPr>
              <w:t xml:space="preserve"> in project-funded roles. </w:t>
            </w:r>
            <w:r>
              <w:rPr>
                <w:rFonts w:ascii="Calibri" w:eastAsia="Times New Roman" w:hAnsi="Calibri" w:cs="Calibri"/>
                <w:bCs/>
                <w:sz w:val="22"/>
                <w:lang w:eastAsia="en-GB"/>
              </w:rPr>
              <w:t>Of the core positions 10 are fixed term contracts.</w:t>
            </w:r>
          </w:p>
          <w:p w14:paraId="6E6D0F69" w14:textId="77777777" w:rsidR="00F73BF3" w:rsidRPr="00B82380" w:rsidRDefault="00F73BF3" w:rsidP="00F73BF3">
            <w:pPr>
              <w:pStyle w:val="ListParagraph"/>
              <w:spacing w:after="0" w:line="240" w:lineRule="auto"/>
              <w:textAlignment w:val="baseline"/>
              <w:rPr>
                <w:rFonts w:ascii="Calibri" w:eastAsia="Times New Roman" w:hAnsi="Calibri" w:cs="Calibri"/>
                <w:bCs/>
                <w:noProof/>
                <w:lang w:eastAsia="en-GB"/>
              </w:rPr>
            </w:pPr>
          </w:p>
          <w:p w14:paraId="35963C3C" w14:textId="61A0D8DA" w:rsidR="00C20BBB" w:rsidRPr="009D7E8C" w:rsidRDefault="00F73BF3" w:rsidP="00F73BF3">
            <w:pPr>
              <w:spacing w:after="0" w:line="240" w:lineRule="auto"/>
              <w:textAlignment w:val="baseline"/>
              <w:rPr>
                <w:rFonts w:ascii="Calibri" w:eastAsia="Times New Roman" w:hAnsi="Calibri" w:cs="Calibri"/>
                <w:b/>
                <w:noProof/>
                <w:sz w:val="22"/>
                <w:lang w:eastAsia="en-GB"/>
              </w:rPr>
            </w:pPr>
            <w:r w:rsidRPr="009D7E8C">
              <w:rPr>
                <w:rFonts w:ascii="Calibri" w:eastAsia="Times New Roman" w:hAnsi="Calibri" w:cs="Calibri"/>
                <w:b/>
                <w:noProof/>
                <w:sz w:val="22"/>
                <w:lang w:eastAsia="en-GB"/>
              </w:rPr>
              <w:t>Headcount and FTE</w:t>
            </w:r>
          </w:p>
          <w:p w14:paraId="653A4179" w14:textId="77777777" w:rsidR="00C20BBB" w:rsidRDefault="00C20BBB" w:rsidP="00C20BBB">
            <w:pPr>
              <w:spacing w:after="0" w:line="240" w:lineRule="auto"/>
              <w:textAlignment w:val="baseline"/>
              <w:rPr>
                <w:rFonts w:ascii="Calibri" w:eastAsia="Times New Roman" w:hAnsi="Calibri" w:cs="Calibri"/>
                <w:bCs/>
                <w:noProof/>
                <w:lang w:eastAsia="en-GB"/>
              </w:rPr>
            </w:pPr>
          </w:p>
          <w:p w14:paraId="71DE4F8C" w14:textId="77777777" w:rsidR="00F73BF3" w:rsidRDefault="00F73BF3" w:rsidP="00F73BF3">
            <w:pPr>
              <w:pStyle w:val="ListParagraph"/>
              <w:numPr>
                <w:ilvl w:val="0"/>
                <w:numId w:val="22"/>
              </w:numPr>
              <w:spacing w:after="0" w:line="240" w:lineRule="auto"/>
              <w:textAlignment w:val="baseline"/>
              <w:rPr>
                <w:rFonts w:ascii="Calibri" w:eastAsia="Times New Roman" w:hAnsi="Calibri" w:cs="Calibri"/>
                <w:lang w:eastAsia="en-GB"/>
              </w:rPr>
            </w:pPr>
            <w:r w:rsidRPr="00057222">
              <w:rPr>
                <w:rFonts w:ascii="Calibri" w:eastAsia="Times New Roman" w:hAnsi="Calibri" w:cs="Calibri"/>
                <w:sz w:val="22"/>
                <w:lang w:eastAsia="en-GB"/>
              </w:rPr>
              <w:t>In Q</w:t>
            </w:r>
            <w:r>
              <w:rPr>
                <w:rFonts w:ascii="Calibri" w:eastAsia="Times New Roman" w:hAnsi="Calibri" w:cs="Calibri"/>
                <w:sz w:val="22"/>
                <w:lang w:eastAsia="en-GB"/>
              </w:rPr>
              <w:t>3</w:t>
            </w:r>
            <w:r w:rsidRPr="00057222">
              <w:rPr>
                <w:rFonts w:ascii="Calibri" w:eastAsia="Times New Roman" w:hAnsi="Calibri" w:cs="Calibri"/>
                <w:sz w:val="22"/>
                <w:lang w:eastAsia="en-GB"/>
              </w:rPr>
              <w:t xml:space="preserve"> the headcount </w:t>
            </w:r>
            <w:r>
              <w:rPr>
                <w:rFonts w:ascii="Calibri" w:eastAsia="Times New Roman" w:hAnsi="Calibri" w:cs="Calibri"/>
                <w:sz w:val="22"/>
                <w:lang w:eastAsia="en-GB"/>
              </w:rPr>
              <w:t>wa</w:t>
            </w:r>
            <w:r w:rsidRPr="00057222">
              <w:rPr>
                <w:rFonts w:ascii="Calibri" w:eastAsia="Times New Roman" w:hAnsi="Calibri" w:cs="Calibri"/>
                <w:sz w:val="22"/>
                <w:lang w:eastAsia="en-GB"/>
              </w:rPr>
              <w:t>s 8</w:t>
            </w:r>
            <w:r>
              <w:rPr>
                <w:rFonts w:ascii="Calibri" w:eastAsia="Times New Roman" w:hAnsi="Calibri" w:cs="Calibri"/>
                <w:sz w:val="22"/>
                <w:lang w:eastAsia="en-GB"/>
              </w:rPr>
              <w:t>15</w:t>
            </w:r>
            <w:r w:rsidRPr="00057222">
              <w:rPr>
                <w:rFonts w:ascii="Calibri" w:eastAsia="Times New Roman" w:hAnsi="Calibri" w:cs="Calibri"/>
                <w:sz w:val="22"/>
                <w:lang w:eastAsia="en-GB"/>
              </w:rPr>
              <w:t xml:space="preserve"> and FTE </w:t>
            </w:r>
            <w:r>
              <w:rPr>
                <w:rFonts w:ascii="Calibri" w:eastAsia="Times New Roman" w:hAnsi="Calibri" w:cs="Calibri"/>
                <w:sz w:val="22"/>
                <w:lang w:eastAsia="en-GB"/>
              </w:rPr>
              <w:t>was</w:t>
            </w:r>
            <w:r w:rsidRPr="00057222">
              <w:rPr>
                <w:rFonts w:ascii="Calibri" w:eastAsia="Times New Roman" w:hAnsi="Calibri" w:cs="Calibri"/>
                <w:sz w:val="22"/>
                <w:lang w:eastAsia="en-GB"/>
              </w:rPr>
              <w:t xml:space="preserve"> 7</w:t>
            </w:r>
            <w:r>
              <w:rPr>
                <w:rFonts w:ascii="Calibri" w:eastAsia="Times New Roman" w:hAnsi="Calibri" w:cs="Calibri"/>
                <w:sz w:val="22"/>
                <w:lang w:eastAsia="en-GB"/>
              </w:rPr>
              <w:t xml:space="preserve">51.  </w:t>
            </w:r>
          </w:p>
          <w:p w14:paraId="789E934F" w14:textId="77777777" w:rsidR="00F73BF3" w:rsidRDefault="00F73BF3" w:rsidP="00F73BF3">
            <w:pPr>
              <w:pStyle w:val="ListParagraph"/>
              <w:numPr>
                <w:ilvl w:val="0"/>
                <w:numId w:val="22"/>
              </w:numPr>
              <w:spacing w:after="0" w:line="240" w:lineRule="auto"/>
              <w:textAlignment w:val="baseline"/>
              <w:rPr>
                <w:rFonts w:ascii="Calibri" w:eastAsia="Times New Roman" w:hAnsi="Calibri" w:cs="Calibri"/>
                <w:lang w:eastAsia="en-GB"/>
              </w:rPr>
            </w:pPr>
            <w:r>
              <w:rPr>
                <w:rFonts w:ascii="Calibri" w:eastAsia="Times New Roman" w:hAnsi="Calibri" w:cs="Calibri"/>
                <w:sz w:val="22"/>
                <w:lang w:eastAsia="en-GB"/>
              </w:rPr>
              <w:t>T</w:t>
            </w:r>
            <w:r w:rsidRPr="00057222">
              <w:rPr>
                <w:rFonts w:ascii="Calibri" w:eastAsia="Times New Roman" w:hAnsi="Calibri" w:cs="Calibri"/>
                <w:sz w:val="22"/>
                <w:lang w:eastAsia="en-GB"/>
              </w:rPr>
              <w:t xml:space="preserve">he new operating model </w:t>
            </w:r>
            <w:r>
              <w:rPr>
                <w:rFonts w:ascii="Calibri" w:eastAsia="Times New Roman" w:hAnsi="Calibri" w:cs="Calibri"/>
                <w:sz w:val="22"/>
                <w:lang w:eastAsia="en-GB"/>
              </w:rPr>
              <w:t xml:space="preserve">will enable </w:t>
            </w:r>
            <w:r w:rsidRPr="00057222">
              <w:rPr>
                <w:rFonts w:ascii="Calibri" w:eastAsia="Times New Roman" w:hAnsi="Calibri" w:cs="Calibri"/>
                <w:sz w:val="22"/>
                <w:lang w:eastAsia="en-GB"/>
              </w:rPr>
              <w:t>resource</w:t>
            </w:r>
            <w:r>
              <w:rPr>
                <w:rFonts w:ascii="Calibri" w:eastAsia="Times New Roman" w:hAnsi="Calibri" w:cs="Calibri"/>
                <w:sz w:val="22"/>
                <w:lang w:eastAsia="en-GB"/>
              </w:rPr>
              <w:t>s</w:t>
            </w:r>
            <w:r w:rsidRPr="00057222">
              <w:rPr>
                <w:rFonts w:ascii="Calibri" w:eastAsia="Times New Roman" w:hAnsi="Calibri" w:cs="Calibri"/>
                <w:sz w:val="22"/>
                <w:lang w:eastAsia="en-GB"/>
              </w:rPr>
              <w:t xml:space="preserve"> </w:t>
            </w:r>
            <w:r>
              <w:rPr>
                <w:rFonts w:ascii="Calibri" w:eastAsia="Times New Roman" w:hAnsi="Calibri" w:cs="Calibri"/>
                <w:sz w:val="22"/>
                <w:lang w:eastAsia="en-GB"/>
              </w:rPr>
              <w:t xml:space="preserve">to be moved as and when </w:t>
            </w:r>
            <w:r w:rsidRPr="00057222">
              <w:rPr>
                <w:rFonts w:ascii="Calibri" w:eastAsia="Times New Roman" w:hAnsi="Calibri" w:cs="Calibri"/>
                <w:sz w:val="22"/>
                <w:lang w:eastAsia="en-GB"/>
              </w:rPr>
              <w:t>needed</w:t>
            </w:r>
            <w:r>
              <w:rPr>
                <w:rFonts w:ascii="Calibri" w:eastAsia="Times New Roman" w:hAnsi="Calibri" w:cs="Calibri"/>
                <w:sz w:val="22"/>
                <w:lang w:eastAsia="en-GB"/>
              </w:rPr>
              <w:t xml:space="preserve"> and to support the management of headcount more proactively</w:t>
            </w:r>
            <w:r w:rsidRPr="00057222">
              <w:rPr>
                <w:rFonts w:ascii="Calibri" w:eastAsia="Times New Roman" w:hAnsi="Calibri" w:cs="Calibri"/>
                <w:sz w:val="22"/>
                <w:lang w:eastAsia="en-GB"/>
              </w:rPr>
              <w:t>.</w:t>
            </w:r>
          </w:p>
          <w:p w14:paraId="580A3369" w14:textId="77777777" w:rsidR="00F73BF3" w:rsidRDefault="00F73BF3" w:rsidP="00C20BBB">
            <w:pPr>
              <w:spacing w:after="0" w:line="240" w:lineRule="auto"/>
              <w:textAlignment w:val="baseline"/>
              <w:rPr>
                <w:rFonts w:ascii="Calibri" w:eastAsia="Times New Roman" w:hAnsi="Calibri" w:cs="Calibri"/>
                <w:bCs/>
                <w:noProof/>
                <w:lang w:eastAsia="en-GB"/>
              </w:rPr>
            </w:pPr>
          </w:p>
          <w:p w14:paraId="0DA403E6" w14:textId="77777777" w:rsidR="00F73BF3" w:rsidRDefault="00F73BF3" w:rsidP="00C20BBB">
            <w:pPr>
              <w:spacing w:after="0" w:line="240" w:lineRule="auto"/>
              <w:textAlignment w:val="baseline"/>
              <w:rPr>
                <w:rFonts w:ascii="Calibri" w:eastAsia="Times New Roman" w:hAnsi="Calibri" w:cs="Calibri"/>
                <w:bCs/>
                <w:noProof/>
                <w:lang w:eastAsia="en-GB"/>
              </w:rPr>
            </w:pPr>
          </w:p>
          <w:p w14:paraId="582C0134" w14:textId="77777777" w:rsidR="00F73BF3" w:rsidRDefault="00F73BF3" w:rsidP="00C20BBB">
            <w:pPr>
              <w:spacing w:after="0" w:line="240" w:lineRule="auto"/>
              <w:textAlignment w:val="baseline"/>
              <w:rPr>
                <w:rFonts w:ascii="Calibri" w:eastAsia="Times New Roman" w:hAnsi="Calibri" w:cs="Calibri"/>
                <w:bCs/>
                <w:noProof/>
                <w:lang w:eastAsia="en-GB"/>
              </w:rPr>
            </w:pPr>
          </w:p>
          <w:p w14:paraId="177A4EB9" w14:textId="77777777" w:rsidR="00F73BF3" w:rsidRDefault="00F73BF3" w:rsidP="00C20BBB">
            <w:pPr>
              <w:spacing w:after="0" w:line="240" w:lineRule="auto"/>
              <w:textAlignment w:val="baseline"/>
              <w:rPr>
                <w:rFonts w:ascii="Calibri" w:eastAsia="Times New Roman" w:hAnsi="Calibri" w:cs="Calibri"/>
                <w:bCs/>
                <w:noProof/>
                <w:lang w:eastAsia="en-GB"/>
              </w:rPr>
            </w:pPr>
          </w:p>
          <w:p w14:paraId="48195C10" w14:textId="77777777" w:rsidR="00F73BF3" w:rsidRPr="009D1F31" w:rsidRDefault="00F73BF3" w:rsidP="00C20BBB">
            <w:pPr>
              <w:spacing w:after="0" w:line="240" w:lineRule="auto"/>
              <w:textAlignment w:val="baseline"/>
              <w:rPr>
                <w:rFonts w:ascii="Calibri" w:eastAsia="Times New Roman" w:hAnsi="Calibri" w:cs="Calibri"/>
                <w:bCs/>
                <w:noProof/>
                <w:lang w:eastAsia="en-GB"/>
              </w:rPr>
            </w:pPr>
          </w:p>
          <w:p w14:paraId="06EE9CC5" w14:textId="77777777" w:rsidR="00C20BBB" w:rsidRPr="006B15AA" w:rsidRDefault="00C20BBB" w:rsidP="00C20BBB">
            <w:pPr>
              <w:spacing w:after="0" w:line="240" w:lineRule="auto"/>
              <w:textAlignment w:val="baseline"/>
              <w:rPr>
                <w:rFonts w:ascii="Calibri" w:eastAsia="Times New Roman" w:hAnsi="Calibri" w:cs="Calibri"/>
                <w:b/>
                <w:bCs/>
                <w:noProof/>
                <w:lang w:eastAsia="en-GB"/>
              </w:rPr>
            </w:pPr>
            <w:r w:rsidRPr="006B15AA">
              <w:rPr>
                <w:rFonts w:ascii="Calibri" w:eastAsia="Times New Roman" w:hAnsi="Calibri" w:cs="Calibri"/>
                <w:b/>
                <w:bCs/>
                <w:noProof/>
                <w:sz w:val="22"/>
                <w:lang w:eastAsia="en-GB"/>
              </w:rPr>
              <w:t>Headcount and FTE</w:t>
            </w:r>
          </w:p>
          <w:p w14:paraId="0B00F4EE" w14:textId="77777777" w:rsidR="00C20BBB" w:rsidRPr="006B15AA" w:rsidRDefault="00C20BBB" w:rsidP="00C20BBB">
            <w:pPr>
              <w:spacing w:after="0" w:line="240" w:lineRule="auto"/>
              <w:textAlignment w:val="baseline"/>
              <w:rPr>
                <w:rFonts w:ascii="Calibri" w:eastAsia="Times New Roman" w:hAnsi="Calibri" w:cs="Calibri"/>
                <w:bCs/>
                <w:noProof/>
                <w:lang w:eastAsia="en-GB"/>
              </w:rPr>
            </w:pPr>
            <w:r>
              <w:rPr>
                <w:rFonts w:ascii="Calibri" w:eastAsia="Times New Roman" w:hAnsi="Calibri" w:cs="Calibri"/>
                <w:bCs/>
                <w:noProof/>
                <w:sz w:val="22"/>
                <w:lang w:eastAsia="en-GB"/>
              </w:rPr>
              <w:drawing>
                <wp:inline distT="0" distB="0" distL="0" distR="0" wp14:anchorId="6F8BD76F" wp14:editId="6B300B84">
                  <wp:extent cx="4827270" cy="3228705"/>
                  <wp:effectExtent l="0" t="0" r="0" b="0"/>
                  <wp:docPr id="1835229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41913" cy="3238499"/>
                          </a:xfrm>
                          <a:prstGeom prst="rect">
                            <a:avLst/>
                          </a:prstGeom>
                          <a:noFill/>
                        </pic:spPr>
                      </pic:pic>
                    </a:graphicData>
                  </a:graphic>
                </wp:inline>
              </w:drawing>
            </w:r>
          </w:p>
          <w:p w14:paraId="3EC10D40" w14:textId="77777777" w:rsidR="00C20BBB" w:rsidRDefault="00C20BBB" w:rsidP="00C20BBB">
            <w:pPr>
              <w:spacing w:after="0" w:line="240" w:lineRule="auto"/>
              <w:textAlignment w:val="baseline"/>
              <w:rPr>
                <w:rFonts w:ascii="Calibri" w:eastAsia="Times New Roman" w:hAnsi="Calibri" w:cs="Calibri"/>
                <w:b/>
                <w:bCs/>
                <w:lang w:eastAsia="en-GB"/>
              </w:rPr>
            </w:pPr>
          </w:p>
          <w:p w14:paraId="0F263256" w14:textId="77777777" w:rsidR="00C20BBB" w:rsidRDefault="00C20BBB" w:rsidP="00C20BBB">
            <w:pPr>
              <w:spacing w:after="0" w:line="240" w:lineRule="auto"/>
              <w:textAlignment w:val="baseline"/>
              <w:rPr>
                <w:rFonts w:ascii="Calibri" w:eastAsia="Times New Roman" w:hAnsi="Calibri" w:cs="Calibri"/>
                <w:bCs/>
                <w:lang w:eastAsia="en-GB"/>
              </w:rPr>
            </w:pPr>
            <w:r w:rsidRPr="009D1F31">
              <w:rPr>
                <w:rFonts w:ascii="Calibri" w:eastAsia="Times New Roman" w:hAnsi="Calibri" w:cs="Calibri"/>
                <w:bCs/>
                <w:sz w:val="22"/>
                <w:lang w:eastAsia="en-GB"/>
              </w:rPr>
              <w:t xml:space="preserve">(This graph shows </w:t>
            </w:r>
            <w:r>
              <w:rPr>
                <w:rFonts w:ascii="Calibri" w:eastAsia="Times New Roman" w:hAnsi="Calibri" w:cs="Calibri"/>
                <w:bCs/>
                <w:sz w:val="22"/>
                <w:lang w:eastAsia="en-GB"/>
              </w:rPr>
              <w:t>the trend of the organisations headcount and FTE to date</w:t>
            </w:r>
            <w:r w:rsidRPr="009D1F31">
              <w:rPr>
                <w:rFonts w:ascii="Calibri" w:eastAsia="Times New Roman" w:hAnsi="Calibri" w:cs="Calibri"/>
                <w:bCs/>
                <w:sz w:val="22"/>
                <w:lang w:eastAsia="en-GB"/>
              </w:rPr>
              <w:t>)</w:t>
            </w:r>
          </w:p>
          <w:p w14:paraId="792C9001" w14:textId="77777777" w:rsidR="00C20BBB" w:rsidRPr="00057222" w:rsidRDefault="00C20BBB" w:rsidP="00C20BBB">
            <w:pPr>
              <w:pStyle w:val="ListParagraph"/>
              <w:spacing w:after="0" w:line="240" w:lineRule="auto"/>
              <w:textAlignment w:val="baseline"/>
              <w:rPr>
                <w:rFonts w:ascii="Calibri" w:eastAsia="Times New Roman" w:hAnsi="Calibri" w:cs="Calibri"/>
                <w:lang w:eastAsia="en-GB"/>
              </w:rPr>
            </w:pPr>
          </w:p>
        </w:tc>
        <w:tc>
          <w:tcPr>
            <w:tcW w:w="836" w:type="dxa"/>
            <w:tcBorders>
              <w:top w:val="single" w:sz="6" w:space="0" w:color="BFBFBF"/>
              <w:left w:val="single" w:sz="6" w:space="0" w:color="BFBFBF"/>
              <w:bottom w:val="single" w:sz="6" w:space="0" w:color="BFBFBF"/>
              <w:right w:val="single" w:sz="6" w:space="0" w:color="BFBFBF"/>
            </w:tcBorders>
            <w:shd w:val="clear" w:color="auto" w:fill="FFFFFF"/>
            <w:hideMark/>
          </w:tcPr>
          <w:p w14:paraId="3D9D657B" w14:textId="77777777" w:rsidR="00C20BBB" w:rsidRPr="001656F0" w:rsidRDefault="00C20BBB" w:rsidP="00C20BBB">
            <w:pPr>
              <w:spacing w:after="0" w:line="240" w:lineRule="auto"/>
              <w:textAlignment w:val="baseline"/>
              <w:rPr>
                <w:rFonts w:ascii="Times New Roman" w:eastAsia="Times New Roman" w:hAnsi="Times New Roman" w:cs="Times New Roman"/>
                <w:b/>
                <w:bCs/>
                <w:lang w:eastAsia="en-GB"/>
              </w:rPr>
            </w:pPr>
            <w:r w:rsidRPr="001656F0">
              <w:rPr>
                <w:rFonts w:ascii="Calibri" w:eastAsia="Times New Roman" w:hAnsi="Calibri" w:cs="Calibri"/>
                <w:b/>
                <w:bCs/>
                <w:sz w:val="22"/>
                <w:lang w:eastAsia="en-GB"/>
              </w:rPr>
              <w:lastRenderedPageBreak/>
              <w:t> </w:t>
            </w:r>
          </w:p>
        </w:tc>
      </w:tr>
      <w:tr w:rsidR="00C20BBB" w:rsidRPr="00986CF5" w14:paraId="1742F227" w14:textId="77777777" w:rsidTr="00C20BBB">
        <w:tblPrEx>
          <w:tblCellMar>
            <w:left w:w="108" w:type="dxa"/>
            <w:right w:w="108" w:type="dxa"/>
          </w:tblCellMar>
        </w:tblPrEx>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C000"/>
          </w:tcPr>
          <w:p w14:paraId="0B7B4286" w14:textId="77777777" w:rsidR="00C20BBB" w:rsidDel="00617764" w:rsidRDefault="00C20BBB" w:rsidP="00C20BBB">
            <w:pPr>
              <w:spacing w:after="0" w:line="240" w:lineRule="auto"/>
              <w:textAlignment w:val="baseline"/>
              <w:rPr>
                <w:rFonts w:ascii="Calibri" w:eastAsia="Times New Roman" w:hAnsi="Calibri" w:cs="Calibri"/>
                <w:b/>
                <w:bCs/>
                <w:lang w:eastAsia="en-GB"/>
              </w:rPr>
            </w:pPr>
            <w:r>
              <w:rPr>
                <w:rFonts w:ascii="Calibri" w:eastAsia="Times New Roman" w:hAnsi="Calibri" w:cs="Calibri"/>
                <w:b/>
                <w:bCs/>
                <w:sz w:val="22"/>
                <w:lang w:eastAsia="en-GB"/>
              </w:rPr>
              <w:t>Retirement Profile</w:t>
            </w:r>
          </w:p>
        </w:tc>
        <w:tc>
          <w:tcPr>
            <w:tcW w:w="836" w:type="dxa"/>
            <w:tcBorders>
              <w:top w:val="single" w:sz="6" w:space="0" w:color="BFBFBF"/>
              <w:left w:val="single" w:sz="6" w:space="0" w:color="BFBFBF"/>
              <w:bottom w:val="single" w:sz="6" w:space="0" w:color="BFBFBF"/>
              <w:right w:val="single" w:sz="6" w:space="0" w:color="BFBFBF"/>
            </w:tcBorders>
            <w:shd w:val="clear" w:color="auto" w:fill="FFC000"/>
          </w:tcPr>
          <w:p w14:paraId="12B3D018" w14:textId="77777777" w:rsidR="00C20BBB" w:rsidRPr="00986CF5" w:rsidRDefault="00C20BBB" w:rsidP="00C20BBB">
            <w:pPr>
              <w:spacing w:after="0" w:line="240" w:lineRule="auto"/>
              <w:ind w:right="-139"/>
              <w:textAlignment w:val="baseline"/>
              <w:rPr>
                <w:rFonts w:ascii="Calibri" w:eastAsia="Times New Roman" w:hAnsi="Calibri" w:cs="Calibri"/>
                <w:b/>
                <w:color w:val="E36C0A" w:themeColor="accent6" w:themeShade="BF"/>
                <w:lang w:eastAsia="en-GB"/>
              </w:rPr>
            </w:pPr>
            <w:r w:rsidRPr="00986CF5">
              <w:rPr>
                <w:rFonts w:ascii="Calibri" w:eastAsia="Times New Roman" w:hAnsi="Calibri" w:cs="Calibri"/>
                <w:b/>
                <w:sz w:val="22"/>
                <w:lang w:eastAsia="en-GB"/>
              </w:rPr>
              <w:t>Amber</w:t>
            </w:r>
          </w:p>
        </w:tc>
      </w:tr>
      <w:tr w:rsidR="00C20BBB" w:rsidRPr="00DD77BC" w14:paraId="434853AD" w14:textId="77777777" w:rsidTr="00C20BBB">
        <w:tblPrEx>
          <w:tblCellMar>
            <w:left w:w="108" w:type="dxa"/>
            <w:right w:w="108" w:type="dxa"/>
          </w:tblCellMar>
        </w:tblPrEx>
        <w:trPr>
          <w:trHeight w:val="300"/>
        </w:trPr>
        <w:tc>
          <w:tcPr>
            <w:tcW w:w="9614" w:type="dxa"/>
            <w:tcBorders>
              <w:top w:val="single" w:sz="6" w:space="0" w:color="BFBFBF"/>
              <w:left w:val="single" w:sz="6" w:space="0" w:color="BFBFBF"/>
              <w:bottom w:val="single" w:sz="6" w:space="0" w:color="BFBFBF"/>
              <w:right w:val="single" w:sz="6" w:space="0" w:color="BFBFBF"/>
            </w:tcBorders>
            <w:shd w:val="clear" w:color="auto" w:fill="FFFFFF"/>
            <w:hideMark/>
          </w:tcPr>
          <w:p w14:paraId="7E5075F1" w14:textId="77777777" w:rsidR="00C20BBB" w:rsidRPr="006B15AA" w:rsidRDefault="00C20BBB" w:rsidP="00C20BBB">
            <w:pPr>
              <w:pStyle w:val="ListParagraph"/>
              <w:numPr>
                <w:ilvl w:val="0"/>
                <w:numId w:val="22"/>
              </w:numPr>
              <w:spacing w:after="0" w:line="240" w:lineRule="auto"/>
              <w:textAlignment w:val="baseline"/>
              <w:rPr>
                <w:rFonts w:ascii="Times New Roman" w:eastAsia="Times New Roman" w:hAnsi="Times New Roman" w:cs="Times New Roman"/>
                <w:bCs/>
                <w:lang w:eastAsia="en-GB"/>
              </w:rPr>
            </w:pPr>
            <w:r w:rsidRPr="006B15AA">
              <w:rPr>
                <w:rFonts w:ascii="Calibri" w:eastAsia="Times New Roman" w:hAnsi="Calibri" w:cs="Calibri"/>
                <w:bCs/>
                <w:sz w:val="22"/>
                <w:lang w:eastAsia="en-GB"/>
              </w:rPr>
              <w:t>Q</w:t>
            </w:r>
            <w:r>
              <w:rPr>
                <w:rFonts w:ascii="Calibri" w:eastAsia="Times New Roman" w:hAnsi="Calibri" w:cs="Calibri"/>
                <w:bCs/>
                <w:sz w:val="22"/>
                <w:lang w:eastAsia="en-GB"/>
              </w:rPr>
              <w:t>3</w:t>
            </w:r>
            <w:r w:rsidRPr="006B15AA">
              <w:rPr>
                <w:rFonts w:ascii="Calibri" w:eastAsia="Times New Roman" w:hAnsi="Calibri" w:cs="Calibri"/>
                <w:bCs/>
                <w:sz w:val="22"/>
                <w:lang w:eastAsia="en-GB"/>
              </w:rPr>
              <w:t>: 1</w:t>
            </w:r>
            <w:r>
              <w:rPr>
                <w:rFonts w:ascii="Calibri" w:eastAsia="Times New Roman" w:hAnsi="Calibri" w:cs="Calibri"/>
                <w:bCs/>
                <w:sz w:val="22"/>
                <w:lang w:eastAsia="en-GB"/>
              </w:rPr>
              <w:t>88</w:t>
            </w:r>
            <w:r w:rsidRPr="006B15AA">
              <w:rPr>
                <w:rFonts w:ascii="Calibri" w:eastAsia="Times New Roman" w:hAnsi="Calibri" w:cs="Calibri"/>
                <w:bCs/>
                <w:sz w:val="22"/>
                <w:lang w:eastAsia="en-GB"/>
              </w:rPr>
              <w:t xml:space="preserve"> employees are aged 57+. This is predicted to rise to 2</w:t>
            </w:r>
            <w:r>
              <w:rPr>
                <w:rFonts w:ascii="Calibri" w:eastAsia="Times New Roman" w:hAnsi="Calibri" w:cs="Calibri"/>
                <w:bCs/>
                <w:sz w:val="22"/>
                <w:lang w:eastAsia="en-GB"/>
              </w:rPr>
              <w:t>37</w:t>
            </w:r>
            <w:r w:rsidRPr="006B15AA">
              <w:rPr>
                <w:rFonts w:ascii="Calibri" w:eastAsia="Times New Roman" w:hAnsi="Calibri" w:cs="Calibri"/>
                <w:bCs/>
                <w:sz w:val="22"/>
                <w:lang w:eastAsia="en-GB"/>
              </w:rPr>
              <w:t xml:space="preserve"> in 2025/26 (</w:t>
            </w:r>
            <w:r>
              <w:rPr>
                <w:rFonts w:ascii="Calibri" w:eastAsia="Times New Roman" w:hAnsi="Calibri" w:cs="Calibri"/>
                <w:bCs/>
                <w:sz w:val="22"/>
                <w:lang w:eastAsia="en-GB"/>
              </w:rPr>
              <w:t>29</w:t>
            </w:r>
            <w:r w:rsidRPr="006B15AA">
              <w:rPr>
                <w:rFonts w:ascii="Calibri" w:eastAsia="Times New Roman" w:hAnsi="Calibri" w:cs="Calibri"/>
                <w:bCs/>
                <w:sz w:val="22"/>
                <w:lang w:eastAsia="en-GB"/>
              </w:rPr>
              <w:t xml:space="preserve">% of current headcount). </w:t>
            </w:r>
          </w:p>
          <w:p w14:paraId="6FC98C18" w14:textId="13DF6535" w:rsidR="00C20BBB" w:rsidRPr="001F4BFC" w:rsidRDefault="00C20BBB" w:rsidP="00C20BBB">
            <w:pPr>
              <w:pStyle w:val="ListParagraph"/>
              <w:numPr>
                <w:ilvl w:val="0"/>
                <w:numId w:val="22"/>
              </w:numPr>
              <w:spacing w:after="0" w:line="240" w:lineRule="auto"/>
              <w:textAlignment w:val="baseline"/>
              <w:rPr>
                <w:rFonts w:ascii="Times New Roman" w:eastAsia="Times New Roman" w:hAnsi="Times New Roman" w:cs="Times New Roman"/>
                <w:bCs/>
                <w:lang w:eastAsia="en-GB"/>
              </w:rPr>
            </w:pPr>
            <w:r w:rsidRPr="006B15AA">
              <w:rPr>
                <w:rFonts w:ascii="Calibri" w:eastAsia="Times New Roman" w:hAnsi="Calibri" w:cs="Calibri"/>
                <w:bCs/>
                <w:sz w:val="22"/>
                <w:lang w:eastAsia="en-GB"/>
              </w:rPr>
              <w:t>In Q</w:t>
            </w:r>
            <w:r>
              <w:rPr>
                <w:rFonts w:ascii="Calibri" w:eastAsia="Times New Roman" w:hAnsi="Calibri" w:cs="Calibri"/>
                <w:bCs/>
                <w:sz w:val="22"/>
                <w:lang w:eastAsia="en-GB"/>
              </w:rPr>
              <w:t>3</w:t>
            </w:r>
            <w:r w:rsidRPr="006B15AA">
              <w:rPr>
                <w:rFonts w:ascii="Calibri" w:eastAsia="Times New Roman" w:hAnsi="Calibri" w:cs="Calibri"/>
                <w:bCs/>
                <w:sz w:val="22"/>
                <w:lang w:eastAsia="en-GB"/>
              </w:rPr>
              <w:t>, 3 employees retired (</w:t>
            </w:r>
            <w:r>
              <w:rPr>
                <w:rFonts w:ascii="Calibri" w:eastAsia="Times New Roman" w:hAnsi="Calibri" w:cs="Calibri"/>
                <w:bCs/>
                <w:sz w:val="22"/>
                <w:lang w:eastAsia="en-GB"/>
              </w:rPr>
              <w:t>21</w:t>
            </w:r>
            <w:r w:rsidRPr="006B15AA">
              <w:rPr>
                <w:rFonts w:ascii="Calibri" w:eastAsia="Times New Roman" w:hAnsi="Calibri" w:cs="Calibri"/>
                <w:bCs/>
                <w:sz w:val="22"/>
                <w:lang w:eastAsia="en-GB"/>
              </w:rPr>
              <w:t>% of leavers in Q</w:t>
            </w:r>
            <w:r>
              <w:rPr>
                <w:rFonts w:ascii="Calibri" w:eastAsia="Times New Roman" w:hAnsi="Calibri" w:cs="Calibri"/>
                <w:bCs/>
                <w:sz w:val="22"/>
                <w:lang w:eastAsia="en-GB"/>
              </w:rPr>
              <w:t>3</w:t>
            </w:r>
            <w:r w:rsidRPr="006B15AA">
              <w:rPr>
                <w:rFonts w:ascii="Calibri" w:eastAsia="Times New Roman" w:hAnsi="Calibri" w:cs="Calibri"/>
                <w:bCs/>
                <w:sz w:val="22"/>
                <w:lang w:eastAsia="en-GB"/>
              </w:rPr>
              <w:t>). The average retirement age for Q</w:t>
            </w:r>
            <w:r>
              <w:rPr>
                <w:rFonts w:ascii="Calibri" w:eastAsia="Times New Roman" w:hAnsi="Calibri" w:cs="Calibri"/>
                <w:bCs/>
                <w:sz w:val="22"/>
                <w:lang w:eastAsia="en-GB"/>
              </w:rPr>
              <w:t>3</w:t>
            </w:r>
            <w:r w:rsidRPr="006B15AA">
              <w:rPr>
                <w:rFonts w:ascii="Calibri" w:eastAsia="Times New Roman" w:hAnsi="Calibri" w:cs="Calibri"/>
                <w:bCs/>
                <w:sz w:val="22"/>
                <w:lang w:eastAsia="en-GB"/>
              </w:rPr>
              <w:t xml:space="preserve"> is </w:t>
            </w:r>
            <w:r>
              <w:rPr>
                <w:rFonts w:ascii="Calibri" w:eastAsia="Times New Roman" w:hAnsi="Calibri" w:cs="Calibri"/>
                <w:bCs/>
                <w:sz w:val="22"/>
                <w:lang w:eastAsia="en-GB"/>
              </w:rPr>
              <w:t>63.</w:t>
            </w:r>
            <w:r w:rsidRPr="006B15AA">
              <w:rPr>
                <w:rFonts w:ascii="Calibri" w:eastAsia="Times New Roman" w:hAnsi="Calibri" w:cs="Calibri"/>
                <w:bCs/>
                <w:sz w:val="22"/>
                <w:lang w:eastAsia="en-GB"/>
              </w:rPr>
              <w:t xml:space="preserve"> </w:t>
            </w:r>
            <w:r>
              <w:rPr>
                <w:rFonts w:ascii="Calibri" w:eastAsia="Times New Roman" w:hAnsi="Calibri" w:cs="Calibri"/>
                <w:bCs/>
                <w:sz w:val="22"/>
                <w:lang w:eastAsia="en-GB"/>
              </w:rPr>
              <w:t>There were an additional 7 retirements notified during Q4 to date</w:t>
            </w:r>
            <w:r w:rsidRPr="006B15AA">
              <w:rPr>
                <w:rFonts w:ascii="Calibri" w:eastAsia="Times New Roman" w:hAnsi="Calibri" w:cs="Calibri"/>
                <w:bCs/>
                <w:sz w:val="22"/>
                <w:lang w:eastAsia="en-GB"/>
              </w:rPr>
              <w:t>.</w:t>
            </w:r>
            <w:r>
              <w:rPr>
                <w:rFonts w:ascii="Calibri" w:eastAsia="Times New Roman" w:hAnsi="Calibri" w:cs="Calibri"/>
                <w:bCs/>
                <w:sz w:val="22"/>
                <w:lang w:eastAsia="en-GB"/>
              </w:rPr>
              <w:t xml:space="preserve"> The forecasted retirements for </w:t>
            </w:r>
            <w:r w:rsidR="00B82380">
              <w:rPr>
                <w:rFonts w:ascii="Calibri" w:eastAsia="Times New Roman" w:hAnsi="Calibri" w:cs="Calibri"/>
                <w:bCs/>
                <w:sz w:val="22"/>
                <w:lang w:eastAsia="en-GB"/>
              </w:rPr>
              <w:t>20</w:t>
            </w:r>
            <w:r>
              <w:rPr>
                <w:rFonts w:ascii="Calibri" w:eastAsia="Times New Roman" w:hAnsi="Calibri" w:cs="Calibri"/>
                <w:bCs/>
                <w:sz w:val="22"/>
                <w:lang w:eastAsia="en-GB"/>
              </w:rPr>
              <w:t xml:space="preserve">23/24 is 14, </w:t>
            </w:r>
            <w:r w:rsidR="00B82380">
              <w:rPr>
                <w:rFonts w:ascii="Calibri" w:eastAsia="Times New Roman" w:hAnsi="Calibri" w:cs="Calibri"/>
                <w:bCs/>
                <w:sz w:val="22"/>
                <w:lang w:eastAsia="en-GB"/>
              </w:rPr>
              <w:t xml:space="preserve">and </w:t>
            </w:r>
            <w:r>
              <w:rPr>
                <w:rFonts w:ascii="Calibri" w:eastAsia="Times New Roman" w:hAnsi="Calibri" w:cs="Calibri"/>
                <w:bCs/>
                <w:sz w:val="22"/>
                <w:lang w:eastAsia="en-GB"/>
              </w:rPr>
              <w:t xml:space="preserve">actual retirements including future dated retirements for </w:t>
            </w:r>
            <w:r w:rsidR="00B82380">
              <w:rPr>
                <w:rFonts w:ascii="Calibri" w:eastAsia="Times New Roman" w:hAnsi="Calibri" w:cs="Calibri"/>
                <w:bCs/>
                <w:sz w:val="22"/>
                <w:lang w:eastAsia="en-GB"/>
              </w:rPr>
              <w:t>20</w:t>
            </w:r>
            <w:r>
              <w:rPr>
                <w:rFonts w:ascii="Calibri" w:eastAsia="Times New Roman" w:hAnsi="Calibri" w:cs="Calibri"/>
                <w:bCs/>
                <w:sz w:val="22"/>
                <w:lang w:eastAsia="en-GB"/>
              </w:rPr>
              <w:t xml:space="preserve">23/24 are </w:t>
            </w:r>
            <w:r w:rsidR="00B82380">
              <w:rPr>
                <w:rFonts w:ascii="Calibri" w:eastAsia="Times New Roman" w:hAnsi="Calibri" w:cs="Calibri"/>
                <w:bCs/>
                <w:sz w:val="22"/>
                <w:lang w:eastAsia="en-GB"/>
              </w:rPr>
              <w:t xml:space="preserve">slightly </w:t>
            </w:r>
            <w:r>
              <w:rPr>
                <w:rFonts w:ascii="Calibri" w:eastAsia="Times New Roman" w:hAnsi="Calibri" w:cs="Calibri"/>
                <w:bCs/>
                <w:sz w:val="22"/>
                <w:lang w:eastAsia="en-GB"/>
              </w:rPr>
              <w:t>above forecast at 15.</w:t>
            </w:r>
          </w:p>
          <w:p w14:paraId="22106424" w14:textId="3A7D0F73" w:rsidR="00C20BBB" w:rsidRPr="00665295" w:rsidRDefault="00C20BBB" w:rsidP="00C20BBB">
            <w:pPr>
              <w:pStyle w:val="ListParagraph"/>
              <w:numPr>
                <w:ilvl w:val="0"/>
                <w:numId w:val="22"/>
              </w:numPr>
              <w:spacing w:after="0" w:line="240" w:lineRule="auto"/>
              <w:textAlignment w:val="baseline"/>
              <w:rPr>
                <w:rFonts w:ascii="Times New Roman" w:eastAsia="Times New Roman" w:hAnsi="Times New Roman" w:cs="Times New Roman"/>
                <w:bCs/>
                <w:lang w:eastAsia="en-GB"/>
              </w:rPr>
            </w:pPr>
            <w:r w:rsidRPr="001F4BFC">
              <w:rPr>
                <w:rFonts w:ascii="Calibri" w:eastAsia="Times New Roman" w:hAnsi="Calibri" w:cs="Calibri"/>
                <w:bCs/>
                <w:sz w:val="22"/>
                <w:lang w:eastAsia="en-GB"/>
              </w:rPr>
              <w:t>P</w:t>
            </w:r>
            <w:r>
              <w:rPr>
                <w:rFonts w:ascii="Calibri" w:eastAsia="Times New Roman" w:hAnsi="Calibri" w:cs="Calibri"/>
                <w:bCs/>
                <w:sz w:val="22"/>
                <w:lang w:eastAsia="en-GB"/>
              </w:rPr>
              <w:t>&amp;</w:t>
            </w:r>
            <w:r w:rsidRPr="001F4BFC">
              <w:rPr>
                <w:rFonts w:ascii="Calibri" w:eastAsia="Times New Roman" w:hAnsi="Calibri" w:cs="Calibri"/>
                <w:bCs/>
                <w:sz w:val="22"/>
                <w:lang w:eastAsia="en-GB"/>
              </w:rPr>
              <w:t xml:space="preserve">OD </w:t>
            </w:r>
            <w:r>
              <w:rPr>
                <w:rFonts w:ascii="Calibri" w:eastAsia="Times New Roman" w:hAnsi="Calibri" w:cs="Calibri"/>
                <w:bCs/>
                <w:sz w:val="22"/>
                <w:lang w:eastAsia="en-GB"/>
              </w:rPr>
              <w:t>promoted C</w:t>
            </w:r>
            <w:r w:rsidRPr="001F4BFC">
              <w:rPr>
                <w:rFonts w:ascii="Calibri" w:eastAsia="Times New Roman" w:hAnsi="Calibri" w:cs="Calibri"/>
                <w:bCs/>
                <w:sz w:val="22"/>
                <w:lang w:eastAsia="en-GB"/>
              </w:rPr>
              <w:t>areer MOT</w:t>
            </w:r>
            <w:r>
              <w:rPr>
                <w:rFonts w:ascii="Calibri" w:eastAsia="Times New Roman" w:hAnsi="Calibri" w:cs="Calibri"/>
                <w:bCs/>
                <w:sz w:val="22"/>
                <w:lang w:eastAsia="en-GB"/>
              </w:rPr>
              <w:t xml:space="preserve"> facilitator training with </w:t>
            </w:r>
            <w:r w:rsidR="00B82380">
              <w:rPr>
                <w:rFonts w:ascii="Calibri" w:eastAsia="Times New Roman" w:hAnsi="Calibri" w:cs="Calibri"/>
                <w:bCs/>
                <w:sz w:val="22"/>
                <w:lang w:eastAsia="en-GB"/>
              </w:rPr>
              <w:t xml:space="preserve">the </w:t>
            </w:r>
            <w:r>
              <w:rPr>
                <w:rFonts w:ascii="Calibri" w:eastAsia="Times New Roman" w:hAnsi="Calibri" w:cs="Calibri"/>
                <w:bCs/>
                <w:sz w:val="22"/>
                <w:lang w:eastAsia="en-GB"/>
              </w:rPr>
              <w:t>Institute of Leadership and Management in Q3</w:t>
            </w:r>
            <w:r w:rsidRPr="001F4BFC">
              <w:rPr>
                <w:rFonts w:ascii="Calibri" w:eastAsia="Times New Roman" w:hAnsi="Calibri" w:cs="Calibri"/>
                <w:bCs/>
                <w:sz w:val="22"/>
                <w:lang w:eastAsia="en-GB"/>
              </w:rPr>
              <w:t>.</w:t>
            </w:r>
            <w:r w:rsidR="00B82380">
              <w:rPr>
                <w:rFonts w:ascii="Calibri" w:eastAsia="Times New Roman" w:hAnsi="Calibri" w:cs="Calibri"/>
                <w:bCs/>
                <w:sz w:val="22"/>
                <w:lang w:eastAsia="en-GB"/>
              </w:rPr>
              <w:t xml:space="preserve"> Two cohorts will progress in Q4.</w:t>
            </w:r>
          </w:p>
          <w:p w14:paraId="69DE7073" w14:textId="77777777" w:rsidR="00C20BBB" w:rsidRPr="001F4BFC" w:rsidRDefault="00C20BBB" w:rsidP="00C20BBB">
            <w:pPr>
              <w:pStyle w:val="ListParagraph"/>
              <w:spacing w:after="0" w:line="240" w:lineRule="auto"/>
              <w:textAlignment w:val="baseline"/>
              <w:rPr>
                <w:rFonts w:ascii="Times New Roman" w:eastAsia="Times New Roman" w:hAnsi="Times New Roman" w:cs="Times New Roman"/>
                <w:bCs/>
                <w:lang w:eastAsia="en-GB"/>
              </w:rPr>
            </w:pPr>
          </w:p>
          <w:p w14:paraId="158CCE89" w14:textId="77777777" w:rsidR="00C20BBB" w:rsidRPr="006B15AA" w:rsidRDefault="00C20BBB" w:rsidP="00C20BBB">
            <w:pPr>
              <w:pStyle w:val="ListParagraph"/>
              <w:spacing w:after="0" w:line="240" w:lineRule="auto"/>
              <w:textAlignment w:val="baseline"/>
              <w:rPr>
                <w:rFonts w:ascii="Times New Roman" w:eastAsia="Times New Roman" w:hAnsi="Times New Roman" w:cs="Times New Roman"/>
                <w:bCs/>
                <w:lang w:eastAsia="en-GB"/>
              </w:rPr>
            </w:pPr>
            <w:r>
              <w:rPr>
                <w:rFonts w:ascii="Times New Roman" w:eastAsia="Times New Roman" w:hAnsi="Times New Roman" w:cs="Times New Roman"/>
                <w:bCs/>
                <w:noProof/>
                <w:sz w:val="22"/>
                <w:lang w:eastAsia="en-GB"/>
              </w:rPr>
              <w:drawing>
                <wp:inline distT="0" distB="0" distL="0" distR="0" wp14:anchorId="14E827B2" wp14:editId="29478812">
                  <wp:extent cx="4986655" cy="2504661"/>
                  <wp:effectExtent l="0" t="0" r="4445" b="0"/>
                  <wp:docPr id="1694628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994990" cy="2508847"/>
                          </a:xfrm>
                          <a:prstGeom prst="rect">
                            <a:avLst/>
                          </a:prstGeom>
                          <a:noFill/>
                        </pic:spPr>
                      </pic:pic>
                    </a:graphicData>
                  </a:graphic>
                </wp:inline>
              </w:drawing>
            </w:r>
          </w:p>
          <w:p w14:paraId="55DC20AE" w14:textId="77777777" w:rsidR="00C20BBB" w:rsidRPr="006B15AA" w:rsidRDefault="00C20BBB" w:rsidP="00C20BBB">
            <w:pPr>
              <w:spacing w:after="0" w:line="240" w:lineRule="auto"/>
              <w:textAlignment w:val="baseline"/>
              <w:rPr>
                <w:rFonts w:ascii="Times New Roman" w:eastAsia="Times New Roman" w:hAnsi="Times New Roman" w:cs="Times New Roman"/>
                <w:b/>
                <w:bCs/>
                <w:lang w:eastAsia="en-GB"/>
              </w:rPr>
            </w:pPr>
            <w:r w:rsidRPr="006B15AA">
              <w:rPr>
                <w:rFonts w:ascii="Calibri" w:eastAsia="Times New Roman" w:hAnsi="Calibri" w:cs="Calibri"/>
                <w:b/>
                <w:bCs/>
                <w:sz w:val="22"/>
                <w:lang w:eastAsia="en-GB"/>
              </w:rPr>
              <w:t> </w:t>
            </w:r>
          </w:p>
          <w:p w14:paraId="78DE94EA" w14:textId="77777777" w:rsidR="00C20BBB" w:rsidRPr="000B1E0F" w:rsidRDefault="00C20BBB" w:rsidP="00C20BBB">
            <w:pPr>
              <w:spacing w:after="0" w:line="240" w:lineRule="auto"/>
              <w:textAlignment w:val="baseline"/>
              <w:rPr>
                <w:rFonts w:ascii="Times New Roman" w:eastAsia="Times New Roman" w:hAnsi="Times New Roman" w:cs="Times New Roman"/>
                <w:bCs/>
                <w:lang w:eastAsia="en-GB"/>
              </w:rPr>
            </w:pPr>
            <w:r w:rsidRPr="000B1E0F">
              <w:rPr>
                <w:rFonts w:ascii="Calibri" w:eastAsia="Times New Roman" w:hAnsi="Calibri" w:cs="Calibri"/>
                <w:bCs/>
                <w:sz w:val="22"/>
                <w:lang w:eastAsia="en-GB"/>
              </w:rPr>
              <w:t> (This graph shows average of employees retiring)</w:t>
            </w:r>
          </w:p>
        </w:tc>
        <w:tc>
          <w:tcPr>
            <w:tcW w:w="836" w:type="dxa"/>
            <w:tcBorders>
              <w:top w:val="single" w:sz="6" w:space="0" w:color="BFBFBF"/>
              <w:left w:val="single" w:sz="6" w:space="0" w:color="BFBFBF"/>
              <w:bottom w:val="single" w:sz="6" w:space="0" w:color="BFBFBF"/>
              <w:right w:val="single" w:sz="6" w:space="0" w:color="BFBFBF"/>
            </w:tcBorders>
            <w:shd w:val="clear" w:color="auto" w:fill="FFFFFF"/>
            <w:hideMark/>
          </w:tcPr>
          <w:p w14:paraId="0E03CFD2" w14:textId="77777777" w:rsidR="00C20BBB" w:rsidRPr="00DD77BC" w:rsidRDefault="00C20BBB" w:rsidP="00C20BBB">
            <w:pPr>
              <w:spacing w:after="0" w:line="240" w:lineRule="auto"/>
              <w:textAlignment w:val="baseline"/>
              <w:rPr>
                <w:rFonts w:ascii="Times New Roman" w:eastAsia="Times New Roman" w:hAnsi="Times New Roman" w:cs="Times New Roman"/>
                <w:b/>
                <w:lang w:eastAsia="en-GB"/>
              </w:rPr>
            </w:pPr>
          </w:p>
        </w:tc>
      </w:tr>
    </w:tbl>
    <w:p w14:paraId="57764F19" w14:textId="77777777" w:rsidR="00D14F08" w:rsidRDefault="00D14F08" w:rsidP="000402DB">
      <w:pPr>
        <w:spacing w:after="0" w:line="240" w:lineRule="auto"/>
        <w:rPr>
          <w:rFonts w:cstheme="minorHAnsi"/>
          <w:szCs w:val="24"/>
        </w:rPr>
        <w:sectPr w:rsidR="00D14F08" w:rsidSect="00693734">
          <w:footerReference w:type="default" r:id="rId60"/>
          <w:pgSz w:w="11906" w:h="16838"/>
          <w:pgMar w:top="993" w:right="1440" w:bottom="1440" w:left="1440" w:header="567" w:footer="708" w:gutter="0"/>
          <w:cols w:space="708"/>
          <w:docGrid w:linePitch="360"/>
        </w:sectPr>
      </w:pPr>
    </w:p>
    <w:p w14:paraId="25340FA3" w14:textId="16D13A9B" w:rsidR="00D14F08" w:rsidRPr="00FE7AD5" w:rsidRDefault="00D14F08" w:rsidP="00D14F08">
      <w:pPr>
        <w:keepNext/>
        <w:keepLines/>
        <w:spacing w:before="40" w:after="0" w:line="259" w:lineRule="auto"/>
        <w:outlineLvl w:val="1"/>
        <w:rPr>
          <w:rFonts w:ascii="Calibri" w:eastAsiaTheme="majorEastAsia" w:hAnsi="Calibri" w:cs="Calibri"/>
          <w:b/>
          <w:color w:val="4F81BD" w:themeColor="accent1"/>
          <w:sz w:val="28"/>
          <w:szCs w:val="28"/>
        </w:rPr>
      </w:pPr>
      <w:bookmarkStart w:id="8" w:name="AnnexA"/>
      <w:bookmarkStart w:id="9" w:name="AnnexB"/>
      <w:r>
        <w:rPr>
          <w:rFonts w:ascii="Calibri" w:eastAsia="Times New Roman" w:hAnsi="Calibri" w:cs="Calibri"/>
          <w:b/>
          <w:color w:val="4F81BD" w:themeColor="accent1"/>
          <w:sz w:val="28"/>
          <w:szCs w:val="28"/>
        </w:rPr>
        <w:lastRenderedPageBreak/>
        <w:t>Annex A</w:t>
      </w:r>
      <w:r w:rsidRPr="00665954">
        <w:rPr>
          <w:rFonts w:ascii="Calibri" w:eastAsia="Times New Roman" w:hAnsi="Calibri" w:cs="Calibri"/>
          <w:b/>
          <w:color w:val="4F81BD" w:themeColor="accent1"/>
          <w:sz w:val="28"/>
          <w:szCs w:val="28"/>
        </w:rPr>
        <w:t xml:space="preserve"> – Corporate Risk Register (High </w:t>
      </w:r>
      <w:bookmarkEnd w:id="8"/>
      <w:bookmarkEnd w:id="9"/>
      <w:r w:rsidR="006E4026">
        <w:rPr>
          <w:rFonts w:ascii="Calibri" w:eastAsia="Times New Roman" w:hAnsi="Calibri" w:cs="Calibri"/>
          <w:b/>
          <w:color w:val="4F81BD" w:themeColor="accent1"/>
          <w:sz w:val="28"/>
          <w:szCs w:val="28"/>
        </w:rPr>
        <w:t>and Very High Risks</w:t>
      </w:r>
      <w:r>
        <w:rPr>
          <w:rFonts w:ascii="Calibri" w:eastAsiaTheme="majorEastAsia" w:hAnsi="Calibri" w:cs="Calibri"/>
          <w:b/>
          <w:color w:val="4F81BD" w:themeColor="accent1"/>
          <w:sz w:val="28"/>
          <w:szCs w:val="28"/>
        </w:rPr>
        <w:t>)</w:t>
      </w:r>
    </w:p>
    <w:tbl>
      <w:tblPr>
        <w:tblStyle w:val="TableGrid"/>
        <w:tblW w:w="0" w:type="auto"/>
        <w:tblLook w:val="04A0" w:firstRow="1" w:lastRow="0" w:firstColumn="1" w:lastColumn="0" w:noHBand="0" w:noVBand="1"/>
      </w:tblPr>
      <w:tblGrid>
        <w:gridCol w:w="1688"/>
        <w:gridCol w:w="2500"/>
        <w:gridCol w:w="3285"/>
        <w:gridCol w:w="1131"/>
        <w:gridCol w:w="792"/>
        <w:gridCol w:w="947"/>
        <w:gridCol w:w="5045"/>
      </w:tblGrid>
      <w:tr w:rsidR="006E4026" w:rsidRPr="006E4026" w14:paraId="400FA15A" w14:textId="77777777" w:rsidTr="00734F59">
        <w:trPr>
          <w:tblHeader/>
        </w:trPr>
        <w:tc>
          <w:tcPr>
            <w:tcW w:w="1688" w:type="dxa"/>
            <w:shd w:val="clear" w:color="auto" w:fill="244061"/>
          </w:tcPr>
          <w:p w14:paraId="6BA05B14" w14:textId="0819A77B" w:rsidR="00D14F08" w:rsidRPr="006E4026" w:rsidRDefault="00D14F08" w:rsidP="00D14F08">
            <w:pPr>
              <w:rPr>
                <w:rFonts w:cstheme="minorHAnsi"/>
                <w:sz w:val="22"/>
                <w:szCs w:val="20"/>
              </w:rPr>
            </w:pPr>
            <w:r w:rsidRPr="006E4026">
              <w:rPr>
                <w:rFonts w:ascii="Calibri" w:hAnsi="Calibri" w:cs="Calibri"/>
                <w:b/>
                <w:bCs/>
                <w:color w:val="FFFFFF"/>
                <w:sz w:val="22"/>
                <w:szCs w:val="20"/>
              </w:rPr>
              <w:t>Risk Title</w:t>
            </w:r>
          </w:p>
        </w:tc>
        <w:tc>
          <w:tcPr>
            <w:tcW w:w="2500" w:type="dxa"/>
            <w:shd w:val="clear" w:color="auto" w:fill="244061"/>
          </w:tcPr>
          <w:p w14:paraId="01D2EFFA" w14:textId="5B3ADAE8" w:rsidR="00D14F08" w:rsidRPr="006E4026" w:rsidRDefault="00D14F08" w:rsidP="00D14F08">
            <w:pPr>
              <w:rPr>
                <w:rFonts w:cstheme="minorHAnsi"/>
                <w:sz w:val="22"/>
                <w:szCs w:val="20"/>
              </w:rPr>
            </w:pPr>
            <w:r w:rsidRPr="006E4026">
              <w:rPr>
                <w:rFonts w:ascii="Calibri" w:hAnsi="Calibri" w:cs="Calibri"/>
                <w:b/>
                <w:bCs/>
                <w:color w:val="FFFFFF"/>
                <w:sz w:val="22"/>
                <w:szCs w:val="20"/>
              </w:rPr>
              <w:t>DESCRIPTION</w:t>
            </w:r>
          </w:p>
        </w:tc>
        <w:tc>
          <w:tcPr>
            <w:tcW w:w="3285" w:type="dxa"/>
            <w:shd w:val="clear" w:color="auto" w:fill="244061"/>
          </w:tcPr>
          <w:p w14:paraId="144CF7E7" w14:textId="7BECE7D5" w:rsidR="00D14F08" w:rsidRPr="006E4026" w:rsidRDefault="00D14F08" w:rsidP="00D14F08">
            <w:pPr>
              <w:rPr>
                <w:rFonts w:cstheme="minorHAnsi"/>
                <w:sz w:val="22"/>
                <w:szCs w:val="20"/>
              </w:rPr>
            </w:pPr>
            <w:r w:rsidRPr="006E4026">
              <w:rPr>
                <w:rFonts w:ascii="Calibri" w:hAnsi="Calibri" w:cs="Calibri"/>
                <w:b/>
                <w:bCs/>
                <w:color w:val="FFFFFF"/>
                <w:sz w:val="22"/>
                <w:szCs w:val="20"/>
              </w:rPr>
              <w:t>CONTROLS</w:t>
            </w:r>
          </w:p>
        </w:tc>
        <w:tc>
          <w:tcPr>
            <w:tcW w:w="1131" w:type="dxa"/>
            <w:shd w:val="clear" w:color="auto" w:fill="244061"/>
          </w:tcPr>
          <w:p w14:paraId="67CF2798" w14:textId="4A86CDF7" w:rsidR="00D14F08" w:rsidRPr="006E4026" w:rsidRDefault="00D14F08" w:rsidP="00D14F08">
            <w:pPr>
              <w:rPr>
                <w:rFonts w:cstheme="minorHAnsi"/>
                <w:sz w:val="22"/>
                <w:szCs w:val="20"/>
              </w:rPr>
            </w:pPr>
            <w:r w:rsidRPr="006E4026">
              <w:rPr>
                <w:rFonts w:ascii="Calibri" w:hAnsi="Calibri" w:cs="Calibri"/>
                <w:b/>
                <w:bCs/>
                <w:color w:val="FFFFFF"/>
                <w:sz w:val="22"/>
                <w:szCs w:val="20"/>
              </w:rPr>
              <w:t>IMPACT</w:t>
            </w:r>
          </w:p>
        </w:tc>
        <w:tc>
          <w:tcPr>
            <w:tcW w:w="792" w:type="dxa"/>
            <w:shd w:val="clear" w:color="auto" w:fill="244061"/>
          </w:tcPr>
          <w:p w14:paraId="112ED86D" w14:textId="309852AD" w:rsidR="00D14F08" w:rsidRPr="006E4026" w:rsidRDefault="00D14F08" w:rsidP="00D14F08">
            <w:pPr>
              <w:rPr>
                <w:rFonts w:cstheme="minorHAnsi"/>
                <w:sz w:val="22"/>
                <w:szCs w:val="20"/>
              </w:rPr>
            </w:pPr>
            <w:r w:rsidRPr="006E4026">
              <w:rPr>
                <w:rFonts w:ascii="Calibri" w:hAnsi="Calibri" w:cs="Calibri"/>
                <w:b/>
                <w:bCs/>
                <w:color w:val="FFFFFF"/>
                <w:sz w:val="22"/>
                <w:szCs w:val="20"/>
              </w:rPr>
              <w:t>LIKLE-HOOD</w:t>
            </w:r>
          </w:p>
        </w:tc>
        <w:tc>
          <w:tcPr>
            <w:tcW w:w="947" w:type="dxa"/>
            <w:shd w:val="clear" w:color="auto" w:fill="244061"/>
          </w:tcPr>
          <w:p w14:paraId="4D3177C8" w14:textId="5EA8776F" w:rsidR="00D14F08" w:rsidRPr="006E4026" w:rsidRDefault="00D14F08" w:rsidP="00D14F08">
            <w:pPr>
              <w:rPr>
                <w:rFonts w:cstheme="minorHAnsi"/>
                <w:sz w:val="22"/>
                <w:szCs w:val="20"/>
              </w:rPr>
            </w:pPr>
            <w:r w:rsidRPr="006E4026">
              <w:rPr>
                <w:rFonts w:ascii="Calibri" w:hAnsi="Calibri" w:cs="Calibri"/>
                <w:b/>
                <w:bCs/>
                <w:color w:val="FFFFFF"/>
                <w:sz w:val="22"/>
                <w:szCs w:val="20"/>
              </w:rPr>
              <w:t>RISK LEVEL</w:t>
            </w:r>
          </w:p>
        </w:tc>
        <w:tc>
          <w:tcPr>
            <w:tcW w:w="5045" w:type="dxa"/>
            <w:shd w:val="clear" w:color="auto" w:fill="244061"/>
          </w:tcPr>
          <w:p w14:paraId="7DCD179B" w14:textId="7FFACD30" w:rsidR="00D14F08" w:rsidRPr="006E4026" w:rsidRDefault="00D14F08" w:rsidP="00D14F08">
            <w:pPr>
              <w:rPr>
                <w:rFonts w:cstheme="minorHAnsi"/>
                <w:sz w:val="22"/>
                <w:szCs w:val="20"/>
              </w:rPr>
            </w:pPr>
            <w:r w:rsidRPr="006E4026">
              <w:rPr>
                <w:rFonts w:ascii="Calibri" w:hAnsi="Calibri" w:cs="Calibri"/>
                <w:b/>
                <w:bCs/>
                <w:color w:val="FFFFFF"/>
                <w:sz w:val="22"/>
                <w:szCs w:val="20"/>
              </w:rPr>
              <w:t>Comment</w:t>
            </w:r>
          </w:p>
        </w:tc>
      </w:tr>
      <w:tr w:rsidR="00D14F08" w:rsidRPr="006E4026" w14:paraId="09EED4CB" w14:textId="77777777" w:rsidTr="00734F59">
        <w:tc>
          <w:tcPr>
            <w:tcW w:w="1688" w:type="dxa"/>
          </w:tcPr>
          <w:p w14:paraId="32ADBFE7" w14:textId="43AA72E2" w:rsidR="00D14F08" w:rsidRPr="006E4026" w:rsidRDefault="00D14F08" w:rsidP="00D14F08">
            <w:pPr>
              <w:rPr>
                <w:rFonts w:cstheme="minorHAnsi"/>
                <w:sz w:val="22"/>
                <w:szCs w:val="20"/>
              </w:rPr>
            </w:pPr>
            <w:r w:rsidRPr="006E4026">
              <w:rPr>
                <w:rFonts w:ascii="Calibri" w:hAnsi="Calibri" w:cs="Calibri"/>
                <w:bCs/>
                <w:sz w:val="22"/>
                <w:szCs w:val="20"/>
              </w:rPr>
              <w:t>47 - Computer Virus/Malware</w:t>
            </w:r>
          </w:p>
        </w:tc>
        <w:tc>
          <w:tcPr>
            <w:tcW w:w="2500" w:type="dxa"/>
          </w:tcPr>
          <w:p w14:paraId="4EA7E253" w14:textId="7D062DA0" w:rsidR="00D14F08" w:rsidRPr="006E4026" w:rsidRDefault="00D14F08" w:rsidP="00D14F08">
            <w:pPr>
              <w:rPr>
                <w:rFonts w:cstheme="minorHAnsi"/>
                <w:sz w:val="22"/>
                <w:szCs w:val="20"/>
              </w:rPr>
            </w:pPr>
            <w:r w:rsidRPr="006E4026">
              <w:rPr>
                <w:rFonts w:ascii="Calibri" w:hAnsi="Calibri" w:cs="Calibri"/>
                <w:sz w:val="22"/>
                <w:szCs w:val="20"/>
              </w:rPr>
              <w:t>As a result of inadequate protection, or inappropriate system use, including accidental activation of email links by that lead to malware downloads, there is a risk that NatureScot systems becoming infected  with a malware or virus agent, resulting in NatureScot systems and data become unavailable, encrypted or corrupted, significant system downtime and huge operational impacts</w:t>
            </w:r>
          </w:p>
        </w:tc>
        <w:tc>
          <w:tcPr>
            <w:tcW w:w="3285" w:type="dxa"/>
          </w:tcPr>
          <w:p w14:paraId="78D1E8F8" w14:textId="27F4BA11" w:rsidR="00734F59" w:rsidRDefault="00D14F08" w:rsidP="00D14F08">
            <w:pPr>
              <w:rPr>
                <w:rFonts w:ascii="Calibri" w:hAnsi="Calibri" w:cs="Calibri"/>
                <w:sz w:val="22"/>
                <w:szCs w:val="20"/>
              </w:rPr>
            </w:pPr>
            <w:r w:rsidRPr="006E4026">
              <w:rPr>
                <w:rFonts w:ascii="Calibri" w:hAnsi="Calibri" w:cs="Calibri"/>
                <w:sz w:val="22"/>
                <w:szCs w:val="20"/>
              </w:rPr>
              <w:t xml:space="preserve">*All file servers are protected by Sophos anti virus protection. Upgrades are performed automatically and can also be applied in an ad-hoc manner </w:t>
            </w:r>
            <w:r w:rsidRPr="006E4026">
              <w:rPr>
                <w:rFonts w:ascii="Calibri" w:hAnsi="Calibri" w:cs="Calibri"/>
                <w:sz w:val="22"/>
                <w:szCs w:val="20"/>
              </w:rPr>
              <w:br/>
              <w:t xml:space="preserve">*All PCs are protected by Sophos anti virus protection. Upgrades are received on a live basis but can be applied ad-hoc </w:t>
            </w:r>
            <w:r w:rsidRPr="006E4026">
              <w:rPr>
                <w:rFonts w:ascii="Calibri" w:hAnsi="Calibri" w:cs="Calibri"/>
                <w:sz w:val="22"/>
                <w:szCs w:val="20"/>
              </w:rPr>
              <w:br/>
              <w:t xml:space="preserve">*All incoming emails are scanned for viruses. </w:t>
            </w:r>
            <w:r w:rsidRPr="006E4026">
              <w:rPr>
                <w:rFonts w:ascii="Calibri" w:hAnsi="Calibri" w:cs="Calibri"/>
                <w:sz w:val="22"/>
                <w:szCs w:val="20"/>
              </w:rPr>
              <w:br/>
              <w:t xml:space="preserve">*All internet access, are scanned for viruses via Zscaler service. </w:t>
            </w:r>
            <w:r w:rsidRPr="006E4026">
              <w:rPr>
                <w:rFonts w:ascii="Calibri" w:hAnsi="Calibri" w:cs="Calibri"/>
                <w:sz w:val="22"/>
                <w:szCs w:val="20"/>
              </w:rPr>
              <w:br/>
              <w:t xml:space="preserve">*Raise staff awareness of potential risks relating to email links and infected documents through regular communications. </w:t>
            </w:r>
            <w:r w:rsidRPr="006E4026">
              <w:rPr>
                <w:rFonts w:ascii="Calibri" w:hAnsi="Calibri" w:cs="Calibri"/>
                <w:sz w:val="22"/>
                <w:szCs w:val="20"/>
              </w:rPr>
              <w:br/>
              <w:t xml:space="preserve">*Control/restriction of USB devices </w:t>
            </w:r>
            <w:r w:rsidRPr="006E4026">
              <w:rPr>
                <w:rFonts w:ascii="Calibri" w:hAnsi="Calibri" w:cs="Calibri"/>
                <w:sz w:val="22"/>
                <w:szCs w:val="20"/>
              </w:rPr>
              <w:br/>
              <w:t xml:space="preserve">*Awareness raising with staff via Blogs and update articles </w:t>
            </w:r>
            <w:r w:rsidRPr="006E4026">
              <w:rPr>
                <w:rFonts w:ascii="Calibri" w:hAnsi="Calibri" w:cs="Calibri"/>
                <w:sz w:val="22"/>
                <w:szCs w:val="20"/>
              </w:rPr>
              <w:br/>
              <w:t xml:space="preserve">*Incident Management Group in place </w:t>
            </w:r>
            <w:r w:rsidRPr="006E4026">
              <w:rPr>
                <w:rFonts w:ascii="Calibri" w:hAnsi="Calibri" w:cs="Calibri"/>
                <w:sz w:val="22"/>
                <w:szCs w:val="20"/>
              </w:rPr>
              <w:br/>
              <w:t xml:space="preserve">*Corporate data backed up to cloud </w:t>
            </w:r>
            <w:r w:rsidRPr="006E4026">
              <w:rPr>
                <w:rFonts w:ascii="Calibri" w:hAnsi="Calibri" w:cs="Calibri"/>
                <w:sz w:val="22"/>
                <w:szCs w:val="20"/>
              </w:rPr>
              <w:br/>
              <w:t xml:space="preserve">*Zfilter showing us user behaviour and stopping internet threats </w:t>
            </w:r>
            <w:r w:rsidRPr="006E4026">
              <w:rPr>
                <w:rFonts w:ascii="Calibri" w:hAnsi="Calibri" w:cs="Calibri"/>
                <w:sz w:val="22"/>
                <w:szCs w:val="20"/>
              </w:rPr>
              <w:br/>
              <w:t>* regular meetings of TDS/ICS to check on patching levels and compliance issues.</w:t>
            </w:r>
          </w:p>
          <w:p w14:paraId="19A26917" w14:textId="7111580C" w:rsidR="00734F59" w:rsidRPr="006E4026" w:rsidRDefault="00734F59" w:rsidP="00D14F08">
            <w:pPr>
              <w:rPr>
                <w:rFonts w:cstheme="minorHAnsi"/>
                <w:sz w:val="22"/>
                <w:szCs w:val="20"/>
              </w:rPr>
            </w:pPr>
          </w:p>
        </w:tc>
        <w:tc>
          <w:tcPr>
            <w:tcW w:w="1131" w:type="dxa"/>
          </w:tcPr>
          <w:p w14:paraId="06A65028" w14:textId="416BA731" w:rsidR="00D14F08" w:rsidRPr="006E4026" w:rsidRDefault="00D14F08" w:rsidP="00D14F08">
            <w:pPr>
              <w:rPr>
                <w:rFonts w:cstheme="minorHAnsi"/>
                <w:sz w:val="22"/>
                <w:szCs w:val="20"/>
              </w:rPr>
            </w:pPr>
            <w:r w:rsidRPr="006E4026">
              <w:rPr>
                <w:rFonts w:ascii="Calibri" w:hAnsi="Calibri" w:cs="Calibri"/>
                <w:color w:val="000000"/>
                <w:sz w:val="22"/>
                <w:szCs w:val="20"/>
              </w:rPr>
              <w:t>4</w:t>
            </w:r>
          </w:p>
        </w:tc>
        <w:tc>
          <w:tcPr>
            <w:tcW w:w="792" w:type="dxa"/>
          </w:tcPr>
          <w:p w14:paraId="355DB5DF" w14:textId="59F9CCC1" w:rsidR="00D14F08" w:rsidRPr="006E4026" w:rsidRDefault="00D14F08" w:rsidP="00D14F08">
            <w:pPr>
              <w:rPr>
                <w:rFonts w:cstheme="minorHAnsi"/>
                <w:sz w:val="22"/>
                <w:szCs w:val="20"/>
              </w:rPr>
            </w:pPr>
            <w:r w:rsidRPr="006E4026">
              <w:rPr>
                <w:rFonts w:ascii="Calibri" w:hAnsi="Calibri" w:cs="Calibri"/>
                <w:color w:val="000000"/>
                <w:sz w:val="22"/>
                <w:szCs w:val="20"/>
              </w:rPr>
              <w:t>3</w:t>
            </w:r>
          </w:p>
        </w:tc>
        <w:tc>
          <w:tcPr>
            <w:tcW w:w="947" w:type="dxa"/>
          </w:tcPr>
          <w:p w14:paraId="6716ED59" w14:textId="5F30ECAA" w:rsidR="00D14F08" w:rsidRPr="006E4026" w:rsidRDefault="00D14F08" w:rsidP="00D14F08">
            <w:pPr>
              <w:rPr>
                <w:rFonts w:cstheme="minorHAnsi"/>
                <w:sz w:val="22"/>
                <w:szCs w:val="20"/>
              </w:rPr>
            </w:pPr>
            <w:r w:rsidRPr="006E4026">
              <w:rPr>
                <w:rFonts w:ascii="Calibri" w:hAnsi="Calibri" w:cs="Calibri"/>
                <w:b/>
                <w:bCs/>
                <w:color w:val="000000"/>
                <w:sz w:val="22"/>
                <w:szCs w:val="20"/>
              </w:rPr>
              <w:t>High</w:t>
            </w:r>
          </w:p>
        </w:tc>
        <w:tc>
          <w:tcPr>
            <w:tcW w:w="5045" w:type="dxa"/>
          </w:tcPr>
          <w:p w14:paraId="72F42CD1" w14:textId="77777777" w:rsidR="00D14F08" w:rsidRPr="006E4026" w:rsidRDefault="00D14F08" w:rsidP="00D14F08">
            <w:pPr>
              <w:rPr>
                <w:rFonts w:ascii="Calibri" w:hAnsi="Calibri" w:cs="Calibri"/>
                <w:sz w:val="22"/>
                <w:szCs w:val="20"/>
              </w:rPr>
            </w:pPr>
            <w:r w:rsidRPr="006E4026">
              <w:rPr>
                <w:rFonts w:ascii="Calibri" w:hAnsi="Calibri" w:cs="Calibri"/>
                <w:sz w:val="22"/>
                <w:szCs w:val="20"/>
              </w:rPr>
              <w:t>As the middle east conflict develops we continue to be on exceptionally high alert. Especially on the back of ~Western Isles Council and British Library incident which is a reminder of the constant threat of hacking and malware. There has been an increase in very sophisticated phishing attacks (hand crafted) recently, combined with social engineering. We must ensure staff at all levels of the organisation are aware or the risks.</w:t>
            </w:r>
          </w:p>
          <w:p w14:paraId="759C5827" w14:textId="77777777" w:rsidR="00D14F08" w:rsidRPr="006E4026" w:rsidRDefault="00D14F08" w:rsidP="00D14F08">
            <w:pPr>
              <w:rPr>
                <w:rFonts w:cstheme="minorHAnsi"/>
                <w:sz w:val="22"/>
                <w:szCs w:val="20"/>
              </w:rPr>
            </w:pPr>
          </w:p>
        </w:tc>
      </w:tr>
      <w:tr w:rsidR="006E4026" w:rsidRPr="006E4026" w14:paraId="5610A041" w14:textId="77777777" w:rsidTr="00734F59">
        <w:tc>
          <w:tcPr>
            <w:tcW w:w="1688" w:type="dxa"/>
          </w:tcPr>
          <w:p w14:paraId="2A6636B4" w14:textId="38BDEEEB" w:rsidR="006E4026" w:rsidRPr="006E4026" w:rsidRDefault="006E4026" w:rsidP="006E4026">
            <w:pPr>
              <w:rPr>
                <w:rFonts w:cstheme="minorHAnsi"/>
                <w:sz w:val="22"/>
                <w:szCs w:val="20"/>
              </w:rPr>
            </w:pPr>
            <w:r w:rsidRPr="006E4026">
              <w:rPr>
                <w:rFonts w:ascii="Calibri" w:hAnsi="Calibri" w:cs="Calibri"/>
                <w:bCs/>
                <w:sz w:val="22"/>
                <w:szCs w:val="20"/>
              </w:rPr>
              <w:lastRenderedPageBreak/>
              <w:t>253 - Peatland restoration target and budget.</w:t>
            </w:r>
          </w:p>
        </w:tc>
        <w:tc>
          <w:tcPr>
            <w:tcW w:w="2500" w:type="dxa"/>
          </w:tcPr>
          <w:p w14:paraId="2E4D71C1" w14:textId="6983700E" w:rsidR="006E4026" w:rsidRPr="006E4026" w:rsidRDefault="006E4026" w:rsidP="006E4026">
            <w:pPr>
              <w:rPr>
                <w:rFonts w:cstheme="minorHAnsi"/>
                <w:sz w:val="22"/>
                <w:szCs w:val="20"/>
              </w:rPr>
            </w:pPr>
            <w:r w:rsidRPr="006E4026">
              <w:rPr>
                <w:rFonts w:ascii="Calibri" w:hAnsi="Calibri" w:cs="Calibri"/>
                <w:color w:val="000000"/>
                <w:sz w:val="22"/>
                <w:szCs w:val="20"/>
              </w:rPr>
              <w:t>As a result of the immature and complex operating environment, there is a risk to: meeting the annual Peatland ACTION restoration hectare target; and spending the annual budget.</w:t>
            </w:r>
          </w:p>
        </w:tc>
        <w:tc>
          <w:tcPr>
            <w:tcW w:w="3285" w:type="dxa"/>
          </w:tcPr>
          <w:p w14:paraId="726EBC3F" w14:textId="77777777" w:rsidR="006E4026" w:rsidRPr="006E4026" w:rsidRDefault="006E4026" w:rsidP="006E4026">
            <w:pPr>
              <w:rPr>
                <w:rFonts w:ascii="Calibri" w:hAnsi="Calibri" w:cs="Calibri"/>
                <w:color w:val="000000"/>
                <w:sz w:val="22"/>
                <w:szCs w:val="20"/>
              </w:rPr>
            </w:pPr>
            <w:r w:rsidRPr="006E4026">
              <w:rPr>
                <w:rFonts w:ascii="Calibri" w:hAnsi="Calibri" w:cs="Calibri"/>
                <w:color w:val="000000"/>
                <w:sz w:val="22"/>
                <w:szCs w:val="20"/>
              </w:rPr>
              <w:t xml:space="preserve">• Realistic planning </w:t>
            </w:r>
            <w:r w:rsidRPr="006E4026">
              <w:rPr>
                <w:rFonts w:ascii="Calibri" w:hAnsi="Calibri" w:cs="Calibri"/>
                <w:color w:val="000000"/>
                <w:sz w:val="22"/>
                <w:szCs w:val="20"/>
              </w:rPr>
              <w:br/>
              <w:t xml:space="preserve">• Invigorating demand </w:t>
            </w:r>
            <w:r w:rsidRPr="006E4026">
              <w:rPr>
                <w:rFonts w:ascii="Calibri" w:hAnsi="Calibri" w:cs="Calibri"/>
                <w:color w:val="000000"/>
                <w:sz w:val="22"/>
                <w:szCs w:val="20"/>
              </w:rPr>
              <w:br/>
              <w:t xml:space="preserve">• Real-time monitoring </w:t>
            </w:r>
            <w:r w:rsidRPr="006E4026">
              <w:rPr>
                <w:rFonts w:ascii="Calibri" w:hAnsi="Calibri" w:cs="Calibri"/>
                <w:color w:val="000000"/>
                <w:sz w:val="22"/>
                <w:szCs w:val="20"/>
              </w:rPr>
              <w:br/>
              <w:t xml:space="preserve">• Increasing resilience to change in projections </w:t>
            </w:r>
            <w:r w:rsidRPr="006E4026">
              <w:rPr>
                <w:rFonts w:ascii="Calibri" w:hAnsi="Calibri" w:cs="Calibri"/>
                <w:color w:val="000000"/>
                <w:sz w:val="22"/>
                <w:szCs w:val="20"/>
              </w:rPr>
              <w:br/>
              <w:t xml:space="preserve">• Regular and robust review and control </w:t>
            </w:r>
            <w:r w:rsidRPr="006E4026">
              <w:rPr>
                <w:rFonts w:ascii="Calibri" w:hAnsi="Calibri" w:cs="Calibri"/>
                <w:color w:val="000000"/>
                <w:sz w:val="22"/>
                <w:szCs w:val="20"/>
              </w:rPr>
              <w:br/>
              <w:t>• New Guidance on operating during nesting season being update to allow risk based approach to operations during that period.</w:t>
            </w:r>
          </w:p>
          <w:p w14:paraId="6C11D533" w14:textId="77777777" w:rsidR="006E4026" w:rsidRPr="006E4026" w:rsidRDefault="006E4026" w:rsidP="006E4026">
            <w:pPr>
              <w:rPr>
                <w:rFonts w:cstheme="minorHAnsi"/>
                <w:sz w:val="22"/>
                <w:szCs w:val="20"/>
              </w:rPr>
            </w:pPr>
          </w:p>
        </w:tc>
        <w:tc>
          <w:tcPr>
            <w:tcW w:w="1131" w:type="dxa"/>
          </w:tcPr>
          <w:p w14:paraId="032CE870" w14:textId="1D38C40F" w:rsidR="006E4026" w:rsidRPr="006E4026" w:rsidRDefault="006E4026" w:rsidP="006E4026">
            <w:pPr>
              <w:rPr>
                <w:rFonts w:cstheme="minorHAnsi"/>
                <w:sz w:val="22"/>
                <w:szCs w:val="20"/>
              </w:rPr>
            </w:pPr>
            <w:r w:rsidRPr="006E4026">
              <w:rPr>
                <w:rFonts w:ascii="Calibri" w:hAnsi="Calibri" w:cs="Calibri"/>
                <w:color w:val="000000"/>
                <w:sz w:val="22"/>
                <w:szCs w:val="20"/>
              </w:rPr>
              <w:t>4</w:t>
            </w:r>
          </w:p>
        </w:tc>
        <w:tc>
          <w:tcPr>
            <w:tcW w:w="792" w:type="dxa"/>
          </w:tcPr>
          <w:p w14:paraId="6CDDBB2B" w14:textId="25C64100" w:rsidR="006E4026" w:rsidRPr="006E4026" w:rsidRDefault="006E4026" w:rsidP="006E4026">
            <w:pPr>
              <w:rPr>
                <w:rFonts w:cstheme="minorHAnsi"/>
                <w:sz w:val="22"/>
                <w:szCs w:val="20"/>
              </w:rPr>
            </w:pPr>
            <w:r w:rsidRPr="006E4026">
              <w:rPr>
                <w:rFonts w:ascii="Calibri" w:hAnsi="Calibri" w:cs="Calibri"/>
                <w:color w:val="000000"/>
                <w:sz w:val="22"/>
                <w:szCs w:val="20"/>
              </w:rPr>
              <w:t>3</w:t>
            </w:r>
          </w:p>
        </w:tc>
        <w:tc>
          <w:tcPr>
            <w:tcW w:w="947" w:type="dxa"/>
          </w:tcPr>
          <w:p w14:paraId="11626074" w14:textId="41B876C4" w:rsidR="006E4026" w:rsidRPr="006E4026" w:rsidRDefault="006E4026" w:rsidP="006E4026">
            <w:pPr>
              <w:rPr>
                <w:rFonts w:cstheme="minorHAnsi"/>
                <w:sz w:val="22"/>
                <w:szCs w:val="20"/>
              </w:rPr>
            </w:pPr>
            <w:r w:rsidRPr="006E4026">
              <w:rPr>
                <w:rFonts w:ascii="Calibri" w:hAnsi="Calibri" w:cs="Calibri"/>
                <w:b/>
                <w:bCs/>
                <w:sz w:val="22"/>
                <w:szCs w:val="20"/>
              </w:rPr>
              <w:t>High</w:t>
            </w:r>
          </w:p>
        </w:tc>
        <w:tc>
          <w:tcPr>
            <w:tcW w:w="5045" w:type="dxa"/>
          </w:tcPr>
          <w:p w14:paraId="1C447712" w14:textId="77777777" w:rsidR="006E4026" w:rsidRDefault="006E4026" w:rsidP="006E4026">
            <w:pPr>
              <w:rPr>
                <w:rFonts w:ascii="Calibri" w:hAnsi="Calibri" w:cs="Calibri"/>
                <w:sz w:val="22"/>
                <w:szCs w:val="20"/>
              </w:rPr>
            </w:pPr>
            <w:r w:rsidRPr="006E4026">
              <w:rPr>
                <w:rFonts w:ascii="Calibri" w:hAnsi="Calibri" w:cs="Calibri"/>
                <w:sz w:val="22"/>
                <w:szCs w:val="20"/>
              </w:rPr>
              <w:t>The risk remains at 3 following governance Board discussion. Although, - more stringent/robust programme planning/reporting: - greater stimulating of demand through updated communications plan and more targeted engagement with land management interests; - alignment of PA, PDR and PDR prior-notification processes – no further work, but the design sector is now more comfortable with the three processes. - increased support to IUCN for the Peatland Code process (there is no-longer a backlog with PC verification); - a protocol to allow operating in the bird breeding season (we delivered over 500 ha during the BBS in 2023); - expanded PO network/capacity – we have recruited 4 additional delivery-focused posts in 2023; - POs focused on converting current demand into projects to be delivered in 23/24 – the PAOs understand that delivery is their focus. - expanded contractor capacity as a result of skill development and training, no tenders failed due to contractor capacity; - provision of technical guidance – peat slide risk assessment process published; - accelerating PDSS to bring forward projects into 2023/24 – part of awards made on condition of delivery in 2023/24. The programme output (ha delivered and spend) is still dependent on weather/favourable operational conditions and continued availability/capacity of staff. The latter has had a 25% churn during the year and a number of projects have been delayed. As a result, our confidence rating is 95% on the 6,100 ha and 97% on the full spend of 15.1m budget (funds from Scottish Government and Shared Island Fund). Both point retention of a risk likelihood score of 3.</w:t>
            </w:r>
          </w:p>
          <w:p w14:paraId="061B080D" w14:textId="5CB107E8" w:rsidR="00734F59" w:rsidRPr="006E4026" w:rsidRDefault="00734F59" w:rsidP="006E4026">
            <w:pPr>
              <w:rPr>
                <w:rFonts w:cstheme="minorHAnsi"/>
                <w:sz w:val="22"/>
                <w:szCs w:val="20"/>
              </w:rPr>
            </w:pPr>
          </w:p>
        </w:tc>
      </w:tr>
      <w:tr w:rsidR="006E4026" w:rsidRPr="006E4026" w14:paraId="00E7D98A" w14:textId="77777777" w:rsidTr="00734F59">
        <w:tc>
          <w:tcPr>
            <w:tcW w:w="1688" w:type="dxa"/>
          </w:tcPr>
          <w:p w14:paraId="56E0CD08" w14:textId="71766BF6" w:rsidR="006E4026" w:rsidRPr="006E4026" w:rsidRDefault="006E4026" w:rsidP="006E4026">
            <w:pPr>
              <w:rPr>
                <w:rFonts w:cstheme="minorHAnsi"/>
                <w:sz w:val="22"/>
                <w:szCs w:val="20"/>
              </w:rPr>
            </w:pPr>
            <w:r w:rsidRPr="006E4026">
              <w:rPr>
                <w:rFonts w:ascii="Calibri" w:hAnsi="Calibri" w:cs="Calibri"/>
                <w:bCs/>
                <w:sz w:val="22"/>
                <w:szCs w:val="20"/>
              </w:rPr>
              <w:lastRenderedPageBreak/>
              <w:t>393 - Future Funding of NatureScot</w:t>
            </w:r>
          </w:p>
        </w:tc>
        <w:tc>
          <w:tcPr>
            <w:tcW w:w="2500" w:type="dxa"/>
          </w:tcPr>
          <w:p w14:paraId="09268992" w14:textId="6718BC1E" w:rsidR="006E4026" w:rsidRPr="006E4026" w:rsidRDefault="006E4026" w:rsidP="006E4026">
            <w:pPr>
              <w:rPr>
                <w:rFonts w:cstheme="minorHAnsi"/>
                <w:sz w:val="22"/>
                <w:szCs w:val="20"/>
              </w:rPr>
            </w:pPr>
            <w:r w:rsidRPr="006E4026">
              <w:rPr>
                <w:rFonts w:ascii="Calibri" w:hAnsi="Calibri" w:cs="Calibri"/>
                <w:sz w:val="22"/>
                <w:szCs w:val="20"/>
              </w:rPr>
              <w:t>As a result of on-going reductions in public expenditure there is a risk we may receive significant reductions in our grant-in-aid settlement.  Unless other funding sources are secured this could result in an inability to adequately resource delivery of agreed priorities, leading to failed outcomes and reputational damage.</w:t>
            </w:r>
            <w:r w:rsidRPr="006E4026">
              <w:rPr>
                <w:rFonts w:ascii="Calibri" w:hAnsi="Calibri" w:cs="Calibri"/>
                <w:sz w:val="22"/>
                <w:szCs w:val="20"/>
              </w:rPr>
              <w:br/>
            </w:r>
            <w:r w:rsidRPr="006E4026">
              <w:rPr>
                <w:rFonts w:ascii="Calibri" w:hAnsi="Calibri" w:cs="Calibri"/>
                <w:sz w:val="22"/>
                <w:szCs w:val="20"/>
              </w:rPr>
              <w:br/>
            </w:r>
          </w:p>
        </w:tc>
        <w:tc>
          <w:tcPr>
            <w:tcW w:w="3285" w:type="dxa"/>
          </w:tcPr>
          <w:p w14:paraId="26785B77" w14:textId="3AF5BF90" w:rsidR="006E4026" w:rsidRPr="006E4026" w:rsidRDefault="006E4026" w:rsidP="006E4026">
            <w:pPr>
              <w:rPr>
                <w:rFonts w:cstheme="minorHAnsi"/>
                <w:sz w:val="22"/>
                <w:szCs w:val="20"/>
              </w:rPr>
            </w:pPr>
            <w:r w:rsidRPr="006E4026">
              <w:rPr>
                <w:rFonts w:ascii="Calibri" w:hAnsi="Calibri" w:cs="Calibri"/>
                <w:sz w:val="22"/>
                <w:szCs w:val="20"/>
              </w:rPr>
              <w:t>* Ensure that our priorities are aligned with published Programmes for Government and ministerial portfolio priorities, specifically those aligned to the Programme for Government and Bute House Agreement</w:t>
            </w:r>
            <w:r w:rsidRPr="006E4026">
              <w:rPr>
                <w:rFonts w:ascii="Calibri" w:hAnsi="Calibri" w:cs="Calibri"/>
                <w:sz w:val="22"/>
                <w:szCs w:val="20"/>
              </w:rPr>
              <w:br/>
              <w:t>* Provide realistic and evidenced assessment of the impact of possible cuts in our grant-in-aid budget through the annual Spending Review process.</w:t>
            </w:r>
            <w:r w:rsidRPr="006E4026">
              <w:rPr>
                <w:rFonts w:ascii="Calibri" w:hAnsi="Calibri" w:cs="Calibri"/>
                <w:sz w:val="22"/>
                <w:szCs w:val="20"/>
              </w:rPr>
              <w:br/>
              <w:t xml:space="preserve">* Develop and put forward proposals, through the annual Spending Review process and other avenues with Scottish Government, for delivering more and better outcomes for nature and people through wider Scottish Government funding. </w:t>
            </w:r>
            <w:r w:rsidRPr="006E4026">
              <w:rPr>
                <w:rFonts w:ascii="Calibri" w:hAnsi="Calibri" w:cs="Calibri"/>
                <w:sz w:val="22"/>
                <w:szCs w:val="20"/>
              </w:rPr>
              <w:br/>
              <w:t>*Reduce expenditure in some business areas through budget setting processes aligned to business planning cycle.</w:t>
            </w:r>
            <w:r w:rsidRPr="006E4026">
              <w:rPr>
                <w:rFonts w:ascii="Calibri" w:hAnsi="Calibri" w:cs="Calibri"/>
                <w:sz w:val="22"/>
                <w:szCs w:val="20"/>
              </w:rPr>
              <w:br/>
              <w:t>* Have an effective communications strategy in place which promotes the added value of our work.</w:t>
            </w:r>
            <w:r w:rsidRPr="006E4026">
              <w:rPr>
                <w:rFonts w:ascii="Calibri" w:hAnsi="Calibri" w:cs="Calibri"/>
                <w:sz w:val="22"/>
                <w:szCs w:val="20"/>
              </w:rPr>
              <w:br/>
              <w:t>* Identify and implement opportunities to generate income from the services we provide.</w:t>
            </w:r>
            <w:r w:rsidRPr="006E4026">
              <w:rPr>
                <w:rFonts w:ascii="Calibri" w:hAnsi="Calibri" w:cs="Calibri"/>
                <w:sz w:val="22"/>
                <w:szCs w:val="20"/>
              </w:rPr>
              <w:br/>
              <w:t xml:space="preserve">* Identify and implement opportunities for external funding of NatureScot-led work through </w:t>
            </w:r>
            <w:r w:rsidRPr="006E4026">
              <w:rPr>
                <w:rFonts w:ascii="Calibri" w:hAnsi="Calibri" w:cs="Calibri"/>
                <w:sz w:val="22"/>
                <w:szCs w:val="20"/>
              </w:rPr>
              <w:lastRenderedPageBreak/>
              <w:t>the business planning process (including at Outcome and Activity levels) and at the project development stage for significant scale projects.</w:t>
            </w:r>
            <w:r w:rsidRPr="006E4026">
              <w:rPr>
                <w:rFonts w:ascii="Calibri" w:hAnsi="Calibri" w:cs="Calibri"/>
                <w:sz w:val="22"/>
                <w:szCs w:val="20"/>
              </w:rPr>
              <w:br/>
              <w:t>* Develop proposals for new, preventative projects that can help deliver a wider set of SG priorities, and build awareness and support of these.</w:t>
            </w:r>
            <w:r w:rsidRPr="006E4026">
              <w:rPr>
                <w:rFonts w:ascii="Calibri" w:hAnsi="Calibri" w:cs="Calibri"/>
                <w:sz w:val="22"/>
                <w:szCs w:val="20"/>
              </w:rPr>
              <w:br/>
              <w:t>* Develop and refresh a short, medium and longer term financial plan based on potential financial scenarios.</w:t>
            </w:r>
          </w:p>
        </w:tc>
        <w:tc>
          <w:tcPr>
            <w:tcW w:w="1131" w:type="dxa"/>
          </w:tcPr>
          <w:p w14:paraId="7259AB42" w14:textId="7B3827C9" w:rsidR="006E4026" w:rsidRPr="006E4026" w:rsidRDefault="00BF4572" w:rsidP="006E4026">
            <w:pPr>
              <w:rPr>
                <w:rFonts w:cstheme="minorHAnsi"/>
                <w:sz w:val="22"/>
                <w:szCs w:val="20"/>
              </w:rPr>
            </w:pPr>
            <w:r>
              <w:rPr>
                <w:rFonts w:ascii="Calibri" w:hAnsi="Calibri" w:cs="Calibri"/>
                <w:color w:val="000000"/>
                <w:sz w:val="22"/>
                <w:szCs w:val="20"/>
              </w:rPr>
              <w:lastRenderedPageBreak/>
              <w:t>4</w:t>
            </w:r>
          </w:p>
        </w:tc>
        <w:tc>
          <w:tcPr>
            <w:tcW w:w="792" w:type="dxa"/>
          </w:tcPr>
          <w:p w14:paraId="750C0AAB" w14:textId="29C0268C" w:rsidR="006E4026" w:rsidRPr="006E4026" w:rsidRDefault="00BF4572" w:rsidP="006E4026">
            <w:pPr>
              <w:rPr>
                <w:rFonts w:cstheme="minorHAnsi"/>
                <w:sz w:val="22"/>
                <w:szCs w:val="20"/>
              </w:rPr>
            </w:pPr>
            <w:r>
              <w:rPr>
                <w:rFonts w:ascii="Calibri" w:hAnsi="Calibri" w:cs="Calibri"/>
                <w:color w:val="000000"/>
                <w:sz w:val="22"/>
                <w:szCs w:val="20"/>
              </w:rPr>
              <w:t>4</w:t>
            </w:r>
          </w:p>
        </w:tc>
        <w:tc>
          <w:tcPr>
            <w:tcW w:w="947" w:type="dxa"/>
          </w:tcPr>
          <w:p w14:paraId="6A024086" w14:textId="7417C3BA" w:rsidR="006E4026" w:rsidRPr="006E4026" w:rsidRDefault="006E4026" w:rsidP="006E4026">
            <w:pPr>
              <w:rPr>
                <w:rFonts w:cstheme="minorHAnsi"/>
                <w:sz w:val="22"/>
                <w:szCs w:val="20"/>
              </w:rPr>
            </w:pPr>
            <w:r w:rsidRPr="006E4026">
              <w:rPr>
                <w:rFonts w:ascii="Calibri" w:hAnsi="Calibri" w:cs="Calibri"/>
                <w:b/>
                <w:bCs/>
                <w:color w:val="000000"/>
                <w:sz w:val="22"/>
                <w:szCs w:val="20"/>
              </w:rPr>
              <w:t>High</w:t>
            </w:r>
          </w:p>
        </w:tc>
        <w:tc>
          <w:tcPr>
            <w:tcW w:w="5045" w:type="dxa"/>
          </w:tcPr>
          <w:p w14:paraId="0B351191" w14:textId="6D40F7A6" w:rsidR="006E4026" w:rsidRPr="006E4026" w:rsidRDefault="006E4026" w:rsidP="006E4026">
            <w:pPr>
              <w:rPr>
                <w:rFonts w:ascii="Calibri" w:hAnsi="Calibri" w:cs="Calibri"/>
                <w:sz w:val="22"/>
                <w:szCs w:val="20"/>
              </w:rPr>
            </w:pPr>
            <w:r w:rsidRPr="006E4026">
              <w:rPr>
                <w:rFonts w:ascii="Calibri" w:hAnsi="Calibri" w:cs="Calibri"/>
                <w:sz w:val="22"/>
                <w:szCs w:val="20"/>
              </w:rPr>
              <w:t>Risk escalated to Very High</w:t>
            </w:r>
            <w:r w:rsidR="00BF4572">
              <w:rPr>
                <w:rFonts w:ascii="Calibri" w:hAnsi="Calibri" w:cs="Calibri"/>
                <w:sz w:val="22"/>
                <w:szCs w:val="20"/>
              </w:rPr>
              <w:t xml:space="preserve"> in Q3 and then reverted to High as</w:t>
            </w:r>
            <w:r w:rsidRPr="006E4026">
              <w:rPr>
                <w:rFonts w:ascii="Calibri" w:hAnsi="Calibri" w:cs="Calibri"/>
                <w:sz w:val="22"/>
                <w:szCs w:val="20"/>
              </w:rPr>
              <w:t xml:space="preserve"> </w:t>
            </w:r>
            <w:r w:rsidR="00BF4572">
              <w:rPr>
                <w:rFonts w:ascii="Calibri" w:hAnsi="Calibri" w:cs="Calibri"/>
                <w:sz w:val="22"/>
                <w:szCs w:val="20"/>
              </w:rPr>
              <w:t>p</w:t>
            </w:r>
            <w:r w:rsidRPr="006E4026">
              <w:rPr>
                <w:rFonts w:ascii="Calibri" w:hAnsi="Calibri" w:cs="Calibri"/>
                <w:sz w:val="22"/>
                <w:szCs w:val="20"/>
              </w:rPr>
              <w:t xml:space="preserve">lanning assumptions for a </w:t>
            </w:r>
            <w:r w:rsidR="00BF4572">
              <w:rPr>
                <w:rFonts w:ascii="Calibri" w:hAnsi="Calibri" w:cs="Calibri"/>
                <w:sz w:val="22"/>
                <w:szCs w:val="20"/>
              </w:rPr>
              <w:t xml:space="preserve">budget </w:t>
            </w:r>
            <w:r w:rsidRPr="006E4026">
              <w:rPr>
                <w:rFonts w:ascii="Calibri" w:hAnsi="Calibri" w:cs="Calibri"/>
                <w:sz w:val="22"/>
                <w:szCs w:val="20"/>
              </w:rPr>
              <w:t>cut which don't cover statutory/fixed costs</w:t>
            </w:r>
            <w:r w:rsidR="00BF4572">
              <w:rPr>
                <w:rFonts w:ascii="Calibri" w:hAnsi="Calibri" w:cs="Calibri"/>
                <w:sz w:val="22"/>
                <w:szCs w:val="20"/>
              </w:rPr>
              <w:t xml:space="preserve"> did not materialise for 2024-25</w:t>
            </w:r>
            <w:r w:rsidRPr="006E4026">
              <w:rPr>
                <w:rFonts w:ascii="Calibri" w:hAnsi="Calibri" w:cs="Calibri"/>
                <w:sz w:val="22"/>
                <w:szCs w:val="20"/>
              </w:rPr>
              <w:t xml:space="preserve">. </w:t>
            </w:r>
            <w:r w:rsidR="00B82380" w:rsidRPr="006E4026">
              <w:rPr>
                <w:rFonts w:ascii="Calibri" w:hAnsi="Calibri" w:cs="Calibri"/>
                <w:sz w:val="22"/>
                <w:szCs w:val="20"/>
              </w:rPr>
              <w:t xml:space="preserve">Discussions </w:t>
            </w:r>
            <w:r w:rsidR="00B82380">
              <w:rPr>
                <w:rFonts w:ascii="Calibri" w:hAnsi="Calibri" w:cs="Calibri"/>
                <w:sz w:val="22"/>
                <w:szCs w:val="20"/>
              </w:rPr>
              <w:t>will</w:t>
            </w:r>
            <w:r w:rsidR="00BF4572">
              <w:rPr>
                <w:rFonts w:ascii="Calibri" w:hAnsi="Calibri" w:cs="Calibri"/>
                <w:sz w:val="22"/>
                <w:szCs w:val="20"/>
              </w:rPr>
              <w:t xml:space="preserve"> continue with</w:t>
            </w:r>
            <w:r w:rsidRPr="006E4026">
              <w:rPr>
                <w:rFonts w:ascii="Calibri" w:hAnsi="Calibri" w:cs="Calibri"/>
                <w:sz w:val="22"/>
                <w:szCs w:val="20"/>
              </w:rPr>
              <w:t xml:space="preserve"> Scottish Government over various scenarios</w:t>
            </w:r>
            <w:r w:rsidR="00BF4572">
              <w:rPr>
                <w:rFonts w:ascii="Calibri" w:hAnsi="Calibri" w:cs="Calibri"/>
                <w:sz w:val="22"/>
                <w:szCs w:val="20"/>
              </w:rPr>
              <w:t xml:space="preserve"> for future years</w:t>
            </w:r>
            <w:r w:rsidRPr="006E4026">
              <w:rPr>
                <w:rFonts w:ascii="Calibri" w:hAnsi="Calibri" w:cs="Calibri"/>
                <w:sz w:val="22"/>
                <w:szCs w:val="20"/>
              </w:rPr>
              <w:t>. SLT have implemented an external vacancy freeze since November and are reviewing our approach to FTA renewals</w:t>
            </w:r>
            <w:r w:rsidR="00BF4572">
              <w:rPr>
                <w:rFonts w:ascii="Calibri" w:hAnsi="Calibri" w:cs="Calibri"/>
                <w:sz w:val="22"/>
                <w:szCs w:val="20"/>
              </w:rPr>
              <w:t xml:space="preserve"> and we are</w:t>
            </w:r>
            <w:r w:rsidRPr="006E4026">
              <w:rPr>
                <w:rFonts w:ascii="Calibri" w:hAnsi="Calibri" w:cs="Calibri"/>
                <w:sz w:val="22"/>
                <w:szCs w:val="20"/>
              </w:rPr>
              <w:t xml:space="preserve"> refining our prioritisation.</w:t>
            </w:r>
          </w:p>
          <w:p w14:paraId="73723F00" w14:textId="77777777" w:rsidR="006E4026" w:rsidRPr="006E4026" w:rsidRDefault="006E4026" w:rsidP="006E4026">
            <w:pPr>
              <w:rPr>
                <w:rFonts w:cstheme="minorHAnsi"/>
                <w:sz w:val="22"/>
                <w:szCs w:val="20"/>
              </w:rPr>
            </w:pPr>
          </w:p>
        </w:tc>
      </w:tr>
    </w:tbl>
    <w:p w14:paraId="4242E726" w14:textId="77777777" w:rsidR="00734F59" w:rsidRDefault="00734F59" w:rsidP="006E4026">
      <w:pPr>
        <w:keepNext/>
        <w:keepLines/>
        <w:spacing w:before="40" w:after="0" w:line="259" w:lineRule="auto"/>
        <w:outlineLvl w:val="1"/>
        <w:rPr>
          <w:rFonts w:ascii="Calibri" w:eastAsia="Times New Roman" w:hAnsi="Calibri" w:cs="Calibri"/>
          <w:b/>
          <w:color w:val="4F81BD" w:themeColor="accent1"/>
          <w:sz w:val="28"/>
          <w:szCs w:val="28"/>
        </w:rPr>
      </w:pPr>
    </w:p>
    <w:p w14:paraId="73436462" w14:textId="3DE4923C" w:rsidR="00734F59" w:rsidRDefault="00734F59">
      <w:pPr>
        <w:rPr>
          <w:rFonts w:ascii="Calibri" w:eastAsia="Times New Roman" w:hAnsi="Calibri" w:cs="Calibri"/>
          <w:b/>
          <w:color w:val="4F81BD" w:themeColor="accent1"/>
          <w:sz w:val="28"/>
          <w:szCs w:val="28"/>
        </w:rPr>
      </w:pPr>
    </w:p>
    <w:sectPr w:rsidR="00734F59" w:rsidSect="00D14F08">
      <w:pgSz w:w="16838" w:h="11906" w:orient="landscape"/>
      <w:pgMar w:top="720" w:right="720" w:bottom="720" w:left="720" w:header="56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Stephen Coulter" w:date="2024-01-23T17:50:00Z" w:initials="SC">
    <w:p w14:paraId="09B549B3" w14:textId="653EB83B" w:rsidR="00F67DDD" w:rsidRDefault="00F67DDD" w:rsidP="00F67DDD">
      <w:pPr>
        <w:pStyle w:val="CommentText"/>
      </w:pPr>
      <w:r>
        <w:rPr>
          <w:rStyle w:val="CommentReference"/>
        </w:rPr>
        <w:annotationRef/>
      </w:r>
      <w:r>
        <w:t>Chelle to update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B549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5F3863" w16cex:dateUtc="2024-01-23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549B3" w16cid:durableId="2C5F38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CA3B" w14:textId="77777777" w:rsidR="008471E1" w:rsidRDefault="008471E1" w:rsidP="00204D20">
      <w:pPr>
        <w:spacing w:after="0" w:line="240" w:lineRule="auto"/>
      </w:pPr>
      <w:r>
        <w:separator/>
      </w:r>
    </w:p>
  </w:endnote>
  <w:endnote w:type="continuationSeparator" w:id="0">
    <w:p w14:paraId="3B9149F3" w14:textId="77777777" w:rsidR="008471E1" w:rsidRDefault="008471E1"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6976" w14:textId="77777777" w:rsidR="002976DD" w:rsidRDefault="002976DD">
    <w:pPr>
      <w:pStyle w:val="Footer"/>
      <w:jc w:val="center"/>
    </w:pPr>
  </w:p>
  <w:p w14:paraId="15BE90C9" w14:textId="77777777" w:rsidR="002976DD" w:rsidRDefault="00297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2976DD" w:rsidRDefault="002976DD">
    <w:pPr>
      <w:pStyle w:val="Footer"/>
      <w:jc w:val="center"/>
    </w:pPr>
  </w:p>
  <w:p w14:paraId="20364FD6" w14:textId="77777777" w:rsidR="002976DD" w:rsidRDefault="00297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971B" w14:textId="77777777" w:rsidR="008471E1" w:rsidRDefault="008471E1" w:rsidP="00204D20">
      <w:pPr>
        <w:spacing w:after="0" w:line="240" w:lineRule="auto"/>
      </w:pPr>
      <w:r>
        <w:separator/>
      </w:r>
    </w:p>
  </w:footnote>
  <w:footnote w:type="continuationSeparator" w:id="0">
    <w:p w14:paraId="48C7868E" w14:textId="77777777" w:rsidR="008471E1" w:rsidRDefault="008471E1" w:rsidP="00204D20">
      <w:pPr>
        <w:spacing w:after="0" w:line="240" w:lineRule="auto"/>
      </w:pPr>
      <w:r>
        <w:continuationSeparator/>
      </w:r>
    </w:p>
  </w:footnote>
  <w:footnote w:id="1">
    <w:p w14:paraId="383BDB0E" w14:textId="77777777" w:rsidR="00C20BBB" w:rsidRDefault="00C20BBB" w:rsidP="00C20BBB">
      <w:pPr>
        <w:pStyle w:val="FootnoteText"/>
      </w:pPr>
      <w:r w:rsidRPr="003C1742">
        <w:rPr>
          <w:rStyle w:val="FootnoteReference"/>
        </w:rPr>
        <w:footnoteRef/>
      </w:r>
      <w:r w:rsidRPr="003C1742">
        <w:t xml:space="preserve"> CIPD Health and Wellbeing Report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AEBE" w14:textId="219988B6" w:rsidR="000D56CC" w:rsidRPr="000D56CC" w:rsidRDefault="000D56CC" w:rsidP="000D56CC">
    <w:pPr>
      <w:pStyle w:val="Header"/>
      <w:jc w:val="right"/>
      <w:rPr>
        <w:b/>
        <w:bCs/>
      </w:rPr>
    </w:pPr>
    <w:r w:rsidRPr="000D56CC">
      <w:rPr>
        <w:b/>
        <w:bCs/>
      </w:rPr>
      <w:t>BOARD/210/09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7F9"/>
    <w:multiLevelType w:val="hybridMultilevel"/>
    <w:tmpl w:val="824C3A2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CD14DD"/>
    <w:multiLevelType w:val="hybridMultilevel"/>
    <w:tmpl w:val="7F986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71A67"/>
    <w:multiLevelType w:val="hybridMultilevel"/>
    <w:tmpl w:val="1A209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60F5E"/>
    <w:multiLevelType w:val="hybridMultilevel"/>
    <w:tmpl w:val="62AA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A5F9A"/>
    <w:multiLevelType w:val="hybridMultilevel"/>
    <w:tmpl w:val="03D41792"/>
    <w:lvl w:ilvl="0" w:tplc="08090001">
      <w:start w:val="1"/>
      <w:numFmt w:val="bullet"/>
      <w:lvlText w:val=""/>
      <w:lvlJc w:val="left"/>
      <w:pPr>
        <w:ind w:left="360" w:hanging="360"/>
      </w:pPr>
      <w:rPr>
        <w:rFonts w:ascii="Symbol" w:hAnsi="Symbol" w:hint="default"/>
        <w:color w:val="000000"/>
      </w:rPr>
    </w:lvl>
    <w:lvl w:ilvl="1" w:tplc="8D6E4B46">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7882F3D"/>
    <w:multiLevelType w:val="hybridMultilevel"/>
    <w:tmpl w:val="8ADC9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BD565E"/>
    <w:multiLevelType w:val="hybridMultilevel"/>
    <w:tmpl w:val="D0086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E52B05"/>
    <w:multiLevelType w:val="hybridMultilevel"/>
    <w:tmpl w:val="E9D07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B013D3"/>
    <w:multiLevelType w:val="hybridMultilevel"/>
    <w:tmpl w:val="3A764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2B543A"/>
    <w:multiLevelType w:val="hybridMultilevel"/>
    <w:tmpl w:val="F054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4237CD"/>
    <w:multiLevelType w:val="hybridMultilevel"/>
    <w:tmpl w:val="C1A6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53057E"/>
    <w:multiLevelType w:val="hybridMultilevel"/>
    <w:tmpl w:val="BF384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DD7B05"/>
    <w:multiLevelType w:val="hybridMultilevel"/>
    <w:tmpl w:val="9752A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1B04AF"/>
    <w:multiLevelType w:val="hybridMultilevel"/>
    <w:tmpl w:val="B108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651DE"/>
    <w:multiLevelType w:val="hybridMultilevel"/>
    <w:tmpl w:val="DF0087B8"/>
    <w:lvl w:ilvl="0" w:tplc="8CF4F212">
      <w:start w:val="1"/>
      <w:numFmt w:val="decimal"/>
      <w:lvlText w:val="%1."/>
      <w:lvlJc w:val="left"/>
      <w:pPr>
        <w:ind w:left="360" w:hanging="360"/>
      </w:pPr>
      <w:rPr>
        <w:color w:val="auto"/>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A8687B"/>
    <w:multiLevelType w:val="hybridMultilevel"/>
    <w:tmpl w:val="77A69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C273E6"/>
    <w:multiLevelType w:val="hybridMultilevel"/>
    <w:tmpl w:val="1ADA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EB2A52"/>
    <w:multiLevelType w:val="hybridMultilevel"/>
    <w:tmpl w:val="879A9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63A344A"/>
    <w:multiLevelType w:val="hybridMultilevel"/>
    <w:tmpl w:val="72A4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745497"/>
    <w:multiLevelType w:val="hybridMultilevel"/>
    <w:tmpl w:val="5F747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5D3A67"/>
    <w:multiLevelType w:val="hybridMultilevel"/>
    <w:tmpl w:val="678019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F511CF"/>
    <w:multiLevelType w:val="hybridMultilevel"/>
    <w:tmpl w:val="8856D9DC"/>
    <w:lvl w:ilvl="0" w:tplc="54826F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3F5064"/>
    <w:multiLevelType w:val="hybridMultilevel"/>
    <w:tmpl w:val="77125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940F9F"/>
    <w:multiLevelType w:val="hybridMultilevel"/>
    <w:tmpl w:val="E80A6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1C3D3E"/>
    <w:multiLevelType w:val="hybridMultilevel"/>
    <w:tmpl w:val="C61A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F2211E"/>
    <w:multiLevelType w:val="hybridMultilevel"/>
    <w:tmpl w:val="D660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7222D6"/>
    <w:multiLevelType w:val="hybridMultilevel"/>
    <w:tmpl w:val="EE2C95AC"/>
    <w:lvl w:ilvl="0" w:tplc="C5A01AB4">
      <w:numFmt w:val="bullet"/>
      <w:lvlText w:val="-"/>
      <w:lvlJc w:val="left"/>
      <w:pPr>
        <w:ind w:left="360" w:hanging="360"/>
      </w:pPr>
      <w:rPr>
        <w:rFonts w:ascii="Gotham Book" w:eastAsiaTheme="minorHAnsi" w:hAnsi="Gotham Book" w:cs="Gotham Book"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80B4D33"/>
    <w:multiLevelType w:val="hybridMultilevel"/>
    <w:tmpl w:val="883E2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8170081"/>
    <w:multiLevelType w:val="hybridMultilevel"/>
    <w:tmpl w:val="F360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9475AD"/>
    <w:multiLevelType w:val="hybridMultilevel"/>
    <w:tmpl w:val="6206E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A2581C"/>
    <w:multiLevelType w:val="multilevel"/>
    <w:tmpl w:val="DB48D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C7719C"/>
    <w:multiLevelType w:val="hybridMultilevel"/>
    <w:tmpl w:val="8ADE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E63C1C"/>
    <w:multiLevelType w:val="hybridMultilevel"/>
    <w:tmpl w:val="D43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B54958"/>
    <w:multiLevelType w:val="hybridMultilevel"/>
    <w:tmpl w:val="2214B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FC5ADC"/>
    <w:multiLevelType w:val="hybridMultilevel"/>
    <w:tmpl w:val="D2405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E84904"/>
    <w:multiLevelType w:val="hybridMultilevel"/>
    <w:tmpl w:val="A0101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C2713CE"/>
    <w:multiLevelType w:val="hybridMultilevel"/>
    <w:tmpl w:val="059C7A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F423162"/>
    <w:multiLevelType w:val="hybridMultilevel"/>
    <w:tmpl w:val="95E4F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F820AF"/>
    <w:multiLevelType w:val="hybridMultilevel"/>
    <w:tmpl w:val="C916DA72"/>
    <w:lvl w:ilvl="0" w:tplc="08090001">
      <w:start w:val="1"/>
      <w:numFmt w:val="bullet"/>
      <w:lvlText w:val=""/>
      <w:lvlJc w:val="left"/>
      <w:pPr>
        <w:ind w:left="643" w:hanging="360"/>
      </w:pPr>
      <w:rPr>
        <w:rFonts w:ascii="Symbol" w:hAnsi="Symbol" w:hint="default"/>
      </w:rPr>
    </w:lvl>
    <w:lvl w:ilvl="1" w:tplc="A30EECB6">
      <w:start w:val="4"/>
      <w:numFmt w:val="bullet"/>
      <w:lvlText w:val="-"/>
      <w:lvlJc w:val="left"/>
      <w:pPr>
        <w:ind w:left="1363" w:hanging="360"/>
      </w:pPr>
      <w:rPr>
        <w:rFonts w:ascii="Calibri" w:eastAsiaTheme="minorHAnsi" w:hAnsi="Calibri" w:cs="Calibri" w:hint="default"/>
        <w:color w:val="auto"/>
        <w:sz w:val="24"/>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0" w15:restartNumberingAfterBreak="0">
    <w:nsid w:val="65856631"/>
    <w:multiLevelType w:val="hybridMultilevel"/>
    <w:tmpl w:val="E3CEE9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93706C"/>
    <w:multiLevelType w:val="hybridMultilevel"/>
    <w:tmpl w:val="4A145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824180"/>
    <w:multiLevelType w:val="hybridMultilevel"/>
    <w:tmpl w:val="163A02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AA2601"/>
    <w:multiLevelType w:val="hybridMultilevel"/>
    <w:tmpl w:val="A498C638"/>
    <w:lvl w:ilvl="0" w:tplc="8CF4F212">
      <w:start w:val="1"/>
      <w:numFmt w:val="decimal"/>
      <w:lvlText w:val="%1."/>
      <w:lvlJc w:val="left"/>
      <w:pPr>
        <w:ind w:left="360" w:hanging="360"/>
      </w:pPr>
      <w:rPr>
        <w:color w:val="auto"/>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BBA1822"/>
    <w:multiLevelType w:val="hybridMultilevel"/>
    <w:tmpl w:val="0818F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0B36476"/>
    <w:multiLevelType w:val="hybridMultilevel"/>
    <w:tmpl w:val="1D0CB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27D655D"/>
    <w:multiLevelType w:val="hybridMultilevel"/>
    <w:tmpl w:val="CD467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7BE7D84"/>
    <w:multiLevelType w:val="hybridMultilevel"/>
    <w:tmpl w:val="EB5CD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89E103B"/>
    <w:multiLevelType w:val="hybridMultilevel"/>
    <w:tmpl w:val="AA0A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195F46"/>
    <w:multiLevelType w:val="hybridMultilevel"/>
    <w:tmpl w:val="BB32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538554">
    <w:abstractNumId w:val="43"/>
  </w:num>
  <w:num w:numId="2" w16cid:durableId="1674455582">
    <w:abstractNumId w:val="11"/>
  </w:num>
  <w:num w:numId="3" w16cid:durableId="1537355397">
    <w:abstractNumId w:val="39"/>
  </w:num>
  <w:num w:numId="4" w16cid:durableId="1157068623">
    <w:abstractNumId w:val="17"/>
  </w:num>
  <w:num w:numId="5" w16cid:durableId="1505589072">
    <w:abstractNumId w:val="42"/>
  </w:num>
  <w:num w:numId="6" w16cid:durableId="592012198">
    <w:abstractNumId w:val="13"/>
  </w:num>
  <w:num w:numId="7" w16cid:durableId="764544235">
    <w:abstractNumId w:val="40"/>
  </w:num>
  <w:num w:numId="8" w16cid:durableId="1109197799">
    <w:abstractNumId w:val="28"/>
  </w:num>
  <w:num w:numId="9" w16cid:durableId="400326562">
    <w:abstractNumId w:val="34"/>
  </w:num>
  <w:num w:numId="10" w16cid:durableId="554244712">
    <w:abstractNumId w:val="16"/>
  </w:num>
  <w:num w:numId="11" w16cid:durableId="1001279830">
    <w:abstractNumId w:val="47"/>
  </w:num>
  <w:num w:numId="12" w16cid:durableId="1957370050">
    <w:abstractNumId w:val="8"/>
  </w:num>
  <w:num w:numId="13" w16cid:durableId="1658414559">
    <w:abstractNumId w:val="10"/>
  </w:num>
  <w:num w:numId="14" w16cid:durableId="1357266881">
    <w:abstractNumId w:val="12"/>
  </w:num>
  <w:num w:numId="15" w16cid:durableId="1380402294">
    <w:abstractNumId w:val="49"/>
  </w:num>
  <w:num w:numId="16" w16cid:durableId="1066103117">
    <w:abstractNumId w:val="0"/>
  </w:num>
  <w:num w:numId="17" w16cid:durableId="1636526839">
    <w:abstractNumId w:val="33"/>
  </w:num>
  <w:num w:numId="18" w16cid:durableId="1157764447">
    <w:abstractNumId w:val="29"/>
  </w:num>
  <w:num w:numId="19" w16cid:durableId="1916938851">
    <w:abstractNumId w:val="26"/>
  </w:num>
  <w:num w:numId="20" w16cid:durableId="1743991283">
    <w:abstractNumId w:val="3"/>
  </w:num>
  <w:num w:numId="21" w16cid:durableId="1785810084">
    <w:abstractNumId w:val="25"/>
  </w:num>
  <w:num w:numId="22" w16cid:durableId="630135265">
    <w:abstractNumId w:val="48"/>
  </w:num>
  <w:num w:numId="23" w16cid:durableId="210194827">
    <w:abstractNumId w:val="41"/>
  </w:num>
  <w:num w:numId="24" w16cid:durableId="801188432">
    <w:abstractNumId w:val="23"/>
  </w:num>
  <w:num w:numId="25" w16cid:durableId="639112455">
    <w:abstractNumId w:val="19"/>
  </w:num>
  <w:num w:numId="26" w16cid:durableId="317880782">
    <w:abstractNumId w:val="9"/>
  </w:num>
  <w:num w:numId="27" w16cid:durableId="2129883934">
    <w:abstractNumId w:val="14"/>
  </w:num>
  <w:num w:numId="28" w16cid:durableId="1767384315">
    <w:abstractNumId w:val="27"/>
  </w:num>
  <w:num w:numId="29" w16cid:durableId="1316179581">
    <w:abstractNumId w:val="20"/>
  </w:num>
  <w:num w:numId="30" w16cid:durableId="654456137">
    <w:abstractNumId w:val="1"/>
  </w:num>
  <w:num w:numId="31" w16cid:durableId="167984799">
    <w:abstractNumId w:val="2"/>
  </w:num>
  <w:num w:numId="32" w16cid:durableId="580797457">
    <w:abstractNumId w:val="30"/>
  </w:num>
  <w:num w:numId="33" w16cid:durableId="409667606">
    <w:abstractNumId w:val="38"/>
  </w:num>
  <w:num w:numId="34" w16cid:durableId="1312634313">
    <w:abstractNumId w:val="32"/>
  </w:num>
  <w:num w:numId="35" w16cid:durableId="809518597">
    <w:abstractNumId w:val="24"/>
  </w:num>
  <w:num w:numId="36" w16cid:durableId="268126285">
    <w:abstractNumId w:val="15"/>
  </w:num>
  <w:num w:numId="37" w16cid:durableId="336034094">
    <w:abstractNumId w:val="5"/>
  </w:num>
  <w:num w:numId="38" w16cid:durableId="1912423364">
    <w:abstractNumId w:val="31"/>
  </w:num>
  <w:num w:numId="39" w16cid:durableId="1302226284">
    <w:abstractNumId w:val="37"/>
  </w:num>
  <w:num w:numId="40" w16cid:durableId="979917011">
    <w:abstractNumId w:val="21"/>
  </w:num>
  <w:num w:numId="41" w16cid:durableId="1563711472">
    <w:abstractNumId w:val="44"/>
  </w:num>
  <w:num w:numId="42" w16cid:durableId="1586064911">
    <w:abstractNumId w:val="22"/>
  </w:num>
  <w:num w:numId="43" w16cid:durableId="1073896704">
    <w:abstractNumId w:val="45"/>
  </w:num>
  <w:num w:numId="44" w16cid:durableId="183903123">
    <w:abstractNumId w:val="35"/>
  </w:num>
  <w:num w:numId="45" w16cid:durableId="1555962947">
    <w:abstractNumId w:val="6"/>
  </w:num>
  <w:num w:numId="46" w16cid:durableId="825827227">
    <w:abstractNumId w:val="7"/>
  </w:num>
  <w:num w:numId="47" w16cid:durableId="766268750">
    <w:abstractNumId w:val="36"/>
  </w:num>
  <w:num w:numId="48" w16cid:durableId="1515726980">
    <w:abstractNumId w:val="18"/>
  </w:num>
  <w:num w:numId="49" w16cid:durableId="314723873">
    <w:abstractNumId w:val="40"/>
  </w:num>
  <w:num w:numId="50" w16cid:durableId="1824422549">
    <w:abstractNumId w:val="21"/>
  </w:num>
  <w:num w:numId="51" w16cid:durableId="203754156">
    <w:abstractNumId w:val="4"/>
  </w:num>
  <w:num w:numId="52" w16cid:durableId="585118831">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Coulter">
    <w15:presenceInfo w15:providerId="AD" w15:userId="S::Stephen.Coulter@nature.scot::a64fffac-575b-4098-a82a-5ef9442de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04FEA"/>
    <w:rsid w:val="000075A4"/>
    <w:rsid w:val="00010393"/>
    <w:rsid w:val="00014497"/>
    <w:rsid w:val="00020D88"/>
    <w:rsid w:val="00022898"/>
    <w:rsid w:val="000229E0"/>
    <w:rsid w:val="00023C29"/>
    <w:rsid w:val="00025C49"/>
    <w:rsid w:val="00030D53"/>
    <w:rsid w:val="000402DB"/>
    <w:rsid w:val="000411A0"/>
    <w:rsid w:val="00044D57"/>
    <w:rsid w:val="0005056A"/>
    <w:rsid w:val="00051324"/>
    <w:rsid w:val="00054BCF"/>
    <w:rsid w:val="00055E59"/>
    <w:rsid w:val="00056670"/>
    <w:rsid w:val="0005795C"/>
    <w:rsid w:val="00057D11"/>
    <w:rsid w:val="000614D0"/>
    <w:rsid w:val="00070284"/>
    <w:rsid w:val="00075F02"/>
    <w:rsid w:val="0007662F"/>
    <w:rsid w:val="00080412"/>
    <w:rsid w:val="000837C9"/>
    <w:rsid w:val="00087704"/>
    <w:rsid w:val="00092FC8"/>
    <w:rsid w:val="000936B1"/>
    <w:rsid w:val="000A64A8"/>
    <w:rsid w:val="000B2C17"/>
    <w:rsid w:val="000B4710"/>
    <w:rsid w:val="000C0C63"/>
    <w:rsid w:val="000D56CC"/>
    <w:rsid w:val="000E47B7"/>
    <w:rsid w:val="000F4686"/>
    <w:rsid w:val="001033FB"/>
    <w:rsid w:val="00106424"/>
    <w:rsid w:val="00107243"/>
    <w:rsid w:val="00111B84"/>
    <w:rsid w:val="0011228E"/>
    <w:rsid w:val="001126C6"/>
    <w:rsid w:val="0011387D"/>
    <w:rsid w:val="00114E45"/>
    <w:rsid w:val="00116039"/>
    <w:rsid w:val="001160F9"/>
    <w:rsid w:val="00120B7F"/>
    <w:rsid w:val="00121ACF"/>
    <w:rsid w:val="00124639"/>
    <w:rsid w:val="00135003"/>
    <w:rsid w:val="00141636"/>
    <w:rsid w:val="00141C4D"/>
    <w:rsid w:val="001428C1"/>
    <w:rsid w:val="0014395C"/>
    <w:rsid w:val="00143C54"/>
    <w:rsid w:val="00146276"/>
    <w:rsid w:val="00152035"/>
    <w:rsid w:val="00154FDE"/>
    <w:rsid w:val="00160596"/>
    <w:rsid w:val="001619C2"/>
    <w:rsid w:val="00162DE7"/>
    <w:rsid w:val="00166111"/>
    <w:rsid w:val="00167067"/>
    <w:rsid w:val="0017275A"/>
    <w:rsid w:val="00174E38"/>
    <w:rsid w:val="001753AB"/>
    <w:rsid w:val="00183C38"/>
    <w:rsid w:val="00194645"/>
    <w:rsid w:val="001960D7"/>
    <w:rsid w:val="00197293"/>
    <w:rsid w:val="001A17E0"/>
    <w:rsid w:val="001A5F20"/>
    <w:rsid w:val="001B6867"/>
    <w:rsid w:val="001B7A15"/>
    <w:rsid w:val="001C009C"/>
    <w:rsid w:val="001C722B"/>
    <w:rsid w:val="001D08B3"/>
    <w:rsid w:val="001D34C7"/>
    <w:rsid w:val="001D5309"/>
    <w:rsid w:val="001E0B42"/>
    <w:rsid w:val="001E6923"/>
    <w:rsid w:val="001F7397"/>
    <w:rsid w:val="00202841"/>
    <w:rsid w:val="00204D20"/>
    <w:rsid w:val="0020596F"/>
    <w:rsid w:val="002062E0"/>
    <w:rsid w:val="002069F8"/>
    <w:rsid w:val="00210B4A"/>
    <w:rsid w:val="00215EA3"/>
    <w:rsid w:val="00217883"/>
    <w:rsid w:val="00217896"/>
    <w:rsid w:val="0023014F"/>
    <w:rsid w:val="002343E9"/>
    <w:rsid w:val="00236700"/>
    <w:rsid w:val="0024027D"/>
    <w:rsid w:val="00240285"/>
    <w:rsid w:val="00246728"/>
    <w:rsid w:val="00250054"/>
    <w:rsid w:val="00252A73"/>
    <w:rsid w:val="00252B00"/>
    <w:rsid w:val="0025371D"/>
    <w:rsid w:val="00257A02"/>
    <w:rsid w:val="002628E0"/>
    <w:rsid w:val="00264512"/>
    <w:rsid w:val="00265931"/>
    <w:rsid w:val="002704C0"/>
    <w:rsid w:val="00271AB3"/>
    <w:rsid w:val="00283F5C"/>
    <w:rsid w:val="00286B98"/>
    <w:rsid w:val="002907ED"/>
    <w:rsid w:val="002929E5"/>
    <w:rsid w:val="00294C71"/>
    <w:rsid w:val="002976DD"/>
    <w:rsid w:val="00297FE0"/>
    <w:rsid w:val="002A3C54"/>
    <w:rsid w:val="002A3F0E"/>
    <w:rsid w:val="002A4104"/>
    <w:rsid w:val="002A7A0F"/>
    <w:rsid w:val="002B5C1A"/>
    <w:rsid w:val="002B7ED3"/>
    <w:rsid w:val="002C17F9"/>
    <w:rsid w:val="002C1DDB"/>
    <w:rsid w:val="002C4E9F"/>
    <w:rsid w:val="002D0A7D"/>
    <w:rsid w:val="002D1F9B"/>
    <w:rsid w:val="002D5461"/>
    <w:rsid w:val="002E3CEA"/>
    <w:rsid w:val="002E6489"/>
    <w:rsid w:val="002E6B3A"/>
    <w:rsid w:val="002F06D7"/>
    <w:rsid w:val="002F1049"/>
    <w:rsid w:val="002F786B"/>
    <w:rsid w:val="00300974"/>
    <w:rsid w:val="003011F1"/>
    <w:rsid w:val="0030356B"/>
    <w:rsid w:val="00304855"/>
    <w:rsid w:val="00313599"/>
    <w:rsid w:val="00314E25"/>
    <w:rsid w:val="00315CF4"/>
    <w:rsid w:val="0031622C"/>
    <w:rsid w:val="003173A9"/>
    <w:rsid w:val="00320CAE"/>
    <w:rsid w:val="00322D98"/>
    <w:rsid w:val="0032429D"/>
    <w:rsid w:val="003252B4"/>
    <w:rsid w:val="003254E8"/>
    <w:rsid w:val="00330547"/>
    <w:rsid w:val="003318DF"/>
    <w:rsid w:val="003328AC"/>
    <w:rsid w:val="0033297B"/>
    <w:rsid w:val="003344F1"/>
    <w:rsid w:val="00334AFF"/>
    <w:rsid w:val="003363AC"/>
    <w:rsid w:val="00337253"/>
    <w:rsid w:val="0035019C"/>
    <w:rsid w:val="00351B08"/>
    <w:rsid w:val="003566CB"/>
    <w:rsid w:val="00356754"/>
    <w:rsid w:val="00357FB8"/>
    <w:rsid w:val="00361A92"/>
    <w:rsid w:val="003668BD"/>
    <w:rsid w:val="00366E4B"/>
    <w:rsid w:val="0036767C"/>
    <w:rsid w:val="0037041C"/>
    <w:rsid w:val="00371D9E"/>
    <w:rsid w:val="0037422F"/>
    <w:rsid w:val="003753A7"/>
    <w:rsid w:val="00387703"/>
    <w:rsid w:val="00387B92"/>
    <w:rsid w:val="00392215"/>
    <w:rsid w:val="00392F0D"/>
    <w:rsid w:val="00397DEC"/>
    <w:rsid w:val="003A0BAA"/>
    <w:rsid w:val="003A1445"/>
    <w:rsid w:val="003A5820"/>
    <w:rsid w:val="003A6E93"/>
    <w:rsid w:val="003B04D5"/>
    <w:rsid w:val="003B170D"/>
    <w:rsid w:val="003B1A4C"/>
    <w:rsid w:val="003C0B5D"/>
    <w:rsid w:val="003C3F48"/>
    <w:rsid w:val="003C6C3C"/>
    <w:rsid w:val="003D2471"/>
    <w:rsid w:val="003E0AFA"/>
    <w:rsid w:val="003E22BB"/>
    <w:rsid w:val="003E3649"/>
    <w:rsid w:val="003E509E"/>
    <w:rsid w:val="004007E4"/>
    <w:rsid w:val="0040792C"/>
    <w:rsid w:val="004256C5"/>
    <w:rsid w:val="0043005C"/>
    <w:rsid w:val="00436099"/>
    <w:rsid w:val="00440662"/>
    <w:rsid w:val="004418B3"/>
    <w:rsid w:val="00441B5A"/>
    <w:rsid w:val="00446F16"/>
    <w:rsid w:val="0045169F"/>
    <w:rsid w:val="00454B23"/>
    <w:rsid w:val="00457967"/>
    <w:rsid w:val="004602D8"/>
    <w:rsid w:val="00460391"/>
    <w:rsid w:val="004610B2"/>
    <w:rsid w:val="004665ED"/>
    <w:rsid w:val="00467896"/>
    <w:rsid w:val="00474D07"/>
    <w:rsid w:val="00475D56"/>
    <w:rsid w:val="00486FF8"/>
    <w:rsid w:val="004872D7"/>
    <w:rsid w:val="004914EA"/>
    <w:rsid w:val="0049213E"/>
    <w:rsid w:val="004A3F3A"/>
    <w:rsid w:val="004A47F9"/>
    <w:rsid w:val="004A66C2"/>
    <w:rsid w:val="004A7104"/>
    <w:rsid w:val="004B0300"/>
    <w:rsid w:val="004B1349"/>
    <w:rsid w:val="004C035F"/>
    <w:rsid w:val="004D3D42"/>
    <w:rsid w:val="004D6590"/>
    <w:rsid w:val="004E09A3"/>
    <w:rsid w:val="004E24F1"/>
    <w:rsid w:val="004E33E8"/>
    <w:rsid w:val="004E3E96"/>
    <w:rsid w:val="004E4A88"/>
    <w:rsid w:val="004E6D32"/>
    <w:rsid w:val="004F1BBD"/>
    <w:rsid w:val="004F3330"/>
    <w:rsid w:val="004F3D8D"/>
    <w:rsid w:val="004F7386"/>
    <w:rsid w:val="00501026"/>
    <w:rsid w:val="00505153"/>
    <w:rsid w:val="00505836"/>
    <w:rsid w:val="00506AFE"/>
    <w:rsid w:val="00506E5C"/>
    <w:rsid w:val="00512D3E"/>
    <w:rsid w:val="0051324F"/>
    <w:rsid w:val="00513659"/>
    <w:rsid w:val="00513A08"/>
    <w:rsid w:val="00517412"/>
    <w:rsid w:val="005261AF"/>
    <w:rsid w:val="005265DA"/>
    <w:rsid w:val="00530421"/>
    <w:rsid w:val="00540A77"/>
    <w:rsid w:val="00544B54"/>
    <w:rsid w:val="00545A1C"/>
    <w:rsid w:val="00546D2A"/>
    <w:rsid w:val="00555BEF"/>
    <w:rsid w:val="00566916"/>
    <w:rsid w:val="00567227"/>
    <w:rsid w:val="00567986"/>
    <w:rsid w:val="005724EC"/>
    <w:rsid w:val="00590A16"/>
    <w:rsid w:val="005926A8"/>
    <w:rsid w:val="0059527D"/>
    <w:rsid w:val="0059721F"/>
    <w:rsid w:val="00597951"/>
    <w:rsid w:val="005A2B42"/>
    <w:rsid w:val="005B22E3"/>
    <w:rsid w:val="005B4B54"/>
    <w:rsid w:val="005C07E3"/>
    <w:rsid w:val="005C611D"/>
    <w:rsid w:val="005C6F3F"/>
    <w:rsid w:val="005D0309"/>
    <w:rsid w:val="005D0456"/>
    <w:rsid w:val="005D0E4E"/>
    <w:rsid w:val="005D1EE3"/>
    <w:rsid w:val="005D6C8D"/>
    <w:rsid w:val="005D7863"/>
    <w:rsid w:val="005D7C88"/>
    <w:rsid w:val="005E05B0"/>
    <w:rsid w:val="005E05D0"/>
    <w:rsid w:val="005E5068"/>
    <w:rsid w:val="005F2537"/>
    <w:rsid w:val="005F53C1"/>
    <w:rsid w:val="006007B3"/>
    <w:rsid w:val="00600E8F"/>
    <w:rsid w:val="00604DB9"/>
    <w:rsid w:val="006055E6"/>
    <w:rsid w:val="00606286"/>
    <w:rsid w:val="00611CD6"/>
    <w:rsid w:val="0061200E"/>
    <w:rsid w:val="00617BA8"/>
    <w:rsid w:val="00631734"/>
    <w:rsid w:val="00633F28"/>
    <w:rsid w:val="00634694"/>
    <w:rsid w:val="0064058F"/>
    <w:rsid w:val="006433B8"/>
    <w:rsid w:val="00650878"/>
    <w:rsid w:val="00650F9D"/>
    <w:rsid w:val="0065545A"/>
    <w:rsid w:val="00663359"/>
    <w:rsid w:val="00663C83"/>
    <w:rsid w:val="006671CD"/>
    <w:rsid w:val="00683DAA"/>
    <w:rsid w:val="00690252"/>
    <w:rsid w:val="00693734"/>
    <w:rsid w:val="00695208"/>
    <w:rsid w:val="006A0541"/>
    <w:rsid w:val="006B521F"/>
    <w:rsid w:val="006B742B"/>
    <w:rsid w:val="006C200C"/>
    <w:rsid w:val="006D3FA5"/>
    <w:rsid w:val="006E075C"/>
    <w:rsid w:val="006E336B"/>
    <w:rsid w:val="006E3BED"/>
    <w:rsid w:val="006E4026"/>
    <w:rsid w:val="006E60EF"/>
    <w:rsid w:val="006F2B19"/>
    <w:rsid w:val="006F3730"/>
    <w:rsid w:val="006F4A92"/>
    <w:rsid w:val="00701143"/>
    <w:rsid w:val="00701FAD"/>
    <w:rsid w:val="0070585B"/>
    <w:rsid w:val="0070632F"/>
    <w:rsid w:val="00717EC9"/>
    <w:rsid w:val="0072052F"/>
    <w:rsid w:val="0072304F"/>
    <w:rsid w:val="00724E48"/>
    <w:rsid w:val="00724FBF"/>
    <w:rsid w:val="00734EB1"/>
    <w:rsid w:val="00734F59"/>
    <w:rsid w:val="007361D3"/>
    <w:rsid w:val="00746A04"/>
    <w:rsid w:val="00751947"/>
    <w:rsid w:val="00756BCF"/>
    <w:rsid w:val="00760F0F"/>
    <w:rsid w:val="00763688"/>
    <w:rsid w:val="007712ED"/>
    <w:rsid w:val="00771336"/>
    <w:rsid w:val="007759C3"/>
    <w:rsid w:val="00776A18"/>
    <w:rsid w:val="007807A0"/>
    <w:rsid w:val="00787269"/>
    <w:rsid w:val="00790D99"/>
    <w:rsid w:val="00794997"/>
    <w:rsid w:val="007B190E"/>
    <w:rsid w:val="007B45DB"/>
    <w:rsid w:val="007C290D"/>
    <w:rsid w:val="007C5167"/>
    <w:rsid w:val="007D246C"/>
    <w:rsid w:val="007D33E1"/>
    <w:rsid w:val="007D4236"/>
    <w:rsid w:val="007D5F0B"/>
    <w:rsid w:val="007D6B8E"/>
    <w:rsid w:val="007E34CA"/>
    <w:rsid w:val="007F04DD"/>
    <w:rsid w:val="008019F4"/>
    <w:rsid w:val="00802211"/>
    <w:rsid w:val="00803E97"/>
    <w:rsid w:val="00804D5C"/>
    <w:rsid w:val="0080609E"/>
    <w:rsid w:val="00806C3E"/>
    <w:rsid w:val="00812B99"/>
    <w:rsid w:val="0081699B"/>
    <w:rsid w:val="0082067A"/>
    <w:rsid w:val="0082236E"/>
    <w:rsid w:val="00825C31"/>
    <w:rsid w:val="00826C82"/>
    <w:rsid w:val="00830896"/>
    <w:rsid w:val="00834565"/>
    <w:rsid w:val="00836C51"/>
    <w:rsid w:val="00843646"/>
    <w:rsid w:val="00844CBE"/>
    <w:rsid w:val="008471E1"/>
    <w:rsid w:val="00851AE7"/>
    <w:rsid w:val="00852C00"/>
    <w:rsid w:val="008558A8"/>
    <w:rsid w:val="00860A66"/>
    <w:rsid w:val="0086120C"/>
    <w:rsid w:val="00861272"/>
    <w:rsid w:val="008625A3"/>
    <w:rsid w:val="00866908"/>
    <w:rsid w:val="00871EC6"/>
    <w:rsid w:val="00872198"/>
    <w:rsid w:val="00873638"/>
    <w:rsid w:val="008740F5"/>
    <w:rsid w:val="00874C56"/>
    <w:rsid w:val="00876455"/>
    <w:rsid w:val="00881E02"/>
    <w:rsid w:val="00895786"/>
    <w:rsid w:val="0089687F"/>
    <w:rsid w:val="00897B62"/>
    <w:rsid w:val="008A5585"/>
    <w:rsid w:val="008B1732"/>
    <w:rsid w:val="008B6E5C"/>
    <w:rsid w:val="008B6F6E"/>
    <w:rsid w:val="008C3922"/>
    <w:rsid w:val="008D20BE"/>
    <w:rsid w:val="008D323E"/>
    <w:rsid w:val="008E250C"/>
    <w:rsid w:val="008F329B"/>
    <w:rsid w:val="008F3AA0"/>
    <w:rsid w:val="008F6296"/>
    <w:rsid w:val="00901043"/>
    <w:rsid w:val="00912C08"/>
    <w:rsid w:val="009276B1"/>
    <w:rsid w:val="00930721"/>
    <w:rsid w:val="009318A0"/>
    <w:rsid w:val="0093190C"/>
    <w:rsid w:val="00940A53"/>
    <w:rsid w:val="009427AE"/>
    <w:rsid w:val="00943F54"/>
    <w:rsid w:val="00945709"/>
    <w:rsid w:val="00946309"/>
    <w:rsid w:val="00946793"/>
    <w:rsid w:val="00950626"/>
    <w:rsid w:val="00951E50"/>
    <w:rsid w:val="00952709"/>
    <w:rsid w:val="009617CA"/>
    <w:rsid w:val="009644AB"/>
    <w:rsid w:val="00971091"/>
    <w:rsid w:val="00974AA0"/>
    <w:rsid w:val="00976B38"/>
    <w:rsid w:val="00985ED0"/>
    <w:rsid w:val="00986997"/>
    <w:rsid w:val="00987414"/>
    <w:rsid w:val="009A0129"/>
    <w:rsid w:val="009A4D80"/>
    <w:rsid w:val="009A5101"/>
    <w:rsid w:val="009A549A"/>
    <w:rsid w:val="009B16C1"/>
    <w:rsid w:val="009B1972"/>
    <w:rsid w:val="009B467A"/>
    <w:rsid w:val="009B4A5C"/>
    <w:rsid w:val="009B6B14"/>
    <w:rsid w:val="009B7BA2"/>
    <w:rsid w:val="009C109E"/>
    <w:rsid w:val="009D1304"/>
    <w:rsid w:val="009D7558"/>
    <w:rsid w:val="009D7E8C"/>
    <w:rsid w:val="009E5426"/>
    <w:rsid w:val="009E599C"/>
    <w:rsid w:val="009E619F"/>
    <w:rsid w:val="009F23AE"/>
    <w:rsid w:val="009F63AF"/>
    <w:rsid w:val="00A04497"/>
    <w:rsid w:val="00A06BFC"/>
    <w:rsid w:val="00A11704"/>
    <w:rsid w:val="00A15D6F"/>
    <w:rsid w:val="00A22254"/>
    <w:rsid w:val="00A26E66"/>
    <w:rsid w:val="00A30242"/>
    <w:rsid w:val="00A30604"/>
    <w:rsid w:val="00A33EEE"/>
    <w:rsid w:val="00A350FF"/>
    <w:rsid w:val="00A4300C"/>
    <w:rsid w:val="00A45D71"/>
    <w:rsid w:val="00A52F48"/>
    <w:rsid w:val="00A73B69"/>
    <w:rsid w:val="00A7484C"/>
    <w:rsid w:val="00A80762"/>
    <w:rsid w:val="00A81585"/>
    <w:rsid w:val="00A817A3"/>
    <w:rsid w:val="00A87436"/>
    <w:rsid w:val="00A907C9"/>
    <w:rsid w:val="00A92711"/>
    <w:rsid w:val="00A932B9"/>
    <w:rsid w:val="00A93654"/>
    <w:rsid w:val="00A93657"/>
    <w:rsid w:val="00AA1277"/>
    <w:rsid w:val="00AA6419"/>
    <w:rsid w:val="00AA762D"/>
    <w:rsid w:val="00AB59AE"/>
    <w:rsid w:val="00AB736C"/>
    <w:rsid w:val="00AC4A70"/>
    <w:rsid w:val="00AC53B1"/>
    <w:rsid w:val="00AC6E72"/>
    <w:rsid w:val="00AE1100"/>
    <w:rsid w:val="00AE216C"/>
    <w:rsid w:val="00AE2DD4"/>
    <w:rsid w:val="00AF02F6"/>
    <w:rsid w:val="00AF0F13"/>
    <w:rsid w:val="00B01A3B"/>
    <w:rsid w:val="00B033ED"/>
    <w:rsid w:val="00B10D94"/>
    <w:rsid w:val="00B12352"/>
    <w:rsid w:val="00B175FD"/>
    <w:rsid w:val="00B17F58"/>
    <w:rsid w:val="00B20645"/>
    <w:rsid w:val="00B20BE7"/>
    <w:rsid w:val="00B22AC9"/>
    <w:rsid w:val="00B2331C"/>
    <w:rsid w:val="00B24CA5"/>
    <w:rsid w:val="00B36869"/>
    <w:rsid w:val="00B44C93"/>
    <w:rsid w:val="00B45254"/>
    <w:rsid w:val="00B45716"/>
    <w:rsid w:val="00B4733C"/>
    <w:rsid w:val="00B50354"/>
    <w:rsid w:val="00B63545"/>
    <w:rsid w:val="00B63DD2"/>
    <w:rsid w:val="00B63F5B"/>
    <w:rsid w:val="00B65223"/>
    <w:rsid w:val="00B6537E"/>
    <w:rsid w:val="00B71A8F"/>
    <w:rsid w:val="00B74D4C"/>
    <w:rsid w:val="00B7627D"/>
    <w:rsid w:val="00B7631C"/>
    <w:rsid w:val="00B80F36"/>
    <w:rsid w:val="00B82380"/>
    <w:rsid w:val="00B837E7"/>
    <w:rsid w:val="00B847C5"/>
    <w:rsid w:val="00B94786"/>
    <w:rsid w:val="00B9554C"/>
    <w:rsid w:val="00B95587"/>
    <w:rsid w:val="00B957EC"/>
    <w:rsid w:val="00BB2AFD"/>
    <w:rsid w:val="00BC1ED8"/>
    <w:rsid w:val="00BC2772"/>
    <w:rsid w:val="00BC3DA1"/>
    <w:rsid w:val="00BC58D8"/>
    <w:rsid w:val="00BC6B69"/>
    <w:rsid w:val="00BD5E53"/>
    <w:rsid w:val="00BE0D91"/>
    <w:rsid w:val="00BF4572"/>
    <w:rsid w:val="00BF5C04"/>
    <w:rsid w:val="00BF70B3"/>
    <w:rsid w:val="00C02B9D"/>
    <w:rsid w:val="00C04412"/>
    <w:rsid w:val="00C05B81"/>
    <w:rsid w:val="00C0781B"/>
    <w:rsid w:val="00C17CFE"/>
    <w:rsid w:val="00C20BBB"/>
    <w:rsid w:val="00C23A43"/>
    <w:rsid w:val="00C25C54"/>
    <w:rsid w:val="00C33B3F"/>
    <w:rsid w:val="00C34985"/>
    <w:rsid w:val="00C3696B"/>
    <w:rsid w:val="00C36F76"/>
    <w:rsid w:val="00C41796"/>
    <w:rsid w:val="00C54AF8"/>
    <w:rsid w:val="00C57899"/>
    <w:rsid w:val="00C57AF3"/>
    <w:rsid w:val="00C70AC5"/>
    <w:rsid w:val="00C815FF"/>
    <w:rsid w:val="00C82B75"/>
    <w:rsid w:val="00C90221"/>
    <w:rsid w:val="00C90668"/>
    <w:rsid w:val="00C97C1C"/>
    <w:rsid w:val="00CA47FF"/>
    <w:rsid w:val="00CA6CA5"/>
    <w:rsid w:val="00CC23E9"/>
    <w:rsid w:val="00CC4495"/>
    <w:rsid w:val="00CC460E"/>
    <w:rsid w:val="00CD613D"/>
    <w:rsid w:val="00CD7E05"/>
    <w:rsid w:val="00CE1B3F"/>
    <w:rsid w:val="00CE5BE1"/>
    <w:rsid w:val="00CF0FAE"/>
    <w:rsid w:val="00CF3AFE"/>
    <w:rsid w:val="00CF3FFB"/>
    <w:rsid w:val="00CF5775"/>
    <w:rsid w:val="00D01C85"/>
    <w:rsid w:val="00D05C40"/>
    <w:rsid w:val="00D067E9"/>
    <w:rsid w:val="00D14F08"/>
    <w:rsid w:val="00D26D65"/>
    <w:rsid w:val="00D35778"/>
    <w:rsid w:val="00D36033"/>
    <w:rsid w:val="00D40788"/>
    <w:rsid w:val="00D44333"/>
    <w:rsid w:val="00D453EF"/>
    <w:rsid w:val="00D51F4A"/>
    <w:rsid w:val="00D52184"/>
    <w:rsid w:val="00D52B21"/>
    <w:rsid w:val="00D533D1"/>
    <w:rsid w:val="00D56D87"/>
    <w:rsid w:val="00D57026"/>
    <w:rsid w:val="00D62CA6"/>
    <w:rsid w:val="00D63C79"/>
    <w:rsid w:val="00D71742"/>
    <w:rsid w:val="00D71E80"/>
    <w:rsid w:val="00D723DF"/>
    <w:rsid w:val="00D771D0"/>
    <w:rsid w:val="00D824A2"/>
    <w:rsid w:val="00D85A63"/>
    <w:rsid w:val="00D928BC"/>
    <w:rsid w:val="00D9473C"/>
    <w:rsid w:val="00D963E1"/>
    <w:rsid w:val="00DA1D11"/>
    <w:rsid w:val="00DA6B4D"/>
    <w:rsid w:val="00DC17EB"/>
    <w:rsid w:val="00DC1933"/>
    <w:rsid w:val="00DC3685"/>
    <w:rsid w:val="00DC3DFD"/>
    <w:rsid w:val="00DD1243"/>
    <w:rsid w:val="00DD7D36"/>
    <w:rsid w:val="00DE3F09"/>
    <w:rsid w:val="00DE6935"/>
    <w:rsid w:val="00DF0FA7"/>
    <w:rsid w:val="00DF3056"/>
    <w:rsid w:val="00E005F2"/>
    <w:rsid w:val="00E00AF1"/>
    <w:rsid w:val="00E04F18"/>
    <w:rsid w:val="00E1234E"/>
    <w:rsid w:val="00E1294D"/>
    <w:rsid w:val="00E13C13"/>
    <w:rsid w:val="00E174CA"/>
    <w:rsid w:val="00E22A05"/>
    <w:rsid w:val="00E22BCA"/>
    <w:rsid w:val="00E241B1"/>
    <w:rsid w:val="00E2430A"/>
    <w:rsid w:val="00E31FF8"/>
    <w:rsid w:val="00E32417"/>
    <w:rsid w:val="00E34596"/>
    <w:rsid w:val="00E34DD3"/>
    <w:rsid w:val="00E37F70"/>
    <w:rsid w:val="00E403E3"/>
    <w:rsid w:val="00E4247E"/>
    <w:rsid w:val="00E46449"/>
    <w:rsid w:val="00E54CA4"/>
    <w:rsid w:val="00E552BC"/>
    <w:rsid w:val="00E55539"/>
    <w:rsid w:val="00E565BF"/>
    <w:rsid w:val="00E6050F"/>
    <w:rsid w:val="00E6506A"/>
    <w:rsid w:val="00E66407"/>
    <w:rsid w:val="00E66D39"/>
    <w:rsid w:val="00E66F6C"/>
    <w:rsid w:val="00E728B0"/>
    <w:rsid w:val="00E75BB0"/>
    <w:rsid w:val="00E768CD"/>
    <w:rsid w:val="00E800B3"/>
    <w:rsid w:val="00E80188"/>
    <w:rsid w:val="00E83BDD"/>
    <w:rsid w:val="00E85199"/>
    <w:rsid w:val="00E94DDE"/>
    <w:rsid w:val="00E95950"/>
    <w:rsid w:val="00EA1751"/>
    <w:rsid w:val="00EA266B"/>
    <w:rsid w:val="00EA39B7"/>
    <w:rsid w:val="00EB29A2"/>
    <w:rsid w:val="00EB4AD1"/>
    <w:rsid w:val="00EB7DD9"/>
    <w:rsid w:val="00EC1C3C"/>
    <w:rsid w:val="00EC6878"/>
    <w:rsid w:val="00EC6C50"/>
    <w:rsid w:val="00ED496A"/>
    <w:rsid w:val="00ED602F"/>
    <w:rsid w:val="00ED7021"/>
    <w:rsid w:val="00EE21BE"/>
    <w:rsid w:val="00EE480A"/>
    <w:rsid w:val="00EE4A2E"/>
    <w:rsid w:val="00EE6C3D"/>
    <w:rsid w:val="00EF1487"/>
    <w:rsid w:val="00EF3A3C"/>
    <w:rsid w:val="00EF3E44"/>
    <w:rsid w:val="00EF7B7F"/>
    <w:rsid w:val="00F02194"/>
    <w:rsid w:val="00F0315A"/>
    <w:rsid w:val="00F15554"/>
    <w:rsid w:val="00F24063"/>
    <w:rsid w:val="00F251D5"/>
    <w:rsid w:val="00F25B05"/>
    <w:rsid w:val="00F2676C"/>
    <w:rsid w:val="00F35A8A"/>
    <w:rsid w:val="00F37072"/>
    <w:rsid w:val="00F42D68"/>
    <w:rsid w:val="00F50CA3"/>
    <w:rsid w:val="00F544EB"/>
    <w:rsid w:val="00F5797F"/>
    <w:rsid w:val="00F63AD7"/>
    <w:rsid w:val="00F657C5"/>
    <w:rsid w:val="00F660FF"/>
    <w:rsid w:val="00F66BD0"/>
    <w:rsid w:val="00F67DDD"/>
    <w:rsid w:val="00F73BF3"/>
    <w:rsid w:val="00F754D9"/>
    <w:rsid w:val="00F75FDF"/>
    <w:rsid w:val="00F7794C"/>
    <w:rsid w:val="00F8261A"/>
    <w:rsid w:val="00F9474F"/>
    <w:rsid w:val="00F9525D"/>
    <w:rsid w:val="00F96EF0"/>
    <w:rsid w:val="00F976E6"/>
    <w:rsid w:val="00FA0E12"/>
    <w:rsid w:val="00FA1AA0"/>
    <w:rsid w:val="00FA4C91"/>
    <w:rsid w:val="00FA77ED"/>
    <w:rsid w:val="00FA7CF2"/>
    <w:rsid w:val="00FB279C"/>
    <w:rsid w:val="00FB472A"/>
    <w:rsid w:val="00FB7B0A"/>
    <w:rsid w:val="00FC0B8A"/>
    <w:rsid w:val="00FC10B6"/>
    <w:rsid w:val="00FC32ED"/>
    <w:rsid w:val="00FC461B"/>
    <w:rsid w:val="00FC4847"/>
    <w:rsid w:val="00FD1525"/>
    <w:rsid w:val="00FE5082"/>
    <w:rsid w:val="00FE6EF2"/>
    <w:rsid w:val="00FF0414"/>
    <w:rsid w:val="00FF18BB"/>
    <w:rsid w:val="00FF5834"/>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8F1810AB-AD1B-422F-BD59-0DCE752C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semiHidden/>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naturescot.nexus.objective.co.uk/documents/A4124199/details" TargetMode="External"/><Relationship Id="rId39" Type="http://schemas.openxmlformats.org/officeDocument/2006/relationships/hyperlink" Target="https://naturescot.nexus.objective.co.uk/documents/A3955829/details" TargetMode="External"/><Relationship Id="rId21" Type="http://schemas.openxmlformats.org/officeDocument/2006/relationships/image" Target="media/image7.png"/><Relationship Id="rId34" Type="http://schemas.openxmlformats.org/officeDocument/2006/relationships/hyperlink" Target="https://naturescot.nexus.objective.co.uk/documents/A3919298/details" TargetMode="External"/><Relationship Id="rId42" Type="http://schemas.openxmlformats.org/officeDocument/2006/relationships/hyperlink" Target="https://naturescot.nexus.objective.co.uk/documents/A3724366/details" TargetMode="External"/><Relationship Id="rId47" Type="http://schemas.openxmlformats.org/officeDocument/2006/relationships/image" Target="media/image20.png"/><Relationship Id="rId50" Type="http://schemas.openxmlformats.org/officeDocument/2006/relationships/comments" Target="comments.xml"/><Relationship Id="rId55" Type="http://schemas.openxmlformats.org/officeDocument/2006/relationships/image" Target="media/image24.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hyperlink" Target="https://naturescot.nexus.objective.co.uk/documents/A3920434/details" TargetMode="External"/><Relationship Id="rId32" Type="http://schemas.openxmlformats.org/officeDocument/2006/relationships/hyperlink" Target="https://naturescot.nexus.objective.co.uk/documents/A3920259/details" TargetMode="External"/><Relationship Id="rId37" Type="http://schemas.openxmlformats.org/officeDocument/2006/relationships/hyperlink" Target="https://naturescot.nexus.objective.co.uk/documents/A3736345/details" TargetMode="External"/><Relationship Id="rId40" Type="http://schemas.openxmlformats.org/officeDocument/2006/relationships/hyperlink" Target="https://naturescot.nexus.objective.co.uk/documents/A3736962/details" TargetMode="External"/><Relationship Id="rId45" Type="http://schemas.openxmlformats.org/officeDocument/2006/relationships/image" Target="media/image19.png"/><Relationship Id="rId53" Type="http://schemas.microsoft.com/office/2018/08/relationships/commentsExtensible" Target="commentsExtensible.xml"/><Relationship Id="rId58" Type="http://schemas.openxmlformats.org/officeDocument/2006/relationships/image" Target="media/image27.png"/><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naturescot.nexus.objective.co.uk/documents/A3963728/details" TargetMode="External"/><Relationship Id="rId14" Type="http://schemas.openxmlformats.org/officeDocument/2006/relationships/hyperlink" Target="https://naturescot.nexus.objective.co.uk/documents/A3938660/details" TargetMode="External"/><Relationship Id="rId22" Type="http://schemas.openxmlformats.org/officeDocument/2006/relationships/hyperlink" Target="https://naturescot.nexus.objective.co.uk/documents/A3920272/details" TargetMode="External"/><Relationship Id="rId27" Type="http://schemas.openxmlformats.org/officeDocument/2006/relationships/image" Target="media/image10.png"/><Relationship Id="rId30" Type="http://schemas.openxmlformats.org/officeDocument/2006/relationships/hyperlink" Target="https://naturescot.nexus.objective.co.uk/documents/A3736343/details" TargetMode="External"/><Relationship Id="rId35" Type="http://schemas.openxmlformats.org/officeDocument/2006/relationships/hyperlink" Target="https://naturescot.nexus.objective.co.uk/documents/A3736341/details" TargetMode="External"/><Relationship Id="rId43" Type="http://schemas.openxmlformats.org/officeDocument/2006/relationships/image" Target="media/image17.png"/><Relationship Id="rId48" Type="http://schemas.openxmlformats.org/officeDocument/2006/relationships/image" Target="media/image21.png"/><Relationship Id="rId56" Type="http://schemas.openxmlformats.org/officeDocument/2006/relationships/image" Target="media/image25.png"/><Relationship Id="rId8" Type="http://schemas.openxmlformats.org/officeDocument/2006/relationships/endnotes" Target="endnotes.xml"/><Relationship Id="rId51" Type="http://schemas.microsoft.com/office/2011/relationships/commentsExtended" Target="commentsExtended.xml"/><Relationship Id="rId3" Type="http://schemas.openxmlformats.org/officeDocument/2006/relationships/numbering" Target="numbering.xml"/><Relationship Id="rId12" Type="http://schemas.openxmlformats.org/officeDocument/2006/relationships/hyperlink" Target="https://naturescot.nexus.objective.co.uk/documents/A3962324/details"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image" Target="media/image15.png"/><Relationship Id="rId46" Type="http://schemas.openxmlformats.org/officeDocument/2006/relationships/hyperlink" Target="https://naturescot.nexus.objective.co.uk/documents/A3920956/details" TargetMode="External"/><Relationship Id="rId59" Type="http://schemas.openxmlformats.org/officeDocument/2006/relationships/image" Target="media/image28.png"/><Relationship Id="rId20" Type="http://schemas.openxmlformats.org/officeDocument/2006/relationships/hyperlink" Target="https://naturescot.nexus.objective.co.uk/documents/A3918504/details" TargetMode="External"/><Relationship Id="rId41" Type="http://schemas.openxmlformats.org/officeDocument/2006/relationships/image" Target="media/image16.png"/><Relationship Id="rId54" Type="http://schemas.openxmlformats.org/officeDocument/2006/relationships/image" Target="media/image23.pn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hyperlink" Target="https://naturescot.nexus.objective.co.uk/documents/A3736347/details" TargetMode="External"/><Relationship Id="rId36" Type="http://schemas.openxmlformats.org/officeDocument/2006/relationships/image" Target="media/image14.png"/><Relationship Id="rId49" Type="http://schemas.openxmlformats.org/officeDocument/2006/relationships/image" Target="media/image22.png"/><Relationship Id="rId57" Type="http://schemas.openxmlformats.org/officeDocument/2006/relationships/image" Target="media/image26.png"/><Relationship Id="rId10" Type="http://schemas.openxmlformats.org/officeDocument/2006/relationships/header" Target="header1.xml"/><Relationship Id="rId31" Type="http://schemas.openxmlformats.org/officeDocument/2006/relationships/image" Target="media/image12.png"/><Relationship Id="rId44" Type="http://schemas.openxmlformats.org/officeDocument/2006/relationships/image" Target="media/image18.png"/><Relationship Id="rId52" Type="http://schemas.microsoft.com/office/2016/09/relationships/commentsIds" Target="commentsIds.xml"/><Relationship Id="rId60"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A4324672</value>
    </field>
    <field name="Objective-Title">
      <value order="0">2023-24 Q3 Report to SLT (23 Jan 2024)</value>
    </field>
    <field name="Objective-Description">
      <value order="0"/>
    </field>
    <field name="Objective-CreationStamp">
      <value order="0">2023-11-30T15:54:25Z</value>
    </field>
    <field name="Objective-IsApproved">
      <value order="0">false</value>
    </field>
    <field name="Objective-IsPublished">
      <value order="0">false</value>
    </field>
    <field name="Objective-DatePublished">
      <value order="0"/>
    </field>
    <field name="Objective-ModificationStamp">
      <value order="0">2024-01-16T12:57:59Z</value>
    </field>
    <field name="Objective-Owner">
      <value order="0">Michelle Bennett</value>
    </field>
    <field name="Objective-Path">
      <value order="0">Objective Global Folder:NatureScot Fileplan:MAN - Management:BP - Business Planning:PM - Performance Management:Performance on Corporate Plan - 2022-2026</value>
    </field>
    <field name="Objective-Parent">
      <value order="0">Performance on Corporate Plan - 2022-2026</value>
    </field>
    <field name="Objective-State">
      <value order="0">Being Edited</value>
    </field>
    <field name="Objective-VersionId">
      <value order="0">vA7688293</value>
    </field>
    <field name="Objective-Version">
      <value order="0">59.1</value>
    </field>
    <field name="Objective-VersionNumber">
      <value order="0">60</value>
    </field>
    <field name="Objective-VersionComment">
      <value order="0"/>
    </field>
    <field name="Objective-FileNumber">
      <value order="0">qA175691</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DAB2DE12-A3F6-4E6A-8D28-B832B07F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11365</Words>
  <Characters>57395</Characters>
  <Application>Microsoft Office Word</Application>
  <DocSecurity>0</DocSecurity>
  <Lines>1851</Lines>
  <Paragraphs>859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2024-02-01T10:43:00Z</dcterms:created>
  <dcterms:modified xsi:type="dcterms:W3CDTF">2024-02-01T10:43:00Z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A4324672</vt:lpwstr>
  </property>
  <property fmtid="{D5CDD505-2E9C-101B-9397-08002B2CF9AE}" pid="18" name="Objective-Title">
    <vt:lpwstr>2023-24 Q3 Report to SLT (23 Jan 2024)</vt:lpwstr>
  </property>
  <property fmtid="{D5CDD505-2E9C-101B-9397-08002B2CF9AE}" pid="19" name="Objective-Description">
    <vt:lpwstr/>
  </property>
  <property fmtid="{D5CDD505-2E9C-101B-9397-08002B2CF9AE}" pid="20" name="Objective-CreationStamp">
    <vt:filetime>2023-11-30T15:54:25Z</vt:filetime>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DatePublished">
    <vt:lpwstr/>
  </property>
  <property fmtid="{D5CDD505-2E9C-101B-9397-08002B2CF9AE}" pid="24" name="Objective-ModificationStamp">
    <vt:filetime>2024-01-16T12:57:59Z</vt:filetime>
  </property>
  <property fmtid="{D5CDD505-2E9C-101B-9397-08002B2CF9AE}" pid="25" name="Objective-Owner">
    <vt:lpwstr>Michelle Bennett</vt:lpwstr>
  </property>
  <property fmtid="{D5CDD505-2E9C-101B-9397-08002B2CF9AE}" pid="26" name="Objective-Path">
    <vt:lpwstr>Objective Global Folder:NatureScot Fileplan:MAN - Management:BP - Business Planning:PM - Performance Management:Performance on Corporate Plan - 2022-2026</vt:lpwstr>
  </property>
  <property fmtid="{D5CDD505-2E9C-101B-9397-08002B2CF9AE}" pid="27" name="Objective-Parent">
    <vt:lpwstr>Performance on Corporate Plan - 2022-2026</vt:lpwstr>
  </property>
  <property fmtid="{D5CDD505-2E9C-101B-9397-08002B2CF9AE}" pid="28" name="Objective-State">
    <vt:lpwstr>Being Edited</vt:lpwstr>
  </property>
  <property fmtid="{D5CDD505-2E9C-101B-9397-08002B2CF9AE}" pid="29" name="Objective-VersionId">
    <vt:lpwstr>vA7688293</vt:lpwstr>
  </property>
  <property fmtid="{D5CDD505-2E9C-101B-9397-08002B2CF9AE}" pid="30" name="Objective-Version">
    <vt:lpwstr>59.1</vt:lpwstr>
  </property>
  <property fmtid="{D5CDD505-2E9C-101B-9397-08002B2CF9AE}" pid="31" name="Objective-VersionNumber">
    <vt:r8>60</vt:r8>
  </property>
  <property fmtid="{D5CDD505-2E9C-101B-9397-08002B2CF9AE}" pid="32" name="Objective-VersionComment">
    <vt:lpwstr/>
  </property>
  <property fmtid="{D5CDD505-2E9C-101B-9397-08002B2CF9AE}" pid="33" name="Objective-FileNumber">
    <vt:lpwstr>qA175691</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