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E63B9C" w14:textId="7FB11D90" w:rsidR="00A932B9" w:rsidRDefault="003A0BAA" w:rsidP="005D0E4E">
      <w:pPr>
        <w:rPr>
          <w:rFonts w:cstheme="minorHAnsi"/>
          <w:color w:val="FF0000"/>
          <w:sz w:val="22"/>
        </w:rPr>
      </w:pPr>
      <w:bookmarkStart w:id="0" w:name="_GoBack"/>
      <w:bookmarkEnd w:id="0"/>
      <w:r>
        <w:rPr>
          <w:rFonts w:cstheme="minorHAnsi"/>
          <w:noProof/>
          <w:color w:val="FF0000"/>
          <w:sz w:val="22"/>
          <w:lang w:eastAsia="en-GB"/>
        </w:rPr>
        <w:drawing>
          <wp:inline distT="0" distB="0" distL="0" distR="0" wp14:anchorId="48C815CC" wp14:editId="3F67C5E5">
            <wp:extent cx="1408298" cy="1182727"/>
            <wp:effectExtent l="0" t="0" r="1905" b="0"/>
            <wp:docPr id="1" name="Picture 1" title="NatureSco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logo.png"/>
                    <pic:cNvPicPr/>
                  </pic:nvPicPr>
                  <pic:blipFill>
                    <a:blip r:embed="rId9">
                      <a:extLst>
                        <a:ext uri="{28A0092B-C50C-407E-A947-70E740481C1C}">
                          <a14:useLocalDpi xmlns:a14="http://schemas.microsoft.com/office/drawing/2010/main" val="0"/>
                        </a:ext>
                      </a:extLst>
                    </a:blip>
                    <a:stretch>
                      <a:fillRect/>
                    </a:stretch>
                  </pic:blipFill>
                  <pic:spPr>
                    <a:xfrm>
                      <a:off x="0" y="0"/>
                      <a:ext cx="1408298" cy="1182727"/>
                    </a:xfrm>
                    <a:prstGeom prst="rect">
                      <a:avLst/>
                    </a:prstGeom>
                  </pic:spPr>
                </pic:pic>
              </a:graphicData>
            </a:graphic>
          </wp:inline>
        </w:drawing>
      </w:r>
    </w:p>
    <w:p w14:paraId="220D93AE" w14:textId="47E94974" w:rsidR="00DF4976" w:rsidRPr="003E22BB" w:rsidRDefault="00DF4976" w:rsidP="00DF4976">
      <w:pPr>
        <w:pStyle w:val="Heading1"/>
        <w:rPr>
          <w:rFonts w:ascii="Calibri" w:hAnsi="Calibri" w:cs="Calibri"/>
          <w:sz w:val="24"/>
          <w:szCs w:val="24"/>
        </w:rPr>
      </w:pPr>
      <w:r w:rsidRPr="003E22BB">
        <w:rPr>
          <w:rFonts w:ascii="Calibri" w:hAnsi="Calibri" w:cs="Calibri"/>
          <w:sz w:val="24"/>
          <w:szCs w:val="24"/>
        </w:rPr>
        <w:t xml:space="preserve">Title:  </w:t>
      </w:r>
      <w:r w:rsidRPr="003E22BB">
        <w:rPr>
          <w:rFonts w:ascii="Calibri" w:hAnsi="Calibri" w:cs="Calibri"/>
          <w:sz w:val="24"/>
          <w:szCs w:val="24"/>
        </w:rPr>
        <w:tab/>
      </w:r>
      <w:r w:rsidR="00032678">
        <w:rPr>
          <w:rFonts w:ascii="Calibri" w:hAnsi="Calibri" w:cs="Calibri"/>
          <w:sz w:val="24"/>
          <w:szCs w:val="24"/>
        </w:rPr>
        <w:t>Q4</w:t>
      </w:r>
      <w:r>
        <w:rPr>
          <w:rFonts w:ascii="Calibri" w:hAnsi="Calibri" w:cs="Calibri"/>
          <w:sz w:val="24"/>
          <w:szCs w:val="24"/>
        </w:rPr>
        <w:t xml:space="preserve"> Performance Report</w:t>
      </w:r>
      <w:r w:rsidR="002B21E8">
        <w:rPr>
          <w:rFonts w:ascii="Calibri" w:hAnsi="Calibri" w:cs="Calibri"/>
          <w:sz w:val="24"/>
          <w:szCs w:val="24"/>
        </w:rPr>
        <w:t xml:space="preserve"> 2022/23</w:t>
      </w:r>
    </w:p>
    <w:p w14:paraId="7DE75159" w14:textId="7DBE37C3" w:rsidR="00DF4976" w:rsidRDefault="00DF4976" w:rsidP="00DF4976">
      <w:pPr>
        <w:spacing w:after="0" w:line="240" w:lineRule="auto"/>
        <w:rPr>
          <w:rFonts w:cstheme="minorHAnsi"/>
          <w:b/>
          <w:color w:val="000000" w:themeColor="text1"/>
        </w:rPr>
      </w:pPr>
      <w:r w:rsidRPr="003E22BB">
        <w:rPr>
          <w:rFonts w:cstheme="minorHAnsi"/>
          <w:b/>
          <w:color w:val="000000" w:themeColor="text1"/>
        </w:rPr>
        <w:t>Date:</w:t>
      </w:r>
      <w:r w:rsidRPr="003E22BB">
        <w:rPr>
          <w:rFonts w:cstheme="minorHAnsi"/>
          <w:b/>
          <w:color w:val="000000" w:themeColor="text1"/>
        </w:rPr>
        <w:tab/>
      </w:r>
      <w:r w:rsidR="00C87458">
        <w:rPr>
          <w:rFonts w:cstheme="minorHAnsi"/>
          <w:b/>
          <w:color w:val="000000" w:themeColor="text1"/>
        </w:rPr>
        <w:t>10</w:t>
      </w:r>
      <w:r w:rsidR="00C87458" w:rsidRPr="00C87458">
        <w:rPr>
          <w:rFonts w:cstheme="minorHAnsi"/>
          <w:b/>
          <w:color w:val="000000" w:themeColor="text1"/>
          <w:vertAlign w:val="superscript"/>
        </w:rPr>
        <w:t>th</w:t>
      </w:r>
      <w:r w:rsidR="00C87458">
        <w:rPr>
          <w:rFonts w:cstheme="minorHAnsi"/>
          <w:b/>
          <w:color w:val="000000" w:themeColor="text1"/>
        </w:rPr>
        <w:t xml:space="preserve"> May</w:t>
      </w:r>
      <w:r>
        <w:rPr>
          <w:rFonts w:cstheme="minorHAnsi"/>
          <w:b/>
          <w:color w:val="000000" w:themeColor="text1"/>
        </w:rPr>
        <w:t xml:space="preserve"> 2023</w:t>
      </w:r>
    </w:p>
    <w:p w14:paraId="4974125B" w14:textId="77777777" w:rsidR="003A0BAA" w:rsidRPr="003A0BAA" w:rsidRDefault="003A0BAA" w:rsidP="003A0BAA">
      <w:pPr>
        <w:spacing w:after="0" w:line="240" w:lineRule="auto"/>
        <w:rPr>
          <w:rFonts w:cstheme="minorHAnsi"/>
          <w:b/>
          <w:color w:val="000000" w:themeColor="text1"/>
        </w:rPr>
      </w:pPr>
    </w:p>
    <w:tbl>
      <w:tblPr>
        <w:tblStyle w:val="TableGrid"/>
        <w:tblW w:w="0" w:type="auto"/>
        <w:tblLook w:val="04A0" w:firstRow="1" w:lastRow="0" w:firstColumn="1" w:lastColumn="0" w:noHBand="0" w:noVBand="1"/>
        <w:tblCaption w:val="Cover page "/>
        <w:tblDescription w:val="Summary of information provided in the subsequent pages of the paper"/>
      </w:tblPr>
      <w:tblGrid>
        <w:gridCol w:w="2547"/>
        <w:gridCol w:w="6469"/>
      </w:tblGrid>
      <w:tr w:rsidR="005D0E4E" w:rsidRPr="005D0E4E" w14:paraId="20BAAF19" w14:textId="77777777" w:rsidTr="007D5F0B">
        <w:trPr>
          <w:tblHeader/>
        </w:trPr>
        <w:tc>
          <w:tcPr>
            <w:tcW w:w="2547" w:type="dxa"/>
          </w:tcPr>
          <w:p w14:paraId="36567900" w14:textId="4E40470D" w:rsidR="005D0E4E" w:rsidRPr="005D0E4E" w:rsidRDefault="005D0E4E" w:rsidP="000419B1">
            <w:pPr>
              <w:rPr>
                <w:szCs w:val="24"/>
              </w:rPr>
            </w:pPr>
            <w:r w:rsidRPr="005D0E4E">
              <w:rPr>
                <w:rStyle w:val="Heading3Char"/>
                <w:rFonts w:ascii="Calibri" w:hAnsi="Calibri" w:cs="Calibri"/>
                <w:b/>
                <w:color w:val="auto"/>
              </w:rPr>
              <w:t>Purpose:</w:t>
            </w:r>
          </w:p>
        </w:tc>
        <w:tc>
          <w:tcPr>
            <w:tcW w:w="6469" w:type="dxa"/>
          </w:tcPr>
          <w:p w14:paraId="2E6CD882" w14:textId="2BB73478" w:rsidR="005D0E4E" w:rsidRPr="005D0E4E" w:rsidRDefault="00DF4976" w:rsidP="0032429D">
            <w:pPr>
              <w:contextualSpacing/>
              <w:rPr>
                <w:rFonts w:ascii="Calibri" w:eastAsia="Arial" w:hAnsi="Calibri" w:cs="Times New Roman"/>
                <w:szCs w:val="24"/>
              </w:rPr>
            </w:pPr>
            <w:r w:rsidRPr="005D31DD">
              <w:rPr>
                <w:rFonts w:ascii="Calibri" w:eastAsia="Arial" w:hAnsi="Calibri" w:cs="Times New Roman"/>
                <w:szCs w:val="24"/>
              </w:rPr>
              <w:t>Decision</w:t>
            </w:r>
          </w:p>
        </w:tc>
      </w:tr>
      <w:tr w:rsidR="005D0E4E" w:rsidRPr="005D0E4E" w14:paraId="13CE33D4" w14:textId="77777777" w:rsidTr="005D0E4E">
        <w:tc>
          <w:tcPr>
            <w:tcW w:w="2547" w:type="dxa"/>
          </w:tcPr>
          <w:p w14:paraId="34DC0A94" w14:textId="1FAE133F" w:rsidR="005D0E4E" w:rsidRPr="005D0E4E" w:rsidRDefault="005D0E4E" w:rsidP="000419B1">
            <w:pPr>
              <w:rPr>
                <w:rFonts w:ascii="Calibri" w:eastAsia="Arial" w:hAnsi="Calibri" w:cs="Times New Roman"/>
                <w:szCs w:val="24"/>
              </w:rPr>
            </w:pPr>
            <w:r w:rsidRPr="005D0E4E">
              <w:rPr>
                <w:rFonts w:ascii="Calibri" w:eastAsia="Arial" w:hAnsi="Calibri" w:cs="Times New Roman"/>
                <w:b/>
                <w:szCs w:val="24"/>
              </w:rPr>
              <w:t>How does this link with our corporate priorities of improving biodiversity or delivering nature-based solutions to climate change:</w:t>
            </w:r>
          </w:p>
        </w:tc>
        <w:tc>
          <w:tcPr>
            <w:tcW w:w="6469" w:type="dxa"/>
          </w:tcPr>
          <w:p w14:paraId="788EA7F4" w14:textId="237B7045" w:rsidR="005D0E4E" w:rsidRPr="005D0E4E" w:rsidRDefault="00032678" w:rsidP="005D0E4E">
            <w:pPr>
              <w:contextualSpacing/>
              <w:rPr>
                <w:rFonts w:ascii="Calibri" w:eastAsia="Arial" w:hAnsi="Calibri" w:cs="Times New Roman"/>
                <w:i/>
                <w:szCs w:val="24"/>
              </w:rPr>
            </w:pPr>
            <w:r>
              <w:rPr>
                <w:rFonts w:ascii="Calibri" w:eastAsia="Arial" w:hAnsi="Calibri" w:cs="Times New Roman"/>
                <w:szCs w:val="24"/>
              </w:rPr>
              <w:t>This paper presents Q4</w:t>
            </w:r>
            <w:r w:rsidR="00DF4976" w:rsidRPr="005D31DD">
              <w:rPr>
                <w:rFonts w:ascii="Calibri" w:eastAsia="Arial" w:hAnsi="Calibri" w:cs="Times New Roman"/>
                <w:szCs w:val="24"/>
              </w:rPr>
              <w:t xml:space="preserve"> progress towards delivery of our corporate priorities as laid out in our Business Plan, A Nature-rich future for all: Year 1.</w:t>
            </w:r>
          </w:p>
        </w:tc>
      </w:tr>
      <w:tr w:rsidR="005D0E4E" w:rsidRPr="005D0E4E" w14:paraId="5F6879B4" w14:textId="77777777" w:rsidTr="005D0E4E">
        <w:tc>
          <w:tcPr>
            <w:tcW w:w="2547" w:type="dxa"/>
          </w:tcPr>
          <w:p w14:paraId="278D0DA3" w14:textId="3D465FF9" w:rsidR="005D0E4E" w:rsidRPr="005D0E4E" w:rsidRDefault="005D0E4E" w:rsidP="000419B1">
            <w:pPr>
              <w:rPr>
                <w:rFonts w:ascii="Calibri" w:eastAsia="Arial" w:hAnsi="Calibri" w:cs="Times New Roman"/>
                <w:szCs w:val="24"/>
              </w:rPr>
            </w:pPr>
            <w:r w:rsidRPr="005D0E4E">
              <w:rPr>
                <w:rFonts w:ascii="Calibri" w:eastAsia="Arial" w:hAnsi="Calibri" w:cs="Times New Roman"/>
                <w:b/>
                <w:szCs w:val="24"/>
              </w:rPr>
              <w:t>Summary:</w:t>
            </w:r>
          </w:p>
        </w:tc>
        <w:tc>
          <w:tcPr>
            <w:tcW w:w="6469" w:type="dxa"/>
          </w:tcPr>
          <w:p w14:paraId="6950E4DA" w14:textId="2338C980" w:rsidR="005D0E4E" w:rsidRPr="005D0E4E" w:rsidRDefault="00032678" w:rsidP="00D43D99">
            <w:pPr>
              <w:contextualSpacing/>
              <w:rPr>
                <w:rFonts w:ascii="Calibri" w:eastAsia="Arial" w:hAnsi="Calibri" w:cs="Times New Roman"/>
                <w:i/>
                <w:szCs w:val="24"/>
              </w:rPr>
            </w:pPr>
            <w:r w:rsidRPr="001332B9">
              <w:rPr>
                <w:rFonts w:ascii="Calibri" w:eastAsia="Arial" w:hAnsi="Calibri" w:cs="Calibri"/>
                <w:szCs w:val="24"/>
              </w:rPr>
              <w:t>At the end of Q4</w:t>
            </w:r>
            <w:r w:rsidR="00003504" w:rsidRPr="001332B9">
              <w:rPr>
                <w:rFonts w:ascii="Calibri" w:eastAsia="Arial" w:hAnsi="Calibri" w:cs="Calibri"/>
                <w:szCs w:val="24"/>
              </w:rPr>
              <w:t>, performance for 14 of our 15 Corporate plan object</w:t>
            </w:r>
            <w:r w:rsidRPr="001332B9">
              <w:rPr>
                <w:rFonts w:ascii="Calibri" w:eastAsia="Arial" w:hAnsi="Calibri" w:cs="Calibri"/>
                <w:szCs w:val="24"/>
              </w:rPr>
              <w:t xml:space="preserve">ives are rated as ‘on track’.  </w:t>
            </w:r>
            <w:r w:rsidR="00D43D99">
              <w:rPr>
                <w:rFonts w:ascii="Calibri" w:eastAsia="Arial" w:hAnsi="Calibri" w:cs="Calibri"/>
                <w:szCs w:val="24"/>
              </w:rPr>
              <w:t xml:space="preserve">The score for one corporate </w:t>
            </w:r>
            <w:r w:rsidR="00BB034E" w:rsidRPr="00BB034E">
              <w:rPr>
                <w:rFonts w:ascii="Calibri" w:eastAsia="Arial" w:hAnsi="Calibri" w:cs="Calibri"/>
                <w:szCs w:val="24"/>
              </w:rPr>
              <w:t>risk scores</w:t>
            </w:r>
            <w:r w:rsidR="00D43D99">
              <w:rPr>
                <w:rFonts w:ascii="Calibri" w:eastAsia="Arial" w:hAnsi="Calibri" w:cs="Calibri"/>
                <w:szCs w:val="24"/>
              </w:rPr>
              <w:t xml:space="preserve"> has reduced</w:t>
            </w:r>
            <w:r w:rsidR="00BB034E" w:rsidRPr="00BB034E">
              <w:rPr>
                <w:rFonts w:ascii="Calibri" w:eastAsia="Arial" w:hAnsi="Calibri" w:cs="Calibri"/>
                <w:szCs w:val="24"/>
              </w:rPr>
              <w:t xml:space="preserve"> this quarter. </w:t>
            </w:r>
            <w:r w:rsidR="00003504" w:rsidRPr="00BB034E">
              <w:rPr>
                <w:rFonts w:ascii="Calibri" w:eastAsia="Arial" w:hAnsi="Calibri" w:cs="Calibri"/>
                <w:szCs w:val="24"/>
              </w:rPr>
              <w:t xml:space="preserve">There are no new corporate risks for escalation </w:t>
            </w:r>
            <w:r w:rsidR="00BB034E" w:rsidRPr="00BB034E">
              <w:rPr>
                <w:rFonts w:ascii="Calibri" w:eastAsia="Arial" w:hAnsi="Calibri" w:cs="Calibri"/>
                <w:szCs w:val="24"/>
              </w:rPr>
              <w:t>or</w:t>
            </w:r>
            <w:r w:rsidR="00003504" w:rsidRPr="00BB034E">
              <w:rPr>
                <w:rFonts w:ascii="Calibri" w:eastAsia="Arial" w:hAnsi="Calibri" w:cs="Calibri"/>
                <w:szCs w:val="24"/>
              </w:rPr>
              <w:t xml:space="preserve"> de-escalation. </w:t>
            </w:r>
            <w:r w:rsidR="005C2A4F" w:rsidRPr="005C2A4F">
              <w:rPr>
                <w:rFonts w:ascii="Calibri" w:eastAsia="Arial" w:hAnsi="Calibri" w:cs="Calibri"/>
                <w:szCs w:val="24"/>
              </w:rPr>
              <w:t xml:space="preserve">Our Resource budget is expected to outturn below tolerance due to </w:t>
            </w:r>
            <w:r w:rsidR="008B5715">
              <w:rPr>
                <w:rFonts w:ascii="Calibri" w:eastAsia="Arial" w:hAnsi="Calibri" w:cs="Calibri"/>
                <w:szCs w:val="24"/>
              </w:rPr>
              <w:t xml:space="preserve">two factors </w:t>
            </w:r>
            <w:proofErr w:type="spellStart"/>
            <w:r w:rsidR="008B5715">
              <w:rPr>
                <w:rFonts w:ascii="Calibri" w:eastAsia="Arial" w:hAnsi="Calibri" w:cs="Calibri"/>
                <w:szCs w:val="24"/>
              </w:rPr>
              <w:t>outwith</w:t>
            </w:r>
            <w:proofErr w:type="spellEnd"/>
            <w:r w:rsidR="008B5715">
              <w:rPr>
                <w:rFonts w:ascii="Calibri" w:eastAsia="Arial" w:hAnsi="Calibri" w:cs="Calibri"/>
                <w:szCs w:val="24"/>
              </w:rPr>
              <w:t xml:space="preserve"> our control - delivery</w:t>
            </w:r>
            <w:r w:rsidR="005C2A4F" w:rsidRPr="005C2A4F">
              <w:rPr>
                <w:rFonts w:ascii="Calibri" w:eastAsia="Arial" w:hAnsi="Calibri" w:cs="Calibri"/>
                <w:szCs w:val="24"/>
              </w:rPr>
              <w:t xml:space="preserve"> on Farming with Nature (</w:t>
            </w:r>
            <w:proofErr w:type="spellStart"/>
            <w:r w:rsidR="005C2A4F" w:rsidRPr="005C2A4F">
              <w:rPr>
                <w:rFonts w:ascii="Calibri" w:eastAsia="Arial" w:hAnsi="Calibri" w:cs="Calibri"/>
                <w:szCs w:val="24"/>
              </w:rPr>
              <w:t>FwN</w:t>
            </w:r>
            <w:proofErr w:type="spellEnd"/>
            <w:r w:rsidR="005C2A4F" w:rsidRPr="005C2A4F">
              <w:rPr>
                <w:rFonts w:ascii="Calibri" w:eastAsia="Arial" w:hAnsi="Calibri" w:cs="Calibri"/>
                <w:szCs w:val="24"/>
              </w:rPr>
              <w:t xml:space="preserve">) </w:t>
            </w:r>
            <w:r w:rsidR="008B5715">
              <w:rPr>
                <w:rFonts w:ascii="Calibri" w:eastAsia="Arial" w:hAnsi="Calibri" w:cs="Calibri"/>
                <w:szCs w:val="24"/>
              </w:rPr>
              <w:t>was</w:t>
            </w:r>
            <w:r w:rsidR="005C2A4F" w:rsidRPr="005C2A4F">
              <w:rPr>
                <w:rFonts w:ascii="Calibri" w:eastAsia="Arial" w:hAnsi="Calibri" w:cs="Calibri"/>
                <w:szCs w:val="24"/>
              </w:rPr>
              <w:t xml:space="preserve"> delayed pending </w:t>
            </w:r>
            <w:r w:rsidR="008B5715">
              <w:rPr>
                <w:rFonts w:ascii="Calibri" w:eastAsia="Arial" w:hAnsi="Calibri" w:cs="Calibri"/>
                <w:szCs w:val="24"/>
              </w:rPr>
              <w:t>input</w:t>
            </w:r>
            <w:r w:rsidR="005C2A4F" w:rsidRPr="005C2A4F">
              <w:rPr>
                <w:rFonts w:ascii="Calibri" w:eastAsia="Arial" w:hAnsi="Calibri" w:cs="Calibri"/>
                <w:szCs w:val="24"/>
              </w:rPr>
              <w:t xml:space="preserve"> from SG and </w:t>
            </w:r>
            <w:r w:rsidR="008B5715">
              <w:rPr>
                <w:rFonts w:ascii="Calibri" w:eastAsia="Arial" w:hAnsi="Calibri" w:cs="Calibri"/>
                <w:szCs w:val="24"/>
              </w:rPr>
              <w:t>additional budget was allocated by SG for d</w:t>
            </w:r>
            <w:r w:rsidR="005C2A4F" w:rsidRPr="005C2A4F">
              <w:rPr>
                <w:rFonts w:ascii="Calibri" w:eastAsia="Arial" w:hAnsi="Calibri" w:cs="Calibri"/>
                <w:szCs w:val="24"/>
              </w:rPr>
              <w:t xml:space="preserve">epreciation </w:t>
            </w:r>
            <w:r w:rsidR="008B5715">
              <w:rPr>
                <w:rFonts w:ascii="Calibri" w:eastAsia="Arial" w:hAnsi="Calibri" w:cs="Calibri"/>
                <w:szCs w:val="24"/>
              </w:rPr>
              <w:t>as we transition to a new accounting standard (IFRS-16)</w:t>
            </w:r>
            <w:r w:rsidR="005C2A4F" w:rsidRPr="005C2A4F">
              <w:rPr>
                <w:rFonts w:ascii="Calibri" w:eastAsia="Arial" w:hAnsi="Calibri" w:cs="Calibri"/>
                <w:szCs w:val="24"/>
              </w:rPr>
              <w:t xml:space="preserve">.  </w:t>
            </w:r>
            <w:r w:rsidR="008B5715">
              <w:rPr>
                <w:rFonts w:ascii="Calibri" w:eastAsia="Arial" w:hAnsi="Calibri" w:cs="Calibri"/>
                <w:szCs w:val="24"/>
              </w:rPr>
              <w:t xml:space="preserve">Direct </w:t>
            </w:r>
            <w:r w:rsidR="005C2A4F" w:rsidRPr="005C2A4F">
              <w:rPr>
                <w:rFonts w:ascii="Calibri" w:eastAsia="Arial" w:hAnsi="Calibri" w:cs="Calibri"/>
                <w:szCs w:val="24"/>
              </w:rPr>
              <w:t xml:space="preserve">Capital is expected to outturn below tolerance due to large projects slipping into 23/24. Indirect Capital is </w:t>
            </w:r>
            <w:r w:rsidR="008B5715">
              <w:rPr>
                <w:rFonts w:ascii="Calibri" w:eastAsia="Arial" w:hAnsi="Calibri" w:cs="Calibri"/>
                <w:szCs w:val="24"/>
              </w:rPr>
              <w:t>on track</w:t>
            </w:r>
            <w:r w:rsidR="005C2A4F" w:rsidRPr="005C2A4F">
              <w:rPr>
                <w:rFonts w:ascii="Calibri" w:eastAsia="Arial" w:hAnsi="Calibri" w:cs="Calibri"/>
                <w:szCs w:val="24"/>
              </w:rPr>
              <w:t>.</w:t>
            </w:r>
            <w:r w:rsidR="005C2A4F">
              <w:rPr>
                <w:rFonts w:ascii="Calibri" w:eastAsia="Arial" w:hAnsi="Calibri" w:cs="Calibri"/>
                <w:szCs w:val="24"/>
              </w:rPr>
              <w:t xml:space="preserve"> </w:t>
            </w:r>
            <w:r w:rsidR="00003504" w:rsidRPr="00AC6E31">
              <w:rPr>
                <w:rFonts w:ascii="Calibri" w:eastAsia="Arial" w:hAnsi="Calibri" w:cs="Calibri"/>
                <w:szCs w:val="24"/>
              </w:rPr>
              <w:t xml:space="preserve">In the People Report, </w:t>
            </w:r>
            <w:r w:rsidR="00910E8A" w:rsidRPr="00AC6E31">
              <w:rPr>
                <w:rFonts w:ascii="Calibri" w:hAnsi="Calibri" w:cs="Calibri"/>
                <w:szCs w:val="24"/>
              </w:rPr>
              <w:t>eight of</w:t>
            </w:r>
            <w:r w:rsidR="00D65835" w:rsidRPr="00AC6E31">
              <w:rPr>
                <w:rFonts w:ascii="Calibri" w:hAnsi="Calibri" w:cs="Calibri"/>
                <w:szCs w:val="24"/>
              </w:rPr>
              <w:t xml:space="preserve"> the</w:t>
            </w:r>
            <w:r w:rsidR="00910E8A" w:rsidRPr="00AC6E31">
              <w:rPr>
                <w:rFonts w:ascii="Calibri" w:hAnsi="Calibri" w:cs="Calibri"/>
                <w:szCs w:val="24"/>
              </w:rPr>
              <w:t xml:space="preserve"> nine</w:t>
            </w:r>
            <w:r w:rsidR="00003504" w:rsidRPr="00AC6E31">
              <w:rPr>
                <w:rFonts w:ascii="Calibri" w:hAnsi="Calibri" w:cs="Calibri"/>
                <w:szCs w:val="24"/>
              </w:rPr>
              <w:t xml:space="preserve"> indicators are green and one </w:t>
            </w:r>
            <w:r w:rsidR="00D65835" w:rsidRPr="00AC6E31">
              <w:rPr>
                <w:rFonts w:ascii="Calibri" w:hAnsi="Calibri" w:cs="Calibri"/>
                <w:szCs w:val="24"/>
              </w:rPr>
              <w:t xml:space="preserve">remains at </w:t>
            </w:r>
            <w:r w:rsidR="00003504" w:rsidRPr="00AC6E31">
              <w:rPr>
                <w:rFonts w:ascii="Calibri" w:hAnsi="Calibri" w:cs="Calibri"/>
                <w:szCs w:val="24"/>
              </w:rPr>
              <w:t>amber.</w:t>
            </w:r>
          </w:p>
        </w:tc>
      </w:tr>
      <w:tr w:rsidR="005D0E4E" w:rsidRPr="005D0E4E" w14:paraId="54B0CF3D" w14:textId="77777777" w:rsidTr="005D0E4E">
        <w:tc>
          <w:tcPr>
            <w:tcW w:w="2547" w:type="dxa"/>
          </w:tcPr>
          <w:p w14:paraId="2D2BC4B2" w14:textId="6D6BB7EC" w:rsidR="005D0E4E" w:rsidRPr="005D0E4E" w:rsidRDefault="005D0E4E" w:rsidP="005D0E4E">
            <w:pPr>
              <w:contextualSpacing/>
              <w:rPr>
                <w:rFonts w:ascii="Calibri" w:eastAsia="Arial" w:hAnsi="Calibri" w:cs="Times New Roman"/>
                <w:szCs w:val="24"/>
              </w:rPr>
            </w:pPr>
            <w:r w:rsidRPr="005D0E4E">
              <w:rPr>
                <w:rFonts w:ascii="Calibri" w:eastAsia="Arial" w:hAnsi="Calibri" w:cs="Times New Roman"/>
                <w:b/>
                <w:szCs w:val="24"/>
              </w:rPr>
              <w:t>Actions:</w:t>
            </w:r>
            <w:r w:rsidRPr="005D0E4E">
              <w:rPr>
                <w:rFonts w:ascii="Calibri" w:eastAsia="Arial" w:hAnsi="Calibri" w:cs="Times New Roman"/>
                <w:szCs w:val="24"/>
              </w:rPr>
              <w:t xml:space="preserve"> </w:t>
            </w:r>
          </w:p>
        </w:tc>
        <w:tc>
          <w:tcPr>
            <w:tcW w:w="6469" w:type="dxa"/>
          </w:tcPr>
          <w:p w14:paraId="03259AD0" w14:textId="6ED60FBE" w:rsidR="005D0E4E" w:rsidRPr="005D0E4E" w:rsidRDefault="000419B1" w:rsidP="002B21E8">
            <w:pPr>
              <w:rPr>
                <w:rFonts w:ascii="Calibri" w:eastAsia="Arial" w:hAnsi="Calibri" w:cs="Times New Roman"/>
                <w:szCs w:val="24"/>
              </w:rPr>
            </w:pPr>
            <w:r w:rsidRPr="00B41BBB">
              <w:rPr>
                <w:rFonts w:ascii="Calibri" w:eastAsia="Arial" w:hAnsi="Calibri" w:cs="Calibri"/>
                <w:color w:val="000000" w:themeColor="text1"/>
                <w:szCs w:val="24"/>
              </w:rPr>
              <w:t xml:space="preserve">To </w:t>
            </w:r>
            <w:r w:rsidR="002B21E8">
              <w:rPr>
                <w:rFonts w:ascii="Calibri" w:eastAsia="Arial" w:hAnsi="Calibri" w:cs="Calibri"/>
                <w:color w:val="000000" w:themeColor="text1"/>
                <w:szCs w:val="24"/>
              </w:rPr>
              <w:t>agree</w:t>
            </w:r>
            <w:r w:rsidRPr="00B41BBB">
              <w:rPr>
                <w:rFonts w:ascii="Calibri" w:eastAsia="Arial" w:hAnsi="Calibri" w:cs="Calibri"/>
                <w:color w:val="000000" w:themeColor="text1"/>
                <w:szCs w:val="24"/>
              </w:rPr>
              <w:t xml:space="preserve"> the recommendations below</w:t>
            </w:r>
          </w:p>
        </w:tc>
      </w:tr>
      <w:tr w:rsidR="000419B1" w:rsidRPr="005D0E4E" w14:paraId="187A143B" w14:textId="77777777" w:rsidTr="005D0E4E">
        <w:tc>
          <w:tcPr>
            <w:tcW w:w="2547" w:type="dxa"/>
          </w:tcPr>
          <w:p w14:paraId="1E0B416A" w14:textId="5808D500" w:rsidR="000419B1" w:rsidRPr="005D0E4E" w:rsidRDefault="000419B1" w:rsidP="000419B1">
            <w:pPr>
              <w:contextualSpacing/>
              <w:rPr>
                <w:rFonts w:ascii="Calibri" w:eastAsia="Arial" w:hAnsi="Calibri" w:cs="Times New Roman"/>
                <w:szCs w:val="24"/>
              </w:rPr>
            </w:pPr>
            <w:r w:rsidRPr="005D0E4E">
              <w:rPr>
                <w:rFonts w:ascii="Calibri" w:eastAsia="Arial" w:hAnsi="Calibri" w:cs="Times New Roman"/>
                <w:b/>
                <w:szCs w:val="24"/>
              </w:rPr>
              <w:t>Recommendations:</w:t>
            </w:r>
            <w:r w:rsidRPr="005D0E4E">
              <w:rPr>
                <w:rFonts w:ascii="Calibri" w:eastAsia="Arial" w:hAnsi="Calibri" w:cs="Times New Roman"/>
                <w:szCs w:val="24"/>
              </w:rPr>
              <w:t xml:space="preserve"> </w:t>
            </w:r>
          </w:p>
        </w:tc>
        <w:tc>
          <w:tcPr>
            <w:tcW w:w="6469" w:type="dxa"/>
          </w:tcPr>
          <w:p w14:paraId="5403BBD8" w14:textId="04AF88CD" w:rsidR="000419B1" w:rsidRPr="00B41BBB" w:rsidRDefault="00C87458" w:rsidP="000419B1">
            <w:pPr>
              <w:contextualSpacing/>
              <w:rPr>
                <w:rFonts w:ascii="Calibri" w:eastAsia="Arial" w:hAnsi="Calibri" w:cs="Calibri"/>
                <w:i/>
                <w:color w:val="000000" w:themeColor="text1"/>
                <w:szCs w:val="24"/>
              </w:rPr>
            </w:pPr>
            <w:r>
              <w:rPr>
                <w:rFonts w:ascii="Calibri" w:eastAsia="Arial" w:hAnsi="Calibri" w:cs="Calibri"/>
                <w:color w:val="000000" w:themeColor="text1"/>
                <w:szCs w:val="24"/>
              </w:rPr>
              <w:t>Board</w:t>
            </w:r>
            <w:r w:rsidR="000419B1" w:rsidRPr="00B41BBB">
              <w:rPr>
                <w:rFonts w:ascii="Calibri" w:eastAsia="Arial" w:hAnsi="Calibri" w:cs="Calibri"/>
                <w:color w:val="000000" w:themeColor="text1"/>
                <w:szCs w:val="24"/>
              </w:rPr>
              <w:t xml:space="preserve"> are asked to:</w:t>
            </w:r>
          </w:p>
          <w:p w14:paraId="2E4A3AB7" w14:textId="7CE18F82" w:rsidR="000419B1" w:rsidRPr="00B41BBB" w:rsidRDefault="007A33E7" w:rsidP="003E7B62">
            <w:pPr>
              <w:pStyle w:val="ListParagraph"/>
              <w:numPr>
                <w:ilvl w:val="1"/>
                <w:numId w:val="2"/>
              </w:numPr>
              <w:rPr>
                <w:rFonts w:ascii="Calibri" w:eastAsia="Arial" w:hAnsi="Calibri" w:cs="Calibri"/>
                <w:szCs w:val="24"/>
              </w:rPr>
            </w:pPr>
            <w:r>
              <w:rPr>
                <w:rFonts w:ascii="Calibri" w:eastAsia="Arial" w:hAnsi="Calibri" w:cs="Calibri"/>
                <w:szCs w:val="24"/>
              </w:rPr>
              <w:t>Approve</w:t>
            </w:r>
            <w:r w:rsidR="000419B1" w:rsidRPr="00B41BBB">
              <w:rPr>
                <w:rFonts w:ascii="Calibri" w:eastAsia="Arial" w:hAnsi="Calibri" w:cs="Calibri"/>
                <w:szCs w:val="24"/>
              </w:rPr>
              <w:t xml:space="preserve"> the overall performance of the Corporate Plan objectives </w:t>
            </w:r>
            <w:r w:rsidR="00A65145">
              <w:rPr>
                <w:rFonts w:ascii="Calibri" w:eastAsia="Arial" w:hAnsi="Calibri" w:cs="Calibri"/>
                <w:szCs w:val="24"/>
              </w:rPr>
              <w:t>(Performance Report)</w:t>
            </w:r>
          </w:p>
          <w:p w14:paraId="70BB51DF" w14:textId="0745C48B" w:rsidR="000419B1" w:rsidRPr="00B41BBB" w:rsidRDefault="007A33E7" w:rsidP="003E7B62">
            <w:pPr>
              <w:pStyle w:val="ListParagraph"/>
              <w:numPr>
                <w:ilvl w:val="1"/>
                <w:numId w:val="2"/>
              </w:numPr>
              <w:rPr>
                <w:rFonts w:ascii="Calibri" w:eastAsia="Arial" w:hAnsi="Calibri" w:cs="Calibri"/>
                <w:szCs w:val="24"/>
              </w:rPr>
            </w:pPr>
            <w:r>
              <w:rPr>
                <w:rFonts w:ascii="Calibri" w:eastAsia="Arial" w:hAnsi="Calibri" w:cs="Calibri"/>
                <w:szCs w:val="24"/>
              </w:rPr>
              <w:t>Approve</w:t>
            </w:r>
            <w:r w:rsidR="000419B1" w:rsidRPr="00B41BBB">
              <w:rPr>
                <w:rFonts w:ascii="Calibri" w:eastAsia="Arial" w:hAnsi="Calibri" w:cs="Calibri"/>
                <w:szCs w:val="24"/>
              </w:rPr>
              <w:t xml:space="preserve"> the position of the operating and capital budgets (Finance Report)</w:t>
            </w:r>
          </w:p>
          <w:p w14:paraId="5D40DE95" w14:textId="08F6C3F1" w:rsidR="000419B1" w:rsidRPr="001C547B" w:rsidRDefault="007A33E7" w:rsidP="003E7B62">
            <w:pPr>
              <w:pStyle w:val="ListParagraph"/>
              <w:numPr>
                <w:ilvl w:val="1"/>
                <w:numId w:val="2"/>
              </w:numPr>
              <w:rPr>
                <w:rFonts w:ascii="Calibri" w:eastAsia="Arial" w:hAnsi="Calibri" w:cs="Calibri"/>
                <w:szCs w:val="24"/>
              </w:rPr>
            </w:pPr>
            <w:r>
              <w:rPr>
                <w:rFonts w:ascii="Calibri" w:eastAsia="Arial" w:hAnsi="Calibri" w:cs="Calibri"/>
                <w:szCs w:val="24"/>
              </w:rPr>
              <w:t>Approve</w:t>
            </w:r>
            <w:r w:rsidR="000419B1" w:rsidRPr="001C547B">
              <w:rPr>
                <w:rFonts w:ascii="Calibri" w:eastAsia="Arial" w:hAnsi="Calibri" w:cs="Calibri"/>
                <w:szCs w:val="24"/>
              </w:rPr>
              <w:t xml:space="preserve"> the per</w:t>
            </w:r>
            <w:r w:rsidR="000419B1">
              <w:rPr>
                <w:rFonts w:ascii="Calibri" w:eastAsia="Arial" w:hAnsi="Calibri" w:cs="Calibri"/>
                <w:szCs w:val="24"/>
              </w:rPr>
              <w:t>formance of the corporate risks</w:t>
            </w:r>
            <w:r w:rsidR="000419B1" w:rsidRPr="001C547B">
              <w:rPr>
                <w:rFonts w:ascii="Calibri" w:eastAsia="Arial" w:hAnsi="Calibri" w:cs="Calibri"/>
                <w:szCs w:val="24"/>
              </w:rPr>
              <w:t xml:space="preserve"> </w:t>
            </w:r>
            <w:r w:rsidR="00A65145">
              <w:rPr>
                <w:rFonts w:ascii="Calibri" w:eastAsia="Arial" w:hAnsi="Calibri" w:cs="Calibri"/>
                <w:szCs w:val="24"/>
              </w:rPr>
              <w:t>(Risk Report)</w:t>
            </w:r>
          </w:p>
          <w:p w14:paraId="30D9395B" w14:textId="19610820" w:rsidR="000419B1" w:rsidRPr="00DF4976" w:rsidRDefault="007A33E7" w:rsidP="003E7B62">
            <w:pPr>
              <w:pStyle w:val="ListParagraph"/>
              <w:numPr>
                <w:ilvl w:val="1"/>
                <w:numId w:val="2"/>
              </w:numPr>
              <w:rPr>
                <w:rFonts w:ascii="Calibri" w:eastAsia="Arial" w:hAnsi="Calibri" w:cs="Times New Roman"/>
                <w:szCs w:val="24"/>
              </w:rPr>
            </w:pPr>
            <w:r>
              <w:rPr>
                <w:rFonts w:ascii="Calibri" w:eastAsia="Arial" w:hAnsi="Calibri" w:cs="Calibri"/>
                <w:szCs w:val="24"/>
              </w:rPr>
              <w:t>Approve</w:t>
            </w:r>
            <w:r w:rsidR="000419B1" w:rsidRPr="00B41BBB">
              <w:rPr>
                <w:rFonts w:ascii="Calibri" w:eastAsia="Arial" w:hAnsi="Calibri" w:cs="Calibri"/>
                <w:szCs w:val="24"/>
              </w:rPr>
              <w:t xml:space="preserve"> the overall performance of the People Meas</w:t>
            </w:r>
            <w:r w:rsidR="000419B1" w:rsidRPr="000419B1">
              <w:rPr>
                <w:rFonts w:ascii="Calibri" w:eastAsia="Arial" w:hAnsi="Calibri" w:cs="Calibri"/>
                <w:szCs w:val="24"/>
              </w:rPr>
              <w:t>ures</w:t>
            </w:r>
            <w:r w:rsidR="00A65145">
              <w:rPr>
                <w:rFonts w:ascii="Calibri" w:eastAsia="Arial" w:hAnsi="Calibri" w:cs="Calibri"/>
                <w:szCs w:val="24"/>
              </w:rPr>
              <w:t xml:space="preserve"> (People Report)</w:t>
            </w:r>
          </w:p>
        </w:tc>
      </w:tr>
      <w:tr w:rsidR="000419B1" w:rsidRPr="005D0E4E" w14:paraId="1611D4CD" w14:textId="77777777" w:rsidTr="005D0E4E">
        <w:tc>
          <w:tcPr>
            <w:tcW w:w="2547" w:type="dxa"/>
          </w:tcPr>
          <w:p w14:paraId="1E66C971" w14:textId="77777777" w:rsidR="000419B1" w:rsidRPr="005D0E4E" w:rsidRDefault="000419B1" w:rsidP="000419B1">
            <w:pPr>
              <w:contextualSpacing/>
              <w:rPr>
                <w:rFonts w:ascii="Calibri" w:eastAsia="Arial" w:hAnsi="Calibri" w:cs="Times New Roman"/>
                <w:b/>
                <w:szCs w:val="24"/>
              </w:rPr>
            </w:pPr>
            <w:r w:rsidRPr="005D0E4E">
              <w:rPr>
                <w:rFonts w:ascii="Calibri" w:eastAsia="Arial" w:hAnsi="Calibri" w:cs="Times New Roman"/>
                <w:b/>
                <w:szCs w:val="24"/>
              </w:rPr>
              <w:t>Report Author(s):</w:t>
            </w:r>
          </w:p>
        </w:tc>
        <w:tc>
          <w:tcPr>
            <w:tcW w:w="6469" w:type="dxa"/>
          </w:tcPr>
          <w:p w14:paraId="684ABBC1" w14:textId="75547674" w:rsidR="000419B1" w:rsidRPr="005D0E4E" w:rsidRDefault="000419B1" w:rsidP="000419B1">
            <w:pPr>
              <w:rPr>
                <w:rFonts w:ascii="Calibri" w:eastAsia="Arial" w:hAnsi="Calibri" w:cs="Times New Roman"/>
                <w:szCs w:val="24"/>
              </w:rPr>
            </w:pPr>
            <w:r w:rsidRPr="00DF4976">
              <w:rPr>
                <w:rFonts w:ascii="Calibri" w:eastAsia="Arial" w:hAnsi="Calibri" w:cs="Times New Roman"/>
                <w:szCs w:val="24"/>
              </w:rPr>
              <w:t>Authors – Directors, Deputy Directors, Outcomes Managers, Finance, Planning &amp; Performance Team, People &amp; OD Team</w:t>
            </w:r>
          </w:p>
        </w:tc>
      </w:tr>
      <w:tr w:rsidR="000419B1" w:rsidRPr="005D0E4E" w14:paraId="28B18A8B" w14:textId="77777777" w:rsidTr="005D0E4E">
        <w:tc>
          <w:tcPr>
            <w:tcW w:w="2547" w:type="dxa"/>
          </w:tcPr>
          <w:p w14:paraId="451D6F59" w14:textId="77777777" w:rsidR="000419B1" w:rsidRPr="005D0E4E" w:rsidRDefault="000419B1" w:rsidP="000419B1">
            <w:pPr>
              <w:contextualSpacing/>
              <w:rPr>
                <w:rFonts w:ascii="Calibri" w:eastAsia="Arial" w:hAnsi="Calibri" w:cs="Times New Roman"/>
                <w:b/>
                <w:szCs w:val="24"/>
              </w:rPr>
            </w:pPr>
            <w:r w:rsidRPr="005D0E4E">
              <w:rPr>
                <w:rFonts w:ascii="Calibri" w:eastAsia="Arial" w:hAnsi="Calibri" w:cs="Times New Roman"/>
                <w:b/>
                <w:szCs w:val="24"/>
              </w:rPr>
              <w:t>Sponsor:</w:t>
            </w:r>
            <w:r w:rsidRPr="005D0E4E">
              <w:rPr>
                <w:rFonts w:ascii="Calibri" w:eastAsia="Arial" w:hAnsi="Calibri" w:cs="Times New Roman"/>
                <w:b/>
                <w:szCs w:val="24"/>
              </w:rPr>
              <w:tab/>
            </w:r>
          </w:p>
        </w:tc>
        <w:tc>
          <w:tcPr>
            <w:tcW w:w="6469" w:type="dxa"/>
          </w:tcPr>
          <w:p w14:paraId="15458FFD" w14:textId="002D839F" w:rsidR="000419B1" w:rsidRPr="005D0E4E" w:rsidRDefault="000419B1" w:rsidP="000419B1">
            <w:pPr>
              <w:rPr>
                <w:rFonts w:ascii="Calibri" w:eastAsia="Arial" w:hAnsi="Calibri" w:cs="Times New Roman"/>
                <w:szCs w:val="24"/>
              </w:rPr>
            </w:pPr>
            <w:r w:rsidRPr="00DF4976">
              <w:rPr>
                <w:rFonts w:ascii="Calibri" w:eastAsia="Arial" w:hAnsi="Calibri" w:cs="Times New Roman"/>
                <w:szCs w:val="24"/>
              </w:rPr>
              <w:t>Stuart MacQuarrie, Jane Macdonald</w:t>
            </w:r>
          </w:p>
        </w:tc>
      </w:tr>
      <w:tr w:rsidR="00257C14" w:rsidRPr="005D0E4E" w14:paraId="6DFC50E2" w14:textId="77777777" w:rsidTr="005D0E4E">
        <w:tc>
          <w:tcPr>
            <w:tcW w:w="2547" w:type="dxa"/>
          </w:tcPr>
          <w:p w14:paraId="6F9368F7" w14:textId="3B329E59" w:rsidR="00257C14" w:rsidRPr="005D0E4E" w:rsidRDefault="00257C14" w:rsidP="000419B1">
            <w:pPr>
              <w:contextualSpacing/>
              <w:rPr>
                <w:rFonts w:ascii="Calibri" w:eastAsia="Arial" w:hAnsi="Calibri" w:cs="Times New Roman"/>
                <w:b/>
                <w:szCs w:val="24"/>
              </w:rPr>
            </w:pPr>
            <w:r>
              <w:rPr>
                <w:rFonts w:ascii="Calibri" w:eastAsia="Arial" w:hAnsi="Calibri" w:cs="Times New Roman"/>
                <w:b/>
                <w:szCs w:val="24"/>
              </w:rPr>
              <w:t>Annex</w:t>
            </w:r>
          </w:p>
        </w:tc>
        <w:tc>
          <w:tcPr>
            <w:tcW w:w="6469" w:type="dxa"/>
          </w:tcPr>
          <w:p w14:paraId="0E278DFF" w14:textId="500BE645" w:rsidR="00395590" w:rsidRDefault="00436F2C" w:rsidP="000419B1">
            <w:pPr>
              <w:rPr>
                <w:rFonts w:ascii="Calibri" w:eastAsia="Arial" w:hAnsi="Calibri" w:cs="Times New Roman"/>
                <w:szCs w:val="24"/>
              </w:rPr>
            </w:pPr>
            <w:r>
              <w:rPr>
                <w:rFonts w:ascii="Calibri" w:eastAsia="Arial" w:hAnsi="Calibri" w:cs="Times New Roman"/>
                <w:szCs w:val="24"/>
              </w:rPr>
              <w:t>Annex A</w:t>
            </w:r>
            <w:r w:rsidR="00395590">
              <w:rPr>
                <w:rFonts w:ascii="Calibri" w:eastAsia="Arial" w:hAnsi="Calibri" w:cs="Times New Roman"/>
                <w:szCs w:val="24"/>
              </w:rPr>
              <w:t xml:space="preserve"> – Progress on Corporate Plan at the end of Year 1</w:t>
            </w:r>
          </w:p>
          <w:p w14:paraId="052EC305" w14:textId="017E6B1A" w:rsidR="00436F2C" w:rsidRPr="00DF4976" w:rsidRDefault="00436F2C" w:rsidP="000419B1">
            <w:pPr>
              <w:rPr>
                <w:rFonts w:ascii="Calibri" w:eastAsia="Arial" w:hAnsi="Calibri" w:cs="Times New Roman"/>
                <w:szCs w:val="24"/>
              </w:rPr>
            </w:pPr>
            <w:r>
              <w:rPr>
                <w:rFonts w:ascii="Calibri" w:eastAsia="Arial" w:hAnsi="Calibri" w:cs="Times New Roman"/>
                <w:szCs w:val="24"/>
              </w:rPr>
              <w:t>Annex B – Corporate Risk Register</w:t>
            </w:r>
          </w:p>
        </w:tc>
      </w:tr>
    </w:tbl>
    <w:p w14:paraId="57D5C4E4" w14:textId="699B3E93" w:rsidR="00A65145" w:rsidRDefault="00A65145" w:rsidP="00FA0E12">
      <w:pPr>
        <w:spacing w:after="0" w:line="240" w:lineRule="auto"/>
        <w:jc w:val="both"/>
      </w:pPr>
    </w:p>
    <w:p w14:paraId="03BC7841" w14:textId="77777777" w:rsidR="00A65145" w:rsidRDefault="00A65145">
      <w:r>
        <w:br w:type="page"/>
      </w:r>
    </w:p>
    <w:p w14:paraId="3F84ED95" w14:textId="77777777" w:rsidR="00DA6B4D" w:rsidRPr="00530421" w:rsidRDefault="00DA6B4D" w:rsidP="00FA0E12">
      <w:pPr>
        <w:spacing w:after="0" w:line="240" w:lineRule="auto"/>
        <w:jc w:val="both"/>
        <w:rPr>
          <w:rFonts w:cstheme="minorHAnsi"/>
          <w:b/>
          <w:szCs w:val="24"/>
        </w:rPr>
      </w:pPr>
    </w:p>
    <w:p w14:paraId="75A9B58A" w14:textId="77777777" w:rsidR="00D72178" w:rsidRPr="00B6615A" w:rsidRDefault="00D72178" w:rsidP="00D72178">
      <w:pPr>
        <w:pStyle w:val="Heading2"/>
        <w:rPr>
          <w:rFonts w:ascii="Calibri" w:eastAsia="Times New Roman" w:hAnsi="Calibri" w:cs="Calibri"/>
          <w:szCs w:val="24"/>
        </w:rPr>
      </w:pPr>
      <w:r w:rsidRPr="00B6615A">
        <w:rPr>
          <w:rFonts w:ascii="Calibri" w:eastAsia="Times New Roman" w:hAnsi="Calibri" w:cs="Calibri"/>
          <w:szCs w:val="24"/>
        </w:rPr>
        <w:t xml:space="preserve">Purpose </w:t>
      </w:r>
    </w:p>
    <w:p w14:paraId="0AA665BF" w14:textId="1378C594" w:rsidR="00D72178" w:rsidRPr="00CD5336" w:rsidRDefault="00D72178" w:rsidP="003E7B62">
      <w:pPr>
        <w:pStyle w:val="ListParagraph"/>
        <w:numPr>
          <w:ilvl w:val="0"/>
          <w:numId w:val="1"/>
        </w:numPr>
        <w:ind w:left="357" w:hanging="357"/>
        <w:rPr>
          <w:rFonts w:ascii="Calibri" w:eastAsia="Calibri" w:hAnsi="Calibri" w:cs="Calibri"/>
          <w:color w:val="000000" w:themeColor="text1"/>
          <w:szCs w:val="24"/>
        </w:rPr>
      </w:pPr>
      <w:r w:rsidRPr="00B6615A">
        <w:rPr>
          <w:rFonts w:ascii="Calibri" w:eastAsia="Calibri" w:hAnsi="Calibri" w:cs="Calibri"/>
          <w:szCs w:val="24"/>
        </w:rPr>
        <w:t xml:space="preserve">This paper presents NatureScot’s performance for the </w:t>
      </w:r>
      <w:r w:rsidR="00032678">
        <w:rPr>
          <w:rFonts w:ascii="Calibri" w:eastAsia="Calibri" w:hAnsi="Calibri" w:cs="Calibri"/>
          <w:szCs w:val="24"/>
        </w:rPr>
        <w:t>final</w:t>
      </w:r>
      <w:r w:rsidRPr="00B6615A">
        <w:rPr>
          <w:rFonts w:ascii="Calibri" w:eastAsia="Calibri" w:hAnsi="Calibri" w:cs="Calibri"/>
          <w:szCs w:val="24"/>
        </w:rPr>
        <w:t xml:space="preserve"> quarter of 20</w:t>
      </w:r>
      <w:r>
        <w:rPr>
          <w:rFonts w:ascii="Calibri" w:eastAsia="Calibri" w:hAnsi="Calibri" w:cs="Calibri"/>
          <w:szCs w:val="24"/>
        </w:rPr>
        <w:t>22/23</w:t>
      </w:r>
      <w:r w:rsidR="0070429E">
        <w:rPr>
          <w:rFonts w:ascii="Calibri" w:eastAsia="Calibri" w:hAnsi="Calibri" w:cs="Calibri"/>
          <w:szCs w:val="24"/>
        </w:rPr>
        <w:t xml:space="preserve">. It also provides an over view of progress across the year and how this connects to our Corporate Plan. </w:t>
      </w:r>
      <w:r w:rsidRPr="00B6615A">
        <w:rPr>
          <w:rFonts w:ascii="Calibri" w:eastAsia="Calibri" w:hAnsi="Calibri" w:cs="Calibri"/>
          <w:szCs w:val="24"/>
        </w:rPr>
        <w:t>It addresses delivery of our corporate priorities by reviewing</w:t>
      </w:r>
      <w:r>
        <w:rPr>
          <w:rFonts w:ascii="Calibri" w:eastAsia="Calibri" w:hAnsi="Calibri" w:cs="Calibri"/>
          <w:szCs w:val="24"/>
        </w:rPr>
        <w:t>;</w:t>
      </w:r>
      <w:r w:rsidRPr="00B6615A">
        <w:rPr>
          <w:rFonts w:ascii="Calibri" w:eastAsia="Calibri" w:hAnsi="Calibri" w:cs="Calibri"/>
          <w:szCs w:val="24"/>
        </w:rPr>
        <w:t xml:space="preserve"> the alignment of performance against our Business Plan, </w:t>
      </w:r>
      <w:r>
        <w:rPr>
          <w:rFonts w:ascii="Calibri" w:eastAsia="Calibri" w:hAnsi="Calibri" w:cs="Calibri"/>
          <w:szCs w:val="24"/>
        </w:rPr>
        <w:t>a Nature-rich future for all: Year 1;</w:t>
      </w:r>
      <w:r w:rsidRPr="00B6615A">
        <w:rPr>
          <w:rFonts w:ascii="Calibri" w:eastAsia="Calibri" w:hAnsi="Calibri" w:cs="Calibri"/>
          <w:szCs w:val="24"/>
        </w:rPr>
        <w:t xml:space="preserve"> progress towards </w:t>
      </w:r>
      <w:r>
        <w:rPr>
          <w:rFonts w:ascii="Calibri" w:eastAsia="Calibri" w:hAnsi="Calibri" w:cs="Calibri"/>
          <w:szCs w:val="24"/>
        </w:rPr>
        <w:t>maximising our available budget;</w:t>
      </w:r>
      <w:r w:rsidRPr="00B6615A">
        <w:rPr>
          <w:rFonts w:ascii="Calibri" w:eastAsia="Calibri" w:hAnsi="Calibri" w:cs="Calibri"/>
          <w:szCs w:val="24"/>
        </w:rPr>
        <w:t xml:space="preserve"> assessing risks for delivery</w:t>
      </w:r>
      <w:r>
        <w:rPr>
          <w:rFonts w:ascii="Calibri" w:eastAsia="Calibri" w:hAnsi="Calibri" w:cs="Calibri"/>
          <w:szCs w:val="24"/>
        </w:rPr>
        <w:t>;</w:t>
      </w:r>
      <w:r w:rsidRPr="00B6615A">
        <w:rPr>
          <w:rFonts w:ascii="Calibri" w:eastAsia="Calibri" w:hAnsi="Calibri" w:cs="Calibri"/>
          <w:szCs w:val="24"/>
        </w:rPr>
        <w:t xml:space="preserve"> and reviewing people information </w:t>
      </w:r>
      <w:r w:rsidRPr="00CD5336">
        <w:rPr>
          <w:rFonts w:ascii="Calibri" w:eastAsia="Calibri" w:hAnsi="Calibri" w:cs="Calibri"/>
          <w:color w:val="000000" w:themeColor="text1"/>
          <w:szCs w:val="24"/>
        </w:rPr>
        <w:t xml:space="preserve">supporting the resourcing of our work.  </w:t>
      </w:r>
      <w:r w:rsidR="007F5150">
        <w:rPr>
          <w:rFonts w:ascii="Calibri" w:eastAsia="Calibri" w:hAnsi="Calibri" w:cs="Calibri"/>
          <w:color w:val="000000" w:themeColor="text1"/>
          <w:szCs w:val="24"/>
        </w:rPr>
        <w:t>A short assessment is provided in Annex 1 of progress against</w:t>
      </w:r>
      <w:r w:rsidR="007F5150" w:rsidRPr="00CD5336">
        <w:rPr>
          <w:rFonts w:ascii="Calibri" w:eastAsia="Calibri" w:hAnsi="Calibri" w:cs="Calibri"/>
          <w:color w:val="000000" w:themeColor="text1"/>
          <w:szCs w:val="24"/>
        </w:rPr>
        <w:t xml:space="preserve"> delivery of our Corporate Plan 2022-23, A Nature-rich future for all.</w:t>
      </w:r>
    </w:p>
    <w:p w14:paraId="4FE859C6" w14:textId="2B288DAE" w:rsidR="00D72178" w:rsidRPr="00CD5336" w:rsidRDefault="00D72178" w:rsidP="00D72178">
      <w:pPr>
        <w:pStyle w:val="Heading2"/>
        <w:spacing w:line="276" w:lineRule="auto"/>
        <w:rPr>
          <w:rFonts w:ascii="Calibri" w:eastAsia="Times New Roman" w:hAnsi="Calibri" w:cs="Calibri"/>
          <w:color w:val="000000" w:themeColor="text1"/>
          <w:szCs w:val="24"/>
        </w:rPr>
      </w:pPr>
      <w:r w:rsidRPr="00CD5336">
        <w:rPr>
          <w:rFonts w:ascii="Calibri" w:eastAsia="Times New Roman" w:hAnsi="Calibri" w:cs="Calibri"/>
          <w:color w:val="000000" w:themeColor="text1"/>
          <w:szCs w:val="24"/>
        </w:rPr>
        <w:t>Summary</w:t>
      </w:r>
      <w:r w:rsidR="0070429E">
        <w:rPr>
          <w:rFonts w:ascii="Calibri" w:eastAsia="Times New Roman" w:hAnsi="Calibri" w:cs="Calibri"/>
          <w:color w:val="000000" w:themeColor="text1"/>
          <w:szCs w:val="24"/>
        </w:rPr>
        <w:t xml:space="preserve"> – Review of 22/23</w:t>
      </w:r>
      <w:r w:rsidRPr="00CD5336">
        <w:rPr>
          <w:rFonts w:ascii="Calibri" w:eastAsia="Times New Roman" w:hAnsi="Calibri" w:cs="Calibri"/>
          <w:color w:val="000000" w:themeColor="text1"/>
          <w:szCs w:val="24"/>
        </w:rPr>
        <w:t xml:space="preserve"> </w:t>
      </w:r>
    </w:p>
    <w:p w14:paraId="078363EE" w14:textId="77777777" w:rsidR="00CD5336" w:rsidRPr="00CD5336" w:rsidRDefault="00CD5336" w:rsidP="00CD5336">
      <w:pPr>
        <w:pStyle w:val="ListParagraph"/>
        <w:rPr>
          <w:rFonts w:ascii="Calibri" w:eastAsia="Calibri" w:hAnsi="Calibri" w:cs="Calibri"/>
          <w:szCs w:val="24"/>
        </w:rPr>
      </w:pPr>
    </w:p>
    <w:p w14:paraId="24AA9BDE" w14:textId="7B5A3C64" w:rsidR="00230933" w:rsidRDefault="000C41B4" w:rsidP="003E7B62">
      <w:pPr>
        <w:pStyle w:val="ListParagraph"/>
        <w:numPr>
          <w:ilvl w:val="0"/>
          <w:numId w:val="1"/>
        </w:numPr>
        <w:spacing w:after="0"/>
        <w:rPr>
          <w:rFonts w:ascii="Calibri" w:eastAsia="Calibri" w:hAnsi="Calibri" w:cs="Calibri"/>
          <w:color w:val="000000" w:themeColor="text1"/>
          <w:szCs w:val="24"/>
        </w:rPr>
      </w:pPr>
      <w:r w:rsidRPr="003C2E42">
        <w:rPr>
          <w:rFonts w:ascii="Calibri" w:eastAsia="Calibri" w:hAnsi="Calibri" w:cs="Calibri"/>
          <w:color w:val="000000" w:themeColor="text1"/>
          <w:szCs w:val="24"/>
        </w:rPr>
        <w:t xml:space="preserve">2022/23 has been a significant year for NatureScot.  </w:t>
      </w:r>
      <w:r w:rsidR="00230933" w:rsidRPr="003C2E42">
        <w:rPr>
          <w:rFonts w:ascii="Calibri" w:eastAsia="Calibri" w:hAnsi="Calibri" w:cs="Calibri"/>
          <w:color w:val="000000" w:themeColor="text1"/>
          <w:szCs w:val="24"/>
        </w:rPr>
        <w:t>The Bute House Agreement provided a renewed foc</w:t>
      </w:r>
      <w:r w:rsidR="0070429E">
        <w:rPr>
          <w:rFonts w:ascii="Calibri" w:eastAsia="Calibri" w:hAnsi="Calibri" w:cs="Calibri"/>
          <w:color w:val="000000" w:themeColor="text1"/>
          <w:szCs w:val="24"/>
        </w:rPr>
        <w:t xml:space="preserve">us for investment in nature/climate with some key priorities central to underpinning </w:t>
      </w:r>
      <w:r w:rsidR="005A3F1A">
        <w:rPr>
          <w:rFonts w:ascii="Calibri" w:eastAsia="Calibri" w:hAnsi="Calibri" w:cs="Calibri"/>
          <w:color w:val="000000" w:themeColor="text1"/>
          <w:szCs w:val="24"/>
        </w:rPr>
        <w:t xml:space="preserve">progress against our </w:t>
      </w:r>
      <w:r w:rsidR="0070429E">
        <w:rPr>
          <w:rFonts w:ascii="Calibri" w:eastAsia="Calibri" w:hAnsi="Calibri" w:cs="Calibri"/>
          <w:color w:val="000000" w:themeColor="text1"/>
          <w:szCs w:val="24"/>
        </w:rPr>
        <w:t>corporate plan</w:t>
      </w:r>
      <w:r w:rsidR="005A3F1A">
        <w:rPr>
          <w:rFonts w:ascii="Calibri" w:eastAsia="Calibri" w:hAnsi="Calibri" w:cs="Calibri"/>
          <w:color w:val="000000" w:themeColor="text1"/>
          <w:szCs w:val="24"/>
        </w:rPr>
        <w:t xml:space="preserve"> this past year</w:t>
      </w:r>
      <w:r w:rsidR="0070429E">
        <w:rPr>
          <w:rFonts w:ascii="Calibri" w:eastAsia="Calibri" w:hAnsi="Calibri" w:cs="Calibri"/>
          <w:color w:val="000000" w:themeColor="text1"/>
          <w:szCs w:val="24"/>
        </w:rPr>
        <w:t>, including:</w:t>
      </w:r>
    </w:p>
    <w:p w14:paraId="14B755E5" w14:textId="77777777" w:rsidR="00C013F1" w:rsidRPr="00C013F1" w:rsidRDefault="00C013F1" w:rsidP="003E7B62">
      <w:pPr>
        <w:pStyle w:val="ListParagraph"/>
        <w:numPr>
          <w:ilvl w:val="0"/>
          <w:numId w:val="20"/>
        </w:numPr>
        <w:spacing w:after="0"/>
        <w:rPr>
          <w:rFonts w:ascii="Calibri" w:eastAsia="Calibri" w:hAnsi="Calibri" w:cs="Calibri"/>
          <w:color w:val="000000" w:themeColor="text1"/>
          <w:szCs w:val="24"/>
        </w:rPr>
      </w:pPr>
      <w:r w:rsidRPr="00C013F1">
        <w:rPr>
          <w:rFonts w:ascii="Calibri" w:eastAsia="Calibri" w:hAnsi="Calibri" w:cs="Calibri"/>
          <w:color w:val="000000" w:themeColor="text1"/>
          <w:szCs w:val="24"/>
        </w:rPr>
        <w:t xml:space="preserve">Publication of a new draft biodiversity strategy to deliver COP15 commitments and early preparation for a Natural Environment Bill </w:t>
      </w:r>
    </w:p>
    <w:p w14:paraId="5866F58D" w14:textId="77777777" w:rsidR="00C013F1" w:rsidRPr="00C013F1" w:rsidRDefault="00C013F1" w:rsidP="003E7B62">
      <w:pPr>
        <w:pStyle w:val="ListParagraph"/>
        <w:numPr>
          <w:ilvl w:val="0"/>
          <w:numId w:val="20"/>
        </w:numPr>
        <w:spacing w:after="0"/>
        <w:rPr>
          <w:rFonts w:ascii="Calibri" w:eastAsia="Calibri" w:hAnsi="Calibri" w:cs="Calibri"/>
          <w:color w:val="000000" w:themeColor="text1"/>
          <w:szCs w:val="24"/>
        </w:rPr>
      </w:pPr>
      <w:r w:rsidRPr="00C013F1">
        <w:rPr>
          <w:rFonts w:ascii="Calibri" w:eastAsia="Calibri" w:hAnsi="Calibri" w:cs="Calibri"/>
          <w:color w:val="000000" w:themeColor="text1"/>
          <w:szCs w:val="24"/>
        </w:rPr>
        <w:t>Further work towards binding targets to halt the rapid decline of Scotland’s nature by 2030 and set nature on track to recovery on land and at sea.</w:t>
      </w:r>
    </w:p>
    <w:p w14:paraId="00E70761" w14:textId="77777777" w:rsidR="00C013F1" w:rsidRPr="00C013F1" w:rsidRDefault="00C013F1" w:rsidP="003E7B62">
      <w:pPr>
        <w:pStyle w:val="ListParagraph"/>
        <w:numPr>
          <w:ilvl w:val="0"/>
          <w:numId w:val="20"/>
        </w:numPr>
        <w:spacing w:after="0"/>
        <w:rPr>
          <w:rFonts w:ascii="Calibri" w:eastAsia="Calibri" w:hAnsi="Calibri" w:cs="Calibri"/>
          <w:color w:val="000000" w:themeColor="text1"/>
          <w:szCs w:val="24"/>
        </w:rPr>
      </w:pPr>
      <w:r w:rsidRPr="00C013F1">
        <w:rPr>
          <w:rFonts w:ascii="Calibri" w:eastAsia="Calibri" w:hAnsi="Calibri" w:cs="Calibri"/>
          <w:color w:val="000000" w:themeColor="text1"/>
          <w:szCs w:val="24"/>
        </w:rPr>
        <w:t>Advice delivered to Ministers on the establishment of a new National Park(s)</w:t>
      </w:r>
    </w:p>
    <w:p w14:paraId="3A12CFF5" w14:textId="77777777" w:rsidR="00C013F1" w:rsidRPr="00C013F1" w:rsidRDefault="00C013F1" w:rsidP="003E7B62">
      <w:pPr>
        <w:pStyle w:val="ListParagraph"/>
        <w:numPr>
          <w:ilvl w:val="0"/>
          <w:numId w:val="20"/>
        </w:numPr>
        <w:spacing w:after="0"/>
        <w:rPr>
          <w:rFonts w:ascii="Calibri" w:eastAsia="Calibri" w:hAnsi="Calibri" w:cs="Calibri"/>
          <w:color w:val="000000" w:themeColor="text1"/>
          <w:szCs w:val="24"/>
        </w:rPr>
      </w:pPr>
      <w:r w:rsidRPr="00C013F1">
        <w:rPr>
          <w:rFonts w:ascii="Calibri" w:eastAsia="Calibri" w:hAnsi="Calibri" w:cs="Calibri"/>
          <w:color w:val="000000" w:themeColor="text1"/>
          <w:szCs w:val="24"/>
        </w:rPr>
        <w:t>Public consultation on a world-leading suite of Highly Protected Marine Areas (HPMAs) covering at least 10% of our seas.</w:t>
      </w:r>
    </w:p>
    <w:p w14:paraId="7EC0BAED" w14:textId="77777777" w:rsidR="00C013F1" w:rsidRPr="00C013F1" w:rsidRDefault="00C013F1" w:rsidP="003E7B62">
      <w:pPr>
        <w:pStyle w:val="ListParagraph"/>
        <w:numPr>
          <w:ilvl w:val="0"/>
          <w:numId w:val="20"/>
        </w:numPr>
        <w:spacing w:after="0"/>
        <w:rPr>
          <w:rFonts w:ascii="Calibri" w:eastAsia="Calibri" w:hAnsi="Calibri" w:cs="Calibri"/>
          <w:color w:val="000000" w:themeColor="text1"/>
          <w:szCs w:val="24"/>
        </w:rPr>
      </w:pPr>
      <w:r w:rsidRPr="00C013F1">
        <w:rPr>
          <w:rFonts w:ascii="Calibri" w:eastAsia="Calibri" w:hAnsi="Calibri" w:cs="Calibri"/>
          <w:color w:val="000000" w:themeColor="text1"/>
          <w:szCs w:val="24"/>
        </w:rPr>
        <w:t xml:space="preserve">Sharper focus on our wildlife management duties with emerging new responsibilities across a range of activities including hunting with dogs, Grouse Moor management and </w:t>
      </w:r>
      <w:proofErr w:type="spellStart"/>
      <w:r w:rsidRPr="00C013F1">
        <w:rPr>
          <w:rFonts w:ascii="Calibri" w:eastAsia="Calibri" w:hAnsi="Calibri" w:cs="Calibri"/>
          <w:color w:val="000000" w:themeColor="text1"/>
          <w:szCs w:val="24"/>
        </w:rPr>
        <w:t>muirburn</w:t>
      </w:r>
      <w:proofErr w:type="spellEnd"/>
      <w:r w:rsidRPr="00C013F1">
        <w:rPr>
          <w:rFonts w:ascii="Calibri" w:eastAsia="Calibri" w:hAnsi="Calibri" w:cs="Calibri"/>
          <w:color w:val="000000" w:themeColor="text1"/>
          <w:szCs w:val="24"/>
        </w:rPr>
        <w:t>.</w:t>
      </w:r>
    </w:p>
    <w:p w14:paraId="42D001FF" w14:textId="77777777" w:rsidR="00C013F1" w:rsidRPr="00C013F1" w:rsidRDefault="00C013F1" w:rsidP="003E7B62">
      <w:pPr>
        <w:pStyle w:val="ListParagraph"/>
        <w:numPr>
          <w:ilvl w:val="0"/>
          <w:numId w:val="20"/>
        </w:numPr>
        <w:spacing w:after="0"/>
        <w:rPr>
          <w:rFonts w:ascii="Calibri" w:eastAsia="Calibri" w:hAnsi="Calibri" w:cs="Calibri"/>
          <w:color w:val="000000" w:themeColor="text1"/>
          <w:szCs w:val="24"/>
        </w:rPr>
      </w:pPr>
      <w:r w:rsidRPr="00C013F1">
        <w:rPr>
          <w:rFonts w:ascii="Calibri" w:eastAsia="Calibri" w:hAnsi="Calibri" w:cs="Calibri"/>
          <w:color w:val="000000" w:themeColor="text1"/>
          <w:szCs w:val="24"/>
        </w:rPr>
        <w:t>Strengthened approach to Deer Management.</w:t>
      </w:r>
    </w:p>
    <w:p w14:paraId="40E95CB1" w14:textId="77777777" w:rsidR="00C013F1" w:rsidRPr="00C013F1" w:rsidRDefault="00C013F1" w:rsidP="003E7B62">
      <w:pPr>
        <w:pStyle w:val="ListParagraph"/>
        <w:numPr>
          <w:ilvl w:val="0"/>
          <w:numId w:val="20"/>
        </w:numPr>
        <w:spacing w:after="0"/>
        <w:rPr>
          <w:rFonts w:ascii="Calibri" w:eastAsia="Calibri" w:hAnsi="Calibri" w:cs="Calibri"/>
          <w:color w:val="000000" w:themeColor="text1"/>
          <w:szCs w:val="24"/>
        </w:rPr>
      </w:pPr>
      <w:r w:rsidRPr="00C013F1">
        <w:rPr>
          <w:rFonts w:ascii="Calibri" w:eastAsia="Calibri" w:hAnsi="Calibri" w:cs="Calibri"/>
          <w:color w:val="000000" w:themeColor="text1"/>
          <w:szCs w:val="24"/>
        </w:rPr>
        <w:t>A new National Planning Framework setting requirements for biodiversity enhancement for all developments</w:t>
      </w:r>
    </w:p>
    <w:p w14:paraId="5395CFF6" w14:textId="77777777" w:rsidR="00C013F1" w:rsidRPr="00C013F1" w:rsidRDefault="00C013F1" w:rsidP="003E7B62">
      <w:pPr>
        <w:pStyle w:val="ListParagraph"/>
        <w:numPr>
          <w:ilvl w:val="0"/>
          <w:numId w:val="20"/>
        </w:numPr>
        <w:spacing w:after="0"/>
        <w:rPr>
          <w:rFonts w:ascii="Calibri" w:eastAsia="Calibri" w:hAnsi="Calibri" w:cs="Calibri"/>
          <w:color w:val="000000" w:themeColor="text1"/>
          <w:szCs w:val="24"/>
        </w:rPr>
      </w:pPr>
      <w:r w:rsidRPr="00C013F1">
        <w:rPr>
          <w:rFonts w:ascii="Calibri" w:eastAsia="Calibri" w:hAnsi="Calibri" w:cs="Calibri"/>
          <w:color w:val="000000" w:themeColor="text1"/>
          <w:szCs w:val="24"/>
        </w:rPr>
        <w:t>Further developmental work on nature friendly agricultural practice based on outcomes aligned to nature restoration.</w:t>
      </w:r>
    </w:p>
    <w:p w14:paraId="3557EC28" w14:textId="64BE527B" w:rsidR="00C013F1" w:rsidRPr="00C013F1" w:rsidRDefault="00C013F1" w:rsidP="003E7B62">
      <w:pPr>
        <w:pStyle w:val="ListParagraph"/>
        <w:numPr>
          <w:ilvl w:val="0"/>
          <w:numId w:val="20"/>
        </w:numPr>
        <w:spacing w:after="0"/>
        <w:rPr>
          <w:rFonts w:ascii="Calibri" w:eastAsia="Calibri" w:hAnsi="Calibri" w:cs="Calibri"/>
          <w:color w:val="000000" w:themeColor="text1"/>
          <w:szCs w:val="24"/>
        </w:rPr>
      </w:pPr>
      <w:r w:rsidRPr="00C013F1">
        <w:rPr>
          <w:rFonts w:ascii="Calibri" w:eastAsia="Calibri" w:hAnsi="Calibri" w:cs="Calibri"/>
          <w:color w:val="000000" w:themeColor="text1"/>
          <w:szCs w:val="24"/>
        </w:rPr>
        <w:t xml:space="preserve">Fresh, new progress towards opening up green finance markets manifest in our partnership with Hampden and Co, Lombard </w:t>
      </w:r>
      <w:proofErr w:type="spellStart"/>
      <w:r w:rsidRPr="00C013F1">
        <w:rPr>
          <w:rFonts w:ascii="Calibri" w:eastAsia="Calibri" w:hAnsi="Calibri" w:cs="Calibri"/>
          <w:color w:val="000000" w:themeColor="text1"/>
          <w:szCs w:val="24"/>
        </w:rPr>
        <w:t>Odier</w:t>
      </w:r>
      <w:proofErr w:type="spellEnd"/>
      <w:r w:rsidRPr="00C013F1">
        <w:rPr>
          <w:rFonts w:ascii="Calibri" w:eastAsia="Calibri" w:hAnsi="Calibri" w:cs="Calibri"/>
          <w:color w:val="000000" w:themeColor="text1"/>
          <w:szCs w:val="24"/>
        </w:rPr>
        <w:t xml:space="preserve"> Investment Managers and Palladium as well as IRNS follow on Facility for Investment Ready Nature in Scotland</w:t>
      </w:r>
      <w:r w:rsidR="007F5150">
        <w:rPr>
          <w:rFonts w:ascii="Calibri" w:eastAsia="Calibri" w:hAnsi="Calibri" w:cs="Calibri"/>
          <w:color w:val="000000" w:themeColor="text1"/>
          <w:szCs w:val="24"/>
        </w:rPr>
        <w:t xml:space="preserve"> (FIRNS)</w:t>
      </w:r>
      <w:r w:rsidRPr="00C013F1">
        <w:rPr>
          <w:rFonts w:ascii="Calibri" w:eastAsia="Calibri" w:hAnsi="Calibri" w:cs="Calibri"/>
          <w:color w:val="000000" w:themeColor="text1"/>
          <w:szCs w:val="24"/>
        </w:rPr>
        <w:t>.</w:t>
      </w:r>
    </w:p>
    <w:p w14:paraId="47586693" w14:textId="77777777" w:rsidR="003C2E42" w:rsidRPr="003C2E42" w:rsidRDefault="003C2E42" w:rsidP="003C2E42">
      <w:pPr>
        <w:pStyle w:val="ListParagraph"/>
        <w:spacing w:after="0"/>
        <w:ind w:left="360"/>
        <w:rPr>
          <w:rFonts w:ascii="Calibri" w:eastAsia="Calibri" w:hAnsi="Calibri" w:cs="Calibri"/>
          <w:color w:val="000000" w:themeColor="text1"/>
          <w:szCs w:val="24"/>
        </w:rPr>
      </w:pPr>
    </w:p>
    <w:p w14:paraId="4496D845" w14:textId="312A85FC" w:rsidR="000C41B4" w:rsidRDefault="000C41B4" w:rsidP="003E7B62">
      <w:pPr>
        <w:pStyle w:val="ListParagraph"/>
        <w:numPr>
          <w:ilvl w:val="0"/>
          <w:numId w:val="1"/>
        </w:numPr>
        <w:spacing w:after="0"/>
        <w:rPr>
          <w:rFonts w:ascii="Calibri" w:eastAsia="Calibri" w:hAnsi="Calibri" w:cs="Calibri"/>
          <w:color w:val="000000" w:themeColor="text1"/>
          <w:szCs w:val="24"/>
        </w:rPr>
      </w:pPr>
      <w:r w:rsidRPr="00230933">
        <w:rPr>
          <w:rFonts w:ascii="Calibri" w:eastAsia="Calibri" w:hAnsi="Calibri" w:cs="Calibri"/>
          <w:color w:val="000000" w:themeColor="text1"/>
          <w:szCs w:val="24"/>
        </w:rPr>
        <w:t xml:space="preserve">This </w:t>
      </w:r>
      <w:r w:rsidR="0070429E">
        <w:rPr>
          <w:rFonts w:ascii="Calibri" w:eastAsia="Calibri" w:hAnsi="Calibri" w:cs="Calibri"/>
          <w:color w:val="000000" w:themeColor="text1"/>
          <w:szCs w:val="24"/>
        </w:rPr>
        <w:t>hasn’t however come without challenge</w:t>
      </w:r>
      <w:r w:rsidRPr="00230933">
        <w:rPr>
          <w:rFonts w:ascii="Calibri" w:eastAsia="Calibri" w:hAnsi="Calibri" w:cs="Calibri"/>
          <w:color w:val="000000" w:themeColor="text1"/>
          <w:szCs w:val="24"/>
        </w:rPr>
        <w:t>.</w:t>
      </w:r>
      <w:r w:rsidR="00230933">
        <w:rPr>
          <w:rFonts w:ascii="Calibri" w:eastAsia="Calibri" w:hAnsi="Calibri" w:cs="Calibri"/>
          <w:color w:val="000000" w:themeColor="text1"/>
          <w:szCs w:val="24"/>
        </w:rPr>
        <w:t xml:space="preserve">  Rising costs as a result of inflation and significant additional resource impacts have put pressure on NatureScot financially and will continue to do so in coming years.  The Organisational Design Programme has focussed on how to manage this internal pressure and a new 90 day planning approach will be formally implemented in 2023/24 to ensure prioritisation and workload management remain at t</w:t>
      </w:r>
      <w:r w:rsidR="003C2E42">
        <w:rPr>
          <w:rFonts w:ascii="Calibri" w:eastAsia="Calibri" w:hAnsi="Calibri" w:cs="Calibri"/>
          <w:color w:val="000000" w:themeColor="text1"/>
          <w:szCs w:val="24"/>
        </w:rPr>
        <w:t>he forefront of decision making but there will be difficult choices ahead in the light of potentially significant budget reductions in future years.</w:t>
      </w:r>
    </w:p>
    <w:p w14:paraId="4762F102" w14:textId="77777777" w:rsidR="00471632" w:rsidRDefault="00471632" w:rsidP="00471632">
      <w:pPr>
        <w:pStyle w:val="ListParagraph"/>
        <w:spacing w:after="0"/>
        <w:ind w:left="360"/>
        <w:rPr>
          <w:rFonts w:ascii="Calibri" w:eastAsia="Calibri" w:hAnsi="Calibri" w:cs="Calibri"/>
          <w:color w:val="000000" w:themeColor="text1"/>
          <w:szCs w:val="24"/>
        </w:rPr>
      </w:pPr>
    </w:p>
    <w:p w14:paraId="6C73251C" w14:textId="439797DB" w:rsidR="00436F2C" w:rsidRPr="00471632" w:rsidRDefault="00436F2C" w:rsidP="003E7B62">
      <w:pPr>
        <w:pStyle w:val="ListParagraph"/>
        <w:numPr>
          <w:ilvl w:val="0"/>
          <w:numId w:val="1"/>
        </w:numPr>
        <w:spacing w:after="0"/>
        <w:rPr>
          <w:rFonts w:ascii="Calibri" w:eastAsia="Calibri" w:hAnsi="Calibri" w:cs="Calibri"/>
          <w:color w:val="000000" w:themeColor="text1"/>
          <w:szCs w:val="24"/>
        </w:rPr>
      </w:pPr>
      <w:r w:rsidRPr="00471632">
        <w:rPr>
          <w:rFonts w:ascii="Calibri" w:eastAsia="Calibri" w:hAnsi="Calibri" w:cs="Calibri"/>
          <w:color w:val="000000" w:themeColor="text1"/>
          <w:szCs w:val="24"/>
        </w:rPr>
        <w:t xml:space="preserve">Annex A - </w:t>
      </w:r>
      <w:r w:rsidR="00471632" w:rsidRPr="00471632">
        <w:rPr>
          <w:rFonts w:ascii="Calibri" w:eastAsia="Arial" w:hAnsi="Calibri" w:cs="Times New Roman"/>
          <w:szCs w:val="24"/>
        </w:rPr>
        <w:t>Progress on Corporate Plan at the end of Year 1</w:t>
      </w:r>
      <w:r w:rsidR="00471632">
        <w:rPr>
          <w:rFonts w:ascii="Calibri" w:eastAsia="Arial" w:hAnsi="Calibri" w:cs="Times New Roman"/>
          <w:szCs w:val="24"/>
        </w:rPr>
        <w:t>, summarises our progress on our Corporate Plan ambition at the end of the first year.</w:t>
      </w:r>
    </w:p>
    <w:p w14:paraId="0C6BCCEE" w14:textId="4A9BE6ED" w:rsidR="003E7745" w:rsidRPr="00436F2C" w:rsidRDefault="003E7745" w:rsidP="00436F2C">
      <w:pPr>
        <w:spacing w:after="0"/>
        <w:rPr>
          <w:rFonts w:ascii="Calibri" w:eastAsia="Calibri" w:hAnsi="Calibri" w:cs="Calibri"/>
          <w:color w:val="000000" w:themeColor="text1"/>
          <w:szCs w:val="24"/>
        </w:rPr>
      </w:pPr>
    </w:p>
    <w:p w14:paraId="52E133B1" w14:textId="6F433F48" w:rsidR="00CD5336" w:rsidRPr="003E7745" w:rsidRDefault="00D72178" w:rsidP="003E7B62">
      <w:pPr>
        <w:pStyle w:val="ListParagraph"/>
        <w:numPr>
          <w:ilvl w:val="0"/>
          <w:numId w:val="1"/>
        </w:numPr>
        <w:spacing w:after="0"/>
        <w:rPr>
          <w:rFonts w:ascii="Calibri" w:eastAsia="Calibri" w:hAnsi="Calibri" w:cs="Calibri"/>
          <w:color w:val="000000" w:themeColor="text1"/>
          <w:szCs w:val="24"/>
        </w:rPr>
      </w:pPr>
      <w:r w:rsidRPr="00CD5336">
        <w:rPr>
          <w:rFonts w:ascii="Calibri" w:eastAsia="Calibri" w:hAnsi="Calibri" w:cs="Calibri"/>
          <w:szCs w:val="24"/>
        </w:rPr>
        <w:t>The table below reflects the Corporate Plan objectives and risks, finance and people metrics.</w:t>
      </w:r>
    </w:p>
    <w:p w14:paraId="5A210115" w14:textId="541524DE" w:rsidR="003E7745" w:rsidRPr="003E7745" w:rsidRDefault="003E7745" w:rsidP="003E7745">
      <w:pPr>
        <w:spacing w:after="0"/>
        <w:rPr>
          <w:rFonts w:ascii="Calibri" w:eastAsia="Calibri" w:hAnsi="Calibri" w:cs="Calibri"/>
          <w:color w:val="000000" w:themeColor="text1"/>
          <w:szCs w:val="24"/>
        </w:rPr>
      </w:pPr>
    </w:p>
    <w:tbl>
      <w:tblPr>
        <w:tblStyle w:val="GridTable4-Accent1"/>
        <w:tblpPr w:leftFromText="180" w:rightFromText="180" w:vertAnchor="text" w:horzAnchor="margin" w:tblpY="12"/>
        <w:tblW w:w="9351" w:type="dxa"/>
        <w:tblLook w:val="04A0" w:firstRow="1" w:lastRow="0" w:firstColumn="1" w:lastColumn="0" w:noHBand="0" w:noVBand="1"/>
        <w:tblCaption w:val="Priority and risk performance"/>
        <w:tblDescription w:val="Summary of performance on the priorities and risks"/>
      </w:tblPr>
      <w:tblGrid>
        <w:gridCol w:w="2824"/>
        <w:gridCol w:w="2136"/>
        <w:gridCol w:w="2443"/>
        <w:gridCol w:w="1948"/>
      </w:tblGrid>
      <w:tr w:rsidR="000D5B39" w:rsidRPr="00B6615A" w14:paraId="4373730E" w14:textId="77777777" w:rsidTr="000D5B3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24" w:type="dxa"/>
          </w:tcPr>
          <w:p w14:paraId="53596F11" w14:textId="77777777" w:rsidR="000D5B39" w:rsidRPr="00B6615A" w:rsidRDefault="000D5B39" w:rsidP="000D5B39">
            <w:pPr>
              <w:spacing w:line="276" w:lineRule="auto"/>
              <w:jc w:val="center"/>
              <w:rPr>
                <w:rFonts w:ascii="Calibri" w:hAnsi="Calibri" w:cs="Calibri"/>
                <w:szCs w:val="24"/>
              </w:rPr>
            </w:pPr>
            <w:r w:rsidRPr="00B6615A">
              <w:rPr>
                <w:rFonts w:ascii="Calibri" w:hAnsi="Calibri" w:cs="Calibri"/>
                <w:color w:val="000000" w:themeColor="text1"/>
                <w:szCs w:val="24"/>
              </w:rPr>
              <w:t>PRIORITY PERFORMANCE</w:t>
            </w:r>
          </w:p>
        </w:tc>
        <w:tc>
          <w:tcPr>
            <w:tcW w:w="2136" w:type="dxa"/>
          </w:tcPr>
          <w:p w14:paraId="2906C8AD" w14:textId="77777777" w:rsidR="000D5B39" w:rsidRPr="00B6615A" w:rsidRDefault="000D5B39" w:rsidP="000D5B39">
            <w:pPr>
              <w:spacing w:line="276"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Cs w:val="24"/>
              </w:rPr>
            </w:pPr>
            <w:r w:rsidRPr="00B6615A">
              <w:rPr>
                <w:rFonts w:ascii="Calibri" w:hAnsi="Calibri" w:cs="Calibri"/>
                <w:color w:val="000000" w:themeColor="text1"/>
                <w:szCs w:val="24"/>
              </w:rPr>
              <w:t>NUMBER</w:t>
            </w:r>
          </w:p>
        </w:tc>
        <w:tc>
          <w:tcPr>
            <w:tcW w:w="2443" w:type="dxa"/>
          </w:tcPr>
          <w:p w14:paraId="044D651A" w14:textId="77777777" w:rsidR="000D5B39" w:rsidRPr="00B6615A" w:rsidRDefault="000D5B39" w:rsidP="000D5B39">
            <w:pPr>
              <w:spacing w:line="276"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Cs w:val="24"/>
              </w:rPr>
            </w:pPr>
            <w:r w:rsidRPr="00B6615A">
              <w:rPr>
                <w:rFonts w:ascii="Calibri" w:hAnsi="Calibri" w:cs="Calibri"/>
                <w:color w:val="000000" w:themeColor="text1"/>
                <w:szCs w:val="24"/>
              </w:rPr>
              <w:t>CORPORATE RISK</w:t>
            </w:r>
          </w:p>
        </w:tc>
        <w:tc>
          <w:tcPr>
            <w:tcW w:w="1948" w:type="dxa"/>
          </w:tcPr>
          <w:p w14:paraId="282C382A" w14:textId="77777777" w:rsidR="000D5B39" w:rsidRPr="00B6615A" w:rsidRDefault="000D5B39" w:rsidP="000D5B39">
            <w:pPr>
              <w:spacing w:line="276"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Cs w:val="24"/>
              </w:rPr>
            </w:pPr>
            <w:r w:rsidRPr="00B6615A">
              <w:rPr>
                <w:rFonts w:ascii="Calibri" w:hAnsi="Calibri" w:cs="Calibri"/>
                <w:color w:val="000000" w:themeColor="text1"/>
                <w:szCs w:val="24"/>
              </w:rPr>
              <w:t>NUMBER</w:t>
            </w:r>
          </w:p>
        </w:tc>
      </w:tr>
      <w:tr w:rsidR="000D5B39" w:rsidRPr="00B6615A" w14:paraId="199C1BC4" w14:textId="77777777" w:rsidTr="000D5B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24" w:type="dxa"/>
          </w:tcPr>
          <w:p w14:paraId="3F11CB15" w14:textId="77777777" w:rsidR="000D5B39" w:rsidRPr="00B6615A" w:rsidRDefault="000D5B39" w:rsidP="000D5B39">
            <w:pPr>
              <w:spacing w:line="276" w:lineRule="auto"/>
              <w:jc w:val="center"/>
              <w:rPr>
                <w:rFonts w:ascii="Calibri" w:hAnsi="Calibri" w:cs="Calibri"/>
                <w:szCs w:val="24"/>
              </w:rPr>
            </w:pPr>
            <w:r>
              <w:rPr>
                <w:rFonts w:ascii="Calibri" w:hAnsi="Calibri" w:cs="Calibri"/>
                <w:szCs w:val="24"/>
              </w:rPr>
              <w:t>Objectives</w:t>
            </w:r>
          </w:p>
        </w:tc>
        <w:tc>
          <w:tcPr>
            <w:tcW w:w="2136" w:type="dxa"/>
          </w:tcPr>
          <w:p w14:paraId="28A8CD28" w14:textId="201FC12A" w:rsidR="000D5B39" w:rsidRPr="00032678" w:rsidRDefault="006C3DBC" w:rsidP="000D5B39">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
                <w:color w:val="FF0000"/>
                <w:szCs w:val="24"/>
              </w:rPr>
            </w:pPr>
            <w:r w:rsidRPr="006C3DBC">
              <w:rPr>
                <w:rFonts w:ascii="Calibri" w:hAnsi="Calibri" w:cs="Calibri"/>
                <w:b/>
                <w:szCs w:val="24"/>
              </w:rPr>
              <w:t>15</w:t>
            </w:r>
          </w:p>
        </w:tc>
        <w:tc>
          <w:tcPr>
            <w:tcW w:w="2443" w:type="dxa"/>
          </w:tcPr>
          <w:p w14:paraId="6ED339EA" w14:textId="77777777" w:rsidR="000D5B39" w:rsidRPr="00B6615A" w:rsidRDefault="000D5B39" w:rsidP="000D5B39">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
                <w:szCs w:val="24"/>
              </w:rPr>
            </w:pPr>
            <w:r w:rsidRPr="00B6615A">
              <w:rPr>
                <w:rFonts w:ascii="Calibri" w:hAnsi="Calibri" w:cs="Calibri"/>
                <w:b/>
                <w:szCs w:val="24"/>
              </w:rPr>
              <w:t>Corporate Risks</w:t>
            </w:r>
          </w:p>
        </w:tc>
        <w:tc>
          <w:tcPr>
            <w:tcW w:w="1948" w:type="dxa"/>
          </w:tcPr>
          <w:p w14:paraId="3861C3AA" w14:textId="4907111A" w:rsidR="000D5B39" w:rsidRPr="00032678" w:rsidRDefault="00947A38" w:rsidP="000D5B39">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
                <w:color w:val="FF0000"/>
                <w:szCs w:val="24"/>
              </w:rPr>
            </w:pPr>
            <w:r w:rsidRPr="00947A38">
              <w:rPr>
                <w:rFonts w:ascii="Calibri" w:hAnsi="Calibri" w:cs="Calibri"/>
                <w:b/>
                <w:szCs w:val="24"/>
              </w:rPr>
              <w:t>11</w:t>
            </w:r>
          </w:p>
        </w:tc>
      </w:tr>
      <w:tr w:rsidR="000D5B39" w:rsidRPr="00B6615A" w14:paraId="101E012D" w14:textId="77777777" w:rsidTr="000D5B39">
        <w:tc>
          <w:tcPr>
            <w:cnfStyle w:val="001000000000" w:firstRow="0" w:lastRow="0" w:firstColumn="1" w:lastColumn="0" w:oddVBand="0" w:evenVBand="0" w:oddHBand="0" w:evenHBand="0" w:firstRowFirstColumn="0" w:firstRowLastColumn="0" w:lastRowFirstColumn="0" w:lastRowLastColumn="0"/>
            <w:tcW w:w="2824" w:type="dxa"/>
          </w:tcPr>
          <w:p w14:paraId="14E1DADD" w14:textId="77777777" w:rsidR="000D5B39" w:rsidRPr="00B6615A" w:rsidRDefault="000D5B39" w:rsidP="000D5B39">
            <w:pPr>
              <w:spacing w:line="276" w:lineRule="auto"/>
              <w:jc w:val="center"/>
              <w:rPr>
                <w:rFonts w:ascii="Calibri" w:hAnsi="Calibri" w:cs="Calibri"/>
                <w:b w:val="0"/>
                <w:szCs w:val="24"/>
              </w:rPr>
            </w:pPr>
            <w:r w:rsidRPr="00B6615A">
              <w:rPr>
                <w:rFonts w:ascii="Calibri" w:hAnsi="Calibri" w:cs="Calibri"/>
                <w:b w:val="0"/>
                <w:color w:val="00B050"/>
                <w:szCs w:val="24"/>
              </w:rPr>
              <w:t>On Track</w:t>
            </w:r>
          </w:p>
        </w:tc>
        <w:tc>
          <w:tcPr>
            <w:tcW w:w="2136" w:type="dxa"/>
          </w:tcPr>
          <w:p w14:paraId="37960DA7" w14:textId="77CCF58F" w:rsidR="000D5B39" w:rsidRPr="00032678" w:rsidRDefault="006C3DBC" w:rsidP="000D5B39">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FF0000"/>
                <w:szCs w:val="24"/>
              </w:rPr>
            </w:pPr>
            <w:r w:rsidRPr="006C3DBC">
              <w:rPr>
                <w:rFonts w:ascii="Calibri" w:hAnsi="Calibri" w:cs="Calibri"/>
                <w:szCs w:val="24"/>
              </w:rPr>
              <w:t>14</w:t>
            </w:r>
          </w:p>
        </w:tc>
        <w:tc>
          <w:tcPr>
            <w:tcW w:w="2443" w:type="dxa"/>
          </w:tcPr>
          <w:p w14:paraId="12969072" w14:textId="77777777" w:rsidR="000D5B39" w:rsidRPr="00B6615A" w:rsidRDefault="000D5B39" w:rsidP="000D5B39">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4"/>
              </w:rPr>
            </w:pPr>
            <w:r w:rsidRPr="00B6615A">
              <w:rPr>
                <w:rFonts w:ascii="Calibri" w:hAnsi="Calibri" w:cs="Calibri"/>
                <w:szCs w:val="24"/>
              </w:rPr>
              <w:t>Increased Score</w:t>
            </w:r>
          </w:p>
        </w:tc>
        <w:tc>
          <w:tcPr>
            <w:tcW w:w="1948" w:type="dxa"/>
          </w:tcPr>
          <w:p w14:paraId="3530118C" w14:textId="5D54282B" w:rsidR="000D5B39" w:rsidRPr="00E46A6D" w:rsidRDefault="00E46A6D" w:rsidP="000D5B39">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4"/>
              </w:rPr>
            </w:pPr>
            <w:r w:rsidRPr="00E46A6D">
              <w:rPr>
                <w:rFonts w:ascii="Calibri" w:hAnsi="Calibri" w:cs="Calibri"/>
                <w:szCs w:val="24"/>
              </w:rPr>
              <w:t>0</w:t>
            </w:r>
          </w:p>
        </w:tc>
      </w:tr>
      <w:tr w:rsidR="000D5B39" w:rsidRPr="00B6615A" w14:paraId="7241275F" w14:textId="77777777" w:rsidTr="000D5B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24" w:type="dxa"/>
          </w:tcPr>
          <w:p w14:paraId="6A1FE29A" w14:textId="1ABF1051" w:rsidR="000D5B39" w:rsidRPr="00B6615A" w:rsidRDefault="006C3DBC" w:rsidP="000D5B39">
            <w:pPr>
              <w:spacing w:line="276" w:lineRule="auto"/>
              <w:jc w:val="center"/>
              <w:rPr>
                <w:rFonts w:ascii="Calibri" w:hAnsi="Calibri" w:cs="Calibri"/>
                <w:b w:val="0"/>
                <w:szCs w:val="24"/>
              </w:rPr>
            </w:pPr>
            <w:r w:rsidRPr="00A0191B">
              <w:rPr>
                <w:rFonts w:ascii="Calibri" w:hAnsi="Calibri" w:cs="Calibri"/>
                <w:b w:val="0"/>
                <w:color w:val="F79646" w:themeColor="accent6"/>
                <w:szCs w:val="24"/>
              </w:rPr>
              <w:t>Minor</w:t>
            </w:r>
            <w:r w:rsidR="000D5B39" w:rsidRPr="00A0191B">
              <w:rPr>
                <w:rFonts w:ascii="Calibri" w:hAnsi="Calibri" w:cs="Calibri"/>
                <w:b w:val="0"/>
                <w:color w:val="F79646" w:themeColor="accent6"/>
                <w:szCs w:val="24"/>
              </w:rPr>
              <w:t xml:space="preserve"> Slippage</w:t>
            </w:r>
          </w:p>
        </w:tc>
        <w:tc>
          <w:tcPr>
            <w:tcW w:w="2136" w:type="dxa"/>
          </w:tcPr>
          <w:p w14:paraId="6445242E" w14:textId="0CF56B8F" w:rsidR="000D5B39" w:rsidRPr="00032678" w:rsidRDefault="006C3DBC" w:rsidP="000D5B39">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FF0000"/>
                <w:szCs w:val="24"/>
              </w:rPr>
            </w:pPr>
            <w:r w:rsidRPr="00A0191B">
              <w:rPr>
                <w:rFonts w:ascii="Calibri" w:hAnsi="Calibri" w:cs="Calibri"/>
                <w:szCs w:val="24"/>
              </w:rPr>
              <w:t>1</w:t>
            </w:r>
          </w:p>
        </w:tc>
        <w:tc>
          <w:tcPr>
            <w:tcW w:w="2443" w:type="dxa"/>
          </w:tcPr>
          <w:p w14:paraId="4B89EAAD" w14:textId="77777777" w:rsidR="000D5B39" w:rsidRPr="00B6615A" w:rsidRDefault="000D5B39" w:rsidP="000D5B39">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Cs w:val="24"/>
              </w:rPr>
            </w:pPr>
            <w:r w:rsidRPr="00B6615A">
              <w:rPr>
                <w:rFonts w:ascii="Calibri" w:hAnsi="Calibri" w:cs="Calibri"/>
                <w:szCs w:val="24"/>
              </w:rPr>
              <w:t>Decreased Score</w:t>
            </w:r>
          </w:p>
        </w:tc>
        <w:tc>
          <w:tcPr>
            <w:tcW w:w="1948" w:type="dxa"/>
          </w:tcPr>
          <w:p w14:paraId="04FCD341" w14:textId="3B96F808" w:rsidR="000D5B39" w:rsidRPr="00E46A6D" w:rsidRDefault="00E46A6D" w:rsidP="000D5B39">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Cs w:val="24"/>
              </w:rPr>
            </w:pPr>
            <w:r w:rsidRPr="00E46A6D">
              <w:rPr>
                <w:rFonts w:ascii="Calibri" w:hAnsi="Calibri" w:cs="Calibri"/>
                <w:szCs w:val="24"/>
              </w:rPr>
              <w:t>0</w:t>
            </w:r>
          </w:p>
        </w:tc>
      </w:tr>
    </w:tbl>
    <w:tbl>
      <w:tblPr>
        <w:tblStyle w:val="GridTable4-Accent1"/>
        <w:tblpPr w:leftFromText="180" w:rightFromText="180" w:vertAnchor="text" w:horzAnchor="margin" w:tblpY="1616"/>
        <w:tblW w:w="9351" w:type="dxa"/>
        <w:tblLook w:val="04A0" w:firstRow="1" w:lastRow="0" w:firstColumn="1" w:lastColumn="0" w:noHBand="0" w:noVBand="1"/>
        <w:tblCaption w:val="Priority and risk performance"/>
        <w:tblDescription w:val="Summary of performance on the priorities and risks"/>
      </w:tblPr>
      <w:tblGrid>
        <w:gridCol w:w="2824"/>
        <w:gridCol w:w="2136"/>
        <w:gridCol w:w="2443"/>
        <w:gridCol w:w="1948"/>
      </w:tblGrid>
      <w:tr w:rsidR="000D5B39" w:rsidRPr="00B6615A" w14:paraId="271AF270" w14:textId="77777777" w:rsidTr="000D5B39">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2824" w:type="dxa"/>
          </w:tcPr>
          <w:p w14:paraId="00C24BA4" w14:textId="77777777" w:rsidR="000D5B39" w:rsidRPr="00B6615A" w:rsidRDefault="000D5B39" w:rsidP="000D5B39">
            <w:pPr>
              <w:spacing w:line="276" w:lineRule="auto"/>
              <w:jc w:val="center"/>
              <w:rPr>
                <w:rFonts w:ascii="Calibri" w:hAnsi="Calibri" w:cs="Calibri"/>
                <w:color w:val="auto"/>
                <w:szCs w:val="24"/>
              </w:rPr>
            </w:pPr>
            <w:r w:rsidRPr="00B6615A">
              <w:rPr>
                <w:rFonts w:ascii="Calibri" w:hAnsi="Calibri" w:cs="Calibri"/>
                <w:color w:val="auto"/>
                <w:szCs w:val="24"/>
              </w:rPr>
              <w:t>FINANCIAL METRICS</w:t>
            </w:r>
          </w:p>
        </w:tc>
        <w:tc>
          <w:tcPr>
            <w:tcW w:w="2136" w:type="dxa"/>
          </w:tcPr>
          <w:p w14:paraId="38DC84B5" w14:textId="77777777" w:rsidR="000D5B39" w:rsidRPr="00B6615A" w:rsidRDefault="000D5B39" w:rsidP="000D5B39">
            <w:pPr>
              <w:spacing w:line="276"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color w:val="auto"/>
                <w:szCs w:val="24"/>
              </w:rPr>
            </w:pPr>
            <w:r w:rsidRPr="00B6615A">
              <w:rPr>
                <w:rFonts w:ascii="Calibri" w:hAnsi="Calibri" w:cs="Calibri"/>
                <w:color w:val="auto"/>
                <w:szCs w:val="24"/>
              </w:rPr>
              <w:t>STATUS</w:t>
            </w:r>
          </w:p>
        </w:tc>
        <w:tc>
          <w:tcPr>
            <w:tcW w:w="2443" w:type="dxa"/>
          </w:tcPr>
          <w:p w14:paraId="7EDBDB15" w14:textId="77777777" w:rsidR="000D5B39" w:rsidRPr="00B6615A" w:rsidRDefault="000D5B39" w:rsidP="000D5B39">
            <w:pPr>
              <w:spacing w:line="276"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color w:val="auto"/>
                <w:szCs w:val="24"/>
              </w:rPr>
            </w:pPr>
            <w:r w:rsidRPr="00B6615A">
              <w:rPr>
                <w:rFonts w:ascii="Calibri" w:hAnsi="Calibri" w:cs="Calibri"/>
                <w:color w:val="auto"/>
                <w:szCs w:val="24"/>
              </w:rPr>
              <w:t>PEOPLE METRICS</w:t>
            </w:r>
          </w:p>
        </w:tc>
        <w:tc>
          <w:tcPr>
            <w:tcW w:w="1948" w:type="dxa"/>
          </w:tcPr>
          <w:p w14:paraId="5370BD4C" w14:textId="77777777" w:rsidR="000D5B39" w:rsidRPr="00B6615A" w:rsidRDefault="000D5B39" w:rsidP="000D5B39">
            <w:pPr>
              <w:spacing w:line="276"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color w:val="auto"/>
                <w:szCs w:val="24"/>
              </w:rPr>
            </w:pPr>
            <w:r w:rsidRPr="00B6615A">
              <w:rPr>
                <w:rFonts w:ascii="Calibri" w:hAnsi="Calibri" w:cs="Calibri"/>
                <w:color w:val="auto"/>
                <w:szCs w:val="24"/>
              </w:rPr>
              <w:t>STATUS</w:t>
            </w:r>
          </w:p>
        </w:tc>
      </w:tr>
      <w:tr w:rsidR="000D5B39" w:rsidRPr="00B6615A" w14:paraId="67939DFF" w14:textId="77777777" w:rsidTr="000D5B39">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824" w:type="dxa"/>
          </w:tcPr>
          <w:p w14:paraId="4FD386C2" w14:textId="77777777" w:rsidR="000D5B39" w:rsidRPr="00B6615A" w:rsidRDefault="000D5B39" w:rsidP="000D5B39">
            <w:pPr>
              <w:spacing w:line="276" w:lineRule="auto"/>
              <w:jc w:val="center"/>
              <w:rPr>
                <w:rFonts w:ascii="Calibri" w:hAnsi="Calibri" w:cs="Calibri"/>
                <w:b w:val="0"/>
                <w:szCs w:val="24"/>
              </w:rPr>
            </w:pPr>
            <w:r>
              <w:rPr>
                <w:rFonts w:ascii="Calibri" w:hAnsi="Calibri" w:cs="Calibri"/>
                <w:b w:val="0"/>
                <w:szCs w:val="24"/>
              </w:rPr>
              <w:t>Resource</w:t>
            </w:r>
          </w:p>
        </w:tc>
        <w:tc>
          <w:tcPr>
            <w:tcW w:w="2136" w:type="dxa"/>
          </w:tcPr>
          <w:p w14:paraId="00E592AD" w14:textId="23833EE4" w:rsidR="000D5B39" w:rsidRPr="00ED450A" w:rsidRDefault="0018758C" w:rsidP="000D5B39">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B050"/>
                <w:szCs w:val="24"/>
                <w:lang w:eastAsia="en-GB"/>
              </w:rPr>
            </w:pPr>
            <w:r w:rsidRPr="0018758C">
              <w:rPr>
                <w:rFonts w:ascii="Calibri" w:eastAsia="Times New Roman" w:hAnsi="Calibri" w:cs="Calibri"/>
                <w:color w:val="F79646" w:themeColor="accent6"/>
                <w:szCs w:val="24"/>
                <w:lang w:eastAsia="en-GB"/>
              </w:rPr>
              <w:t>Minor Slippage</w:t>
            </w:r>
          </w:p>
        </w:tc>
        <w:tc>
          <w:tcPr>
            <w:tcW w:w="2443" w:type="dxa"/>
          </w:tcPr>
          <w:p w14:paraId="0238B44B" w14:textId="77777777" w:rsidR="000D5B39" w:rsidRPr="00B6615A" w:rsidRDefault="000D5B39" w:rsidP="000D5B39">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Cs w:val="24"/>
              </w:rPr>
            </w:pPr>
            <w:r w:rsidRPr="00B6615A">
              <w:rPr>
                <w:rFonts w:ascii="Calibri" w:hAnsi="Calibri" w:cs="Calibri"/>
                <w:szCs w:val="24"/>
              </w:rPr>
              <w:t>Wellbeing</w:t>
            </w:r>
          </w:p>
        </w:tc>
        <w:tc>
          <w:tcPr>
            <w:tcW w:w="1948" w:type="dxa"/>
          </w:tcPr>
          <w:p w14:paraId="546952A0" w14:textId="73F6F90C" w:rsidR="000D5B39" w:rsidRPr="00B6615A" w:rsidRDefault="00DB13B7" w:rsidP="000D5B39">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B050"/>
                <w:szCs w:val="24"/>
              </w:rPr>
            </w:pPr>
            <w:r>
              <w:rPr>
                <w:rFonts w:ascii="Calibri" w:hAnsi="Calibri" w:cs="Calibri"/>
                <w:color w:val="00B050"/>
                <w:szCs w:val="24"/>
              </w:rPr>
              <w:t>On Track</w:t>
            </w:r>
          </w:p>
        </w:tc>
      </w:tr>
      <w:tr w:rsidR="000D5B39" w:rsidRPr="00B6615A" w14:paraId="7289DD87" w14:textId="77777777" w:rsidTr="000D5B39">
        <w:trPr>
          <w:cantSplit/>
        </w:trPr>
        <w:tc>
          <w:tcPr>
            <w:cnfStyle w:val="001000000000" w:firstRow="0" w:lastRow="0" w:firstColumn="1" w:lastColumn="0" w:oddVBand="0" w:evenVBand="0" w:oddHBand="0" w:evenHBand="0" w:firstRowFirstColumn="0" w:firstRowLastColumn="0" w:lastRowFirstColumn="0" w:lastRowLastColumn="0"/>
            <w:tcW w:w="2824" w:type="dxa"/>
          </w:tcPr>
          <w:p w14:paraId="25213760" w14:textId="77777777" w:rsidR="000D5B39" w:rsidRPr="00B6615A" w:rsidRDefault="000D5B39" w:rsidP="000D5B39">
            <w:pPr>
              <w:spacing w:line="276" w:lineRule="auto"/>
              <w:jc w:val="center"/>
              <w:rPr>
                <w:rFonts w:ascii="Calibri" w:hAnsi="Calibri" w:cs="Calibri"/>
                <w:b w:val="0"/>
                <w:szCs w:val="24"/>
              </w:rPr>
            </w:pPr>
            <w:r w:rsidRPr="00B6615A">
              <w:rPr>
                <w:rFonts w:ascii="Calibri" w:hAnsi="Calibri" w:cs="Calibri"/>
                <w:b w:val="0"/>
                <w:szCs w:val="24"/>
              </w:rPr>
              <w:t>Project Allocation</w:t>
            </w:r>
          </w:p>
        </w:tc>
        <w:tc>
          <w:tcPr>
            <w:tcW w:w="2136" w:type="dxa"/>
          </w:tcPr>
          <w:p w14:paraId="06561B65" w14:textId="511CBE5C" w:rsidR="000D5B39" w:rsidRPr="0018758C" w:rsidRDefault="0018758C" w:rsidP="000D5B39">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color w:val="00B050"/>
                <w:kern w:val="24"/>
                <w:szCs w:val="24"/>
                <w:lang w:eastAsia="en-GB"/>
              </w:rPr>
            </w:pPr>
            <w:r w:rsidRPr="0018758C">
              <w:rPr>
                <w:rFonts w:ascii="Calibri" w:eastAsia="Times New Roman" w:hAnsi="Calibri" w:cs="Calibri"/>
                <w:bCs/>
                <w:color w:val="00B050"/>
                <w:kern w:val="24"/>
                <w:szCs w:val="24"/>
                <w:lang w:eastAsia="en-GB"/>
              </w:rPr>
              <w:t>On Track</w:t>
            </w:r>
          </w:p>
        </w:tc>
        <w:tc>
          <w:tcPr>
            <w:tcW w:w="2443" w:type="dxa"/>
          </w:tcPr>
          <w:p w14:paraId="3065AA0A" w14:textId="77777777" w:rsidR="000D5B39" w:rsidRPr="00B6615A" w:rsidRDefault="000D5B39" w:rsidP="000D5B39">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4"/>
              </w:rPr>
            </w:pPr>
            <w:r w:rsidRPr="00B6615A">
              <w:rPr>
                <w:rFonts w:ascii="Calibri" w:hAnsi="Calibri" w:cs="Calibri"/>
                <w:szCs w:val="24"/>
              </w:rPr>
              <w:t>Capacity</w:t>
            </w:r>
          </w:p>
        </w:tc>
        <w:tc>
          <w:tcPr>
            <w:tcW w:w="1948" w:type="dxa"/>
          </w:tcPr>
          <w:p w14:paraId="47390BE3" w14:textId="6E5154D8" w:rsidR="000D5B39" w:rsidRPr="00B6615A" w:rsidRDefault="00DB13B7" w:rsidP="000D5B39">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color w:val="00B050"/>
                <w:kern w:val="24"/>
                <w:szCs w:val="24"/>
                <w:lang w:eastAsia="en-GB"/>
              </w:rPr>
            </w:pPr>
            <w:r>
              <w:rPr>
                <w:rFonts w:ascii="Calibri" w:eastAsia="Times New Roman" w:hAnsi="Calibri" w:cs="Calibri"/>
                <w:bCs/>
                <w:color w:val="00B050"/>
                <w:kern w:val="24"/>
                <w:szCs w:val="24"/>
                <w:lang w:eastAsia="en-GB"/>
              </w:rPr>
              <w:t>On Track</w:t>
            </w:r>
          </w:p>
        </w:tc>
      </w:tr>
      <w:tr w:rsidR="000D5B39" w:rsidRPr="00B6615A" w14:paraId="3B063723" w14:textId="77777777" w:rsidTr="000D5B39">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824" w:type="dxa"/>
          </w:tcPr>
          <w:p w14:paraId="2E046A9F" w14:textId="77777777" w:rsidR="000D5B39" w:rsidRPr="00B6615A" w:rsidRDefault="000D5B39" w:rsidP="000D5B39">
            <w:pPr>
              <w:spacing w:line="276" w:lineRule="auto"/>
              <w:jc w:val="center"/>
              <w:rPr>
                <w:rFonts w:ascii="Calibri" w:hAnsi="Calibri" w:cs="Calibri"/>
                <w:b w:val="0"/>
                <w:szCs w:val="24"/>
              </w:rPr>
            </w:pPr>
            <w:r w:rsidRPr="00B6615A">
              <w:rPr>
                <w:rFonts w:ascii="Calibri" w:hAnsi="Calibri" w:cs="Calibri"/>
                <w:b w:val="0"/>
                <w:szCs w:val="24"/>
              </w:rPr>
              <w:t>Paybill</w:t>
            </w:r>
          </w:p>
        </w:tc>
        <w:tc>
          <w:tcPr>
            <w:tcW w:w="2136" w:type="dxa"/>
          </w:tcPr>
          <w:p w14:paraId="7A7B22DC" w14:textId="3310DC75" w:rsidR="000D5B39" w:rsidRPr="0018758C" w:rsidRDefault="0018758C" w:rsidP="000D5B39">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color w:val="00B050"/>
                <w:kern w:val="24"/>
                <w:szCs w:val="24"/>
                <w:lang w:eastAsia="en-GB"/>
              </w:rPr>
            </w:pPr>
            <w:r w:rsidRPr="0018758C">
              <w:rPr>
                <w:rFonts w:ascii="Calibri" w:eastAsia="Times New Roman" w:hAnsi="Calibri" w:cs="Calibri"/>
                <w:bCs/>
                <w:color w:val="00B050"/>
                <w:kern w:val="24"/>
                <w:szCs w:val="24"/>
                <w:lang w:eastAsia="en-GB"/>
              </w:rPr>
              <w:t>On Track</w:t>
            </w:r>
          </w:p>
        </w:tc>
        <w:tc>
          <w:tcPr>
            <w:tcW w:w="2443" w:type="dxa"/>
          </w:tcPr>
          <w:p w14:paraId="60F54E9A" w14:textId="77777777" w:rsidR="000D5B39" w:rsidRPr="00B6615A" w:rsidRDefault="000D5B39" w:rsidP="000D5B39">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Cs w:val="24"/>
              </w:rPr>
            </w:pPr>
            <w:r w:rsidRPr="00B6615A">
              <w:rPr>
                <w:rFonts w:ascii="Calibri" w:hAnsi="Calibri" w:cs="Calibri"/>
                <w:szCs w:val="24"/>
              </w:rPr>
              <w:t>Development</w:t>
            </w:r>
          </w:p>
        </w:tc>
        <w:tc>
          <w:tcPr>
            <w:tcW w:w="1948" w:type="dxa"/>
          </w:tcPr>
          <w:p w14:paraId="3DD54D60" w14:textId="49EBDC67" w:rsidR="000D5B39" w:rsidRPr="00B6615A" w:rsidRDefault="00DB13B7" w:rsidP="000D5B39">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B050"/>
                <w:szCs w:val="24"/>
              </w:rPr>
            </w:pPr>
            <w:r>
              <w:rPr>
                <w:rFonts w:ascii="Calibri" w:hAnsi="Calibri" w:cs="Calibri"/>
                <w:color w:val="00B050"/>
                <w:szCs w:val="24"/>
              </w:rPr>
              <w:t>On Track</w:t>
            </w:r>
          </w:p>
        </w:tc>
      </w:tr>
      <w:tr w:rsidR="000D5B39" w:rsidRPr="00B6615A" w14:paraId="6A870ACB" w14:textId="77777777" w:rsidTr="000D5B39">
        <w:trPr>
          <w:cantSplit/>
        </w:trPr>
        <w:tc>
          <w:tcPr>
            <w:cnfStyle w:val="001000000000" w:firstRow="0" w:lastRow="0" w:firstColumn="1" w:lastColumn="0" w:oddVBand="0" w:evenVBand="0" w:oddHBand="0" w:evenHBand="0" w:firstRowFirstColumn="0" w:firstRowLastColumn="0" w:lastRowFirstColumn="0" w:lastRowLastColumn="0"/>
            <w:tcW w:w="2824" w:type="dxa"/>
          </w:tcPr>
          <w:p w14:paraId="787E1CB1" w14:textId="77777777" w:rsidR="000D5B39" w:rsidRPr="00B6615A" w:rsidRDefault="000D5B39" w:rsidP="000D5B39">
            <w:pPr>
              <w:spacing w:line="276" w:lineRule="auto"/>
              <w:jc w:val="center"/>
              <w:rPr>
                <w:rFonts w:ascii="Calibri" w:hAnsi="Calibri" w:cs="Calibri"/>
                <w:b w:val="0"/>
                <w:szCs w:val="24"/>
              </w:rPr>
            </w:pPr>
            <w:r w:rsidRPr="00B6615A">
              <w:rPr>
                <w:rFonts w:ascii="Calibri" w:hAnsi="Calibri" w:cs="Calibri"/>
                <w:b w:val="0"/>
                <w:szCs w:val="24"/>
              </w:rPr>
              <w:t>Capital</w:t>
            </w:r>
          </w:p>
        </w:tc>
        <w:tc>
          <w:tcPr>
            <w:tcW w:w="2136" w:type="dxa"/>
          </w:tcPr>
          <w:p w14:paraId="191FB07C" w14:textId="23601A88" w:rsidR="000D5B39" w:rsidRPr="00ED450A" w:rsidRDefault="0018758C" w:rsidP="000D5B39">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color w:val="00B050"/>
                <w:kern w:val="24"/>
                <w:szCs w:val="24"/>
                <w:lang w:eastAsia="en-GB"/>
              </w:rPr>
            </w:pPr>
            <w:r w:rsidRPr="0018758C">
              <w:rPr>
                <w:rFonts w:ascii="Calibri" w:eastAsia="Times New Roman" w:hAnsi="Calibri" w:cs="Calibri"/>
                <w:bCs/>
                <w:color w:val="FF0000"/>
                <w:kern w:val="24"/>
                <w:szCs w:val="24"/>
                <w:lang w:eastAsia="en-GB"/>
              </w:rPr>
              <w:t>Major Slippage</w:t>
            </w:r>
          </w:p>
        </w:tc>
        <w:tc>
          <w:tcPr>
            <w:tcW w:w="2443" w:type="dxa"/>
          </w:tcPr>
          <w:p w14:paraId="6FC23406" w14:textId="77777777" w:rsidR="000D5B39" w:rsidRPr="00B6615A" w:rsidRDefault="000D5B39" w:rsidP="000D5B39">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4"/>
              </w:rPr>
            </w:pPr>
            <w:r>
              <w:rPr>
                <w:rFonts w:ascii="Calibri" w:hAnsi="Calibri" w:cs="Calibri"/>
                <w:szCs w:val="24"/>
              </w:rPr>
              <w:t>Workforce Profile</w:t>
            </w:r>
          </w:p>
        </w:tc>
        <w:tc>
          <w:tcPr>
            <w:tcW w:w="1948" w:type="dxa"/>
          </w:tcPr>
          <w:p w14:paraId="0852C61D" w14:textId="6F699952" w:rsidR="000D5B39" w:rsidRPr="00B6615A" w:rsidRDefault="00DB13B7" w:rsidP="000D5B39">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color w:val="F79646" w:themeColor="accent6"/>
                <w:kern w:val="24"/>
                <w:szCs w:val="24"/>
                <w:lang w:eastAsia="en-GB"/>
              </w:rPr>
            </w:pPr>
            <w:r>
              <w:rPr>
                <w:rFonts w:ascii="Calibri" w:eastAsia="Times New Roman" w:hAnsi="Calibri" w:cs="Calibri"/>
                <w:bCs/>
                <w:color w:val="F79646" w:themeColor="accent6"/>
                <w:kern w:val="24"/>
                <w:szCs w:val="24"/>
                <w:lang w:eastAsia="en-GB"/>
              </w:rPr>
              <w:t>Minor Slippage</w:t>
            </w:r>
          </w:p>
        </w:tc>
      </w:tr>
    </w:tbl>
    <w:p w14:paraId="6EDFD076" w14:textId="6AE1FB13" w:rsidR="000419B1" w:rsidRDefault="000419B1" w:rsidP="005D0E4E">
      <w:pPr>
        <w:spacing w:after="0" w:line="240" w:lineRule="auto"/>
        <w:jc w:val="both"/>
        <w:rPr>
          <w:rFonts w:cstheme="minorHAnsi"/>
          <w:szCs w:val="24"/>
        </w:rPr>
        <w:sectPr w:rsidR="000419B1" w:rsidSect="00604DB9">
          <w:headerReference w:type="default" r:id="rId10"/>
          <w:footerReference w:type="default" r:id="rId11"/>
          <w:pgSz w:w="11906" w:h="16838"/>
          <w:pgMar w:top="993" w:right="1440" w:bottom="1440" w:left="1440" w:header="567" w:footer="708" w:gutter="0"/>
          <w:cols w:space="708"/>
          <w:docGrid w:linePitch="360"/>
        </w:sectPr>
      </w:pPr>
    </w:p>
    <w:p w14:paraId="05613E52" w14:textId="4BA248C6" w:rsidR="000419B1" w:rsidRDefault="000419B1" w:rsidP="000419B1">
      <w:pPr>
        <w:pStyle w:val="Heading1"/>
        <w:rPr>
          <w:rFonts w:ascii="Calibri" w:eastAsiaTheme="minorHAnsi" w:hAnsi="Calibri" w:cs="Calibri"/>
          <w:caps/>
          <w:color w:val="007DC3"/>
          <w:szCs w:val="22"/>
        </w:rPr>
      </w:pPr>
      <w:r w:rsidRPr="009A7A96">
        <w:rPr>
          <w:rFonts w:ascii="Calibri" w:eastAsiaTheme="minorHAnsi" w:hAnsi="Calibri" w:cs="Calibri"/>
          <w:color w:val="007DC3"/>
          <w:szCs w:val="22"/>
        </w:rPr>
        <w:lastRenderedPageBreak/>
        <w:t>PERFORMANCE DASHBOARD</w:t>
      </w:r>
      <w:r>
        <w:rPr>
          <w:rFonts w:ascii="Calibri" w:eastAsiaTheme="minorHAnsi" w:hAnsi="Calibri" w:cs="Calibri"/>
          <w:color w:val="007DC3"/>
          <w:szCs w:val="22"/>
        </w:rPr>
        <w:t xml:space="preserve"> </w:t>
      </w:r>
    </w:p>
    <w:p w14:paraId="7EA072C7" w14:textId="77777777" w:rsidR="000419B1" w:rsidRPr="00EE60A2" w:rsidRDefault="000419B1" w:rsidP="00EE60A2">
      <w:pPr>
        <w:rPr>
          <w:caps/>
          <w:color w:val="007DC3"/>
          <w:sz w:val="22"/>
        </w:rPr>
      </w:pPr>
      <w:r w:rsidRPr="00EE60A2">
        <w:rPr>
          <w:sz w:val="18"/>
        </w:rPr>
        <w:t>RAG status will be available once 5 data points are collected.  Bar charts are used until this point and initial data is noted without a graph</w:t>
      </w:r>
    </w:p>
    <w:p w14:paraId="6C6035D3" w14:textId="77777777" w:rsidR="000419B1" w:rsidRPr="00FB3B80" w:rsidRDefault="000419B1" w:rsidP="000419B1">
      <w:pPr>
        <w:pStyle w:val="Heading2"/>
        <w:shd w:val="clear" w:color="auto" w:fill="007DC3"/>
        <w:jc w:val="center"/>
        <w:rPr>
          <w:rFonts w:ascii="Calibri" w:hAnsi="Calibri" w:cs="Calibri"/>
        </w:rPr>
      </w:pPr>
      <w:r w:rsidRPr="00FB3B80">
        <w:rPr>
          <w:rFonts w:ascii="Calibri" w:hAnsi="Calibri" w:cs="Calibri"/>
        </w:rPr>
        <w:t>WE HAVE PROTECTED NATURE</w:t>
      </w:r>
    </w:p>
    <w:tbl>
      <w:tblPr>
        <w:tblStyle w:val="TableGrid"/>
        <w:tblW w:w="1460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We have transformed how we work measures"/>
        <w:tblDescription w:val="An update at the end of this quarter for all of the measures that sit under 'we have transformed how we work'"/>
      </w:tblPr>
      <w:tblGrid>
        <w:gridCol w:w="958"/>
        <w:gridCol w:w="2297"/>
        <w:gridCol w:w="3117"/>
        <w:gridCol w:w="999"/>
        <w:gridCol w:w="3539"/>
        <w:gridCol w:w="3691"/>
      </w:tblGrid>
      <w:tr w:rsidR="000419B1" w:rsidRPr="00F56679" w14:paraId="2D1CF9E2" w14:textId="77777777" w:rsidTr="005A6337">
        <w:trPr>
          <w:tblHeader/>
          <w:jc w:val="center"/>
        </w:trPr>
        <w:tc>
          <w:tcPr>
            <w:tcW w:w="958" w:type="dxa"/>
            <w:tcBorders>
              <w:bottom w:val="single" w:sz="4" w:space="0" w:color="548DD4" w:themeColor="text2" w:themeTint="99"/>
            </w:tcBorders>
          </w:tcPr>
          <w:p w14:paraId="41FDD178" w14:textId="77777777" w:rsidR="000419B1" w:rsidRPr="00F56679" w:rsidRDefault="000419B1" w:rsidP="000419B1">
            <w:pPr>
              <w:jc w:val="center"/>
              <w:rPr>
                <w:rFonts w:ascii="Calibri" w:hAnsi="Calibri" w:cs="Calibri"/>
                <w:b/>
              </w:rPr>
            </w:pPr>
            <w:r>
              <w:rPr>
                <w:rFonts w:ascii="Calibri" w:hAnsi="Calibri" w:cs="Calibri"/>
                <w:b/>
              </w:rPr>
              <w:t>Score</w:t>
            </w:r>
          </w:p>
        </w:tc>
        <w:tc>
          <w:tcPr>
            <w:tcW w:w="2297" w:type="dxa"/>
            <w:tcBorders>
              <w:bottom w:val="single" w:sz="4" w:space="0" w:color="548DD4" w:themeColor="text2" w:themeTint="99"/>
            </w:tcBorders>
          </w:tcPr>
          <w:p w14:paraId="4159BF23" w14:textId="77777777" w:rsidR="000419B1" w:rsidRPr="00F56679" w:rsidRDefault="000419B1" w:rsidP="000419B1">
            <w:pPr>
              <w:jc w:val="center"/>
              <w:rPr>
                <w:rFonts w:ascii="Calibri" w:hAnsi="Calibri" w:cs="Calibri"/>
                <w:b/>
              </w:rPr>
            </w:pPr>
            <w:r w:rsidRPr="00F56679">
              <w:rPr>
                <w:rFonts w:ascii="Calibri" w:hAnsi="Calibri" w:cs="Calibri"/>
                <w:b/>
              </w:rPr>
              <w:t>Measure</w:t>
            </w:r>
          </w:p>
        </w:tc>
        <w:tc>
          <w:tcPr>
            <w:tcW w:w="3117" w:type="dxa"/>
            <w:tcBorders>
              <w:bottom w:val="single" w:sz="4" w:space="0" w:color="548DD4" w:themeColor="text2" w:themeTint="99"/>
            </w:tcBorders>
          </w:tcPr>
          <w:p w14:paraId="2B0673B0" w14:textId="77777777" w:rsidR="000419B1" w:rsidRPr="00F56679" w:rsidRDefault="000419B1" w:rsidP="000419B1">
            <w:pPr>
              <w:jc w:val="center"/>
              <w:rPr>
                <w:rFonts w:ascii="Calibri" w:hAnsi="Calibri" w:cs="Calibri"/>
                <w:b/>
              </w:rPr>
            </w:pPr>
            <w:r>
              <w:rPr>
                <w:rFonts w:ascii="Calibri" w:hAnsi="Calibri" w:cs="Calibri"/>
                <w:b/>
              </w:rPr>
              <w:t>Performance Overview</w:t>
            </w:r>
          </w:p>
        </w:tc>
        <w:tc>
          <w:tcPr>
            <w:tcW w:w="999" w:type="dxa"/>
            <w:tcBorders>
              <w:bottom w:val="single" w:sz="4" w:space="0" w:color="548DD4" w:themeColor="text2" w:themeTint="99"/>
            </w:tcBorders>
          </w:tcPr>
          <w:p w14:paraId="3190F5D7" w14:textId="77777777" w:rsidR="000419B1" w:rsidRPr="00F56679" w:rsidRDefault="000419B1" w:rsidP="000419B1">
            <w:pPr>
              <w:jc w:val="center"/>
              <w:rPr>
                <w:rFonts w:ascii="Calibri" w:hAnsi="Calibri" w:cs="Calibri"/>
                <w:b/>
              </w:rPr>
            </w:pPr>
            <w:r w:rsidRPr="00F56679">
              <w:rPr>
                <w:rFonts w:ascii="Calibri" w:hAnsi="Calibri" w:cs="Calibri"/>
                <w:b/>
              </w:rPr>
              <w:t>Actual</w:t>
            </w:r>
          </w:p>
        </w:tc>
        <w:tc>
          <w:tcPr>
            <w:tcW w:w="3539" w:type="dxa"/>
            <w:tcBorders>
              <w:bottom w:val="single" w:sz="4" w:space="0" w:color="548DD4" w:themeColor="text2" w:themeTint="99"/>
            </w:tcBorders>
          </w:tcPr>
          <w:p w14:paraId="2133F6D9" w14:textId="77777777" w:rsidR="000419B1" w:rsidRPr="00F56679" w:rsidRDefault="000419B1" w:rsidP="000419B1">
            <w:pPr>
              <w:jc w:val="center"/>
              <w:rPr>
                <w:rFonts w:ascii="Calibri" w:hAnsi="Calibri" w:cs="Calibri"/>
                <w:b/>
              </w:rPr>
            </w:pPr>
            <w:r w:rsidRPr="00F56679">
              <w:rPr>
                <w:rFonts w:ascii="Calibri" w:hAnsi="Calibri" w:cs="Calibri"/>
                <w:b/>
              </w:rPr>
              <w:t>Cause</w:t>
            </w:r>
          </w:p>
        </w:tc>
        <w:tc>
          <w:tcPr>
            <w:tcW w:w="3691" w:type="dxa"/>
            <w:tcBorders>
              <w:bottom w:val="single" w:sz="4" w:space="0" w:color="548DD4" w:themeColor="text2" w:themeTint="99"/>
            </w:tcBorders>
          </w:tcPr>
          <w:p w14:paraId="6191B015" w14:textId="77777777" w:rsidR="000419B1" w:rsidRPr="00F56679" w:rsidRDefault="000419B1" w:rsidP="000419B1">
            <w:pPr>
              <w:jc w:val="center"/>
              <w:rPr>
                <w:rFonts w:ascii="Calibri" w:hAnsi="Calibri" w:cs="Calibri"/>
                <w:b/>
              </w:rPr>
            </w:pPr>
            <w:r w:rsidRPr="00F56679">
              <w:rPr>
                <w:rFonts w:ascii="Calibri" w:hAnsi="Calibri" w:cs="Calibri"/>
                <w:b/>
              </w:rPr>
              <w:t>Response</w:t>
            </w:r>
          </w:p>
        </w:tc>
      </w:tr>
      <w:tr w:rsidR="000419B1" w:rsidRPr="003A4D73" w14:paraId="4FF13CD1" w14:textId="77777777" w:rsidTr="00FA55E8">
        <w:trPr>
          <w:trHeight w:hRule="exact" w:val="2840"/>
          <w:tblHeader/>
          <w:jc w:val="center"/>
        </w:trPr>
        <w:tc>
          <w:tcPr>
            <w:tcW w:w="958" w:type="dxa"/>
            <w:tcBorders>
              <w:top w:val="single" w:sz="4" w:space="0" w:color="548DD4" w:themeColor="text2" w:themeTint="99"/>
              <w:bottom w:val="single" w:sz="4" w:space="0" w:color="548DD4" w:themeColor="text2" w:themeTint="99"/>
            </w:tcBorders>
            <w:vAlign w:val="center"/>
          </w:tcPr>
          <w:p w14:paraId="4BAB2E4A" w14:textId="2C3E9594" w:rsidR="000419B1" w:rsidRPr="003A4D73" w:rsidRDefault="008818D2" w:rsidP="000419B1">
            <w:pPr>
              <w:jc w:val="center"/>
              <w:rPr>
                <w:rFonts w:ascii="Calibri" w:hAnsi="Calibri" w:cs="Calibri"/>
                <w:b/>
                <w:color w:val="F79646" w:themeColor="accent6"/>
              </w:rPr>
            </w:pPr>
            <w:r w:rsidRPr="00851105">
              <w:rPr>
                <w:rFonts w:ascii="Calibri" w:hAnsi="Calibri" w:cs="Calibri"/>
                <w:b/>
                <w:color w:val="00B050"/>
              </w:rPr>
              <w:t>GREEN</w:t>
            </w:r>
          </w:p>
        </w:tc>
        <w:tc>
          <w:tcPr>
            <w:tcW w:w="2297" w:type="dxa"/>
            <w:tcBorders>
              <w:top w:val="single" w:sz="4" w:space="0" w:color="548DD4" w:themeColor="text2" w:themeTint="99"/>
              <w:bottom w:val="single" w:sz="4" w:space="0" w:color="548DD4" w:themeColor="text2" w:themeTint="99"/>
            </w:tcBorders>
            <w:vAlign w:val="center"/>
          </w:tcPr>
          <w:p w14:paraId="011BA8E6" w14:textId="77777777" w:rsidR="000419B1" w:rsidRPr="006E0DDA" w:rsidRDefault="000419B1" w:rsidP="000419B1">
            <w:pPr>
              <w:rPr>
                <w:rFonts w:ascii="Calibri" w:hAnsi="Calibri" w:cs="Calibri"/>
                <w:b/>
                <w:iCs/>
                <w:color w:val="808080" w:themeColor="background1" w:themeShade="80"/>
                <w:sz w:val="21"/>
                <w:szCs w:val="21"/>
              </w:rPr>
            </w:pPr>
            <w:r w:rsidRPr="006E0DDA">
              <w:rPr>
                <w:rFonts w:ascii="Calibri" w:hAnsi="Calibri" w:cs="Calibri"/>
                <w:b/>
                <w:iCs/>
                <w:color w:val="808080" w:themeColor="background1" w:themeShade="80"/>
                <w:sz w:val="21"/>
                <w:szCs w:val="21"/>
              </w:rPr>
              <w:t>Reducing Deer Numbers</w:t>
            </w:r>
          </w:p>
        </w:tc>
        <w:tc>
          <w:tcPr>
            <w:tcW w:w="3117" w:type="dxa"/>
            <w:tcBorders>
              <w:top w:val="single" w:sz="4" w:space="0" w:color="548DD4" w:themeColor="text2" w:themeTint="99"/>
              <w:bottom w:val="single" w:sz="4" w:space="0" w:color="548DD4" w:themeColor="text2" w:themeTint="99"/>
            </w:tcBorders>
            <w:vAlign w:val="center"/>
          </w:tcPr>
          <w:p w14:paraId="1D2B3522" w14:textId="5801E00E" w:rsidR="000419B1" w:rsidRPr="00076CA4" w:rsidRDefault="00BA6797" w:rsidP="000419B1">
            <w:pPr>
              <w:jc w:val="center"/>
              <w:rPr>
                <w:rFonts w:ascii="Calibri" w:hAnsi="Calibri" w:cs="Calibri"/>
                <w:i/>
                <w:color w:val="808080" w:themeColor="background1" w:themeShade="80"/>
              </w:rPr>
            </w:pPr>
            <w:r>
              <w:rPr>
                <w:rFonts w:ascii="Calibri" w:hAnsi="Calibri" w:cs="Calibri"/>
                <w:i/>
                <w:noProof/>
                <w:color w:val="808080" w:themeColor="background1" w:themeShade="80"/>
                <w:lang w:eastAsia="en-GB"/>
              </w:rPr>
              <w:drawing>
                <wp:inline distT="0" distB="0" distL="0" distR="0" wp14:anchorId="6587AD13" wp14:editId="04D767EF">
                  <wp:extent cx="1941796" cy="863600"/>
                  <wp:effectExtent l="0" t="0" r="1905" b="0"/>
                  <wp:docPr id="4" name="Picture 4" descr="graph" title="gra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85735" cy="927616"/>
                          </a:xfrm>
                          <a:prstGeom prst="rect">
                            <a:avLst/>
                          </a:prstGeom>
                          <a:noFill/>
                        </pic:spPr>
                      </pic:pic>
                    </a:graphicData>
                  </a:graphic>
                </wp:inline>
              </w:drawing>
            </w:r>
          </w:p>
        </w:tc>
        <w:tc>
          <w:tcPr>
            <w:tcW w:w="999" w:type="dxa"/>
            <w:tcBorders>
              <w:top w:val="single" w:sz="4" w:space="0" w:color="548DD4" w:themeColor="text2" w:themeTint="99"/>
              <w:bottom w:val="single" w:sz="4" w:space="0" w:color="548DD4" w:themeColor="text2" w:themeTint="99"/>
            </w:tcBorders>
            <w:vAlign w:val="center"/>
          </w:tcPr>
          <w:p w14:paraId="1DA207F6" w14:textId="06E6C455" w:rsidR="000419B1" w:rsidRPr="00076CA4" w:rsidRDefault="000D5B39" w:rsidP="000419B1">
            <w:pPr>
              <w:jc w:val="center"/>
              <w:rPr>
                <w:rFonts w:ascii="Calibri" w:hAnsi="Calibri" w:cs="Calibri"/>
                <w:color w:val="808080" w:themeColor="background1" w:themeShade="80"/>
              </w:rPr>
            </w:pPr>
            <w:r>
              <w:rPr>
                <w:rFonts w:ascii="Calibri" w:hAnsi="Calibri" w:cs="Calibri"/>
                <w:color w:val="808080" w:themeColor="background1" w:themeShade="80"/>
              </w:rPr>
              <w:t xml:space="preserve">No. deer culled </w:t>
            </w:r>
            <w:r w:rsidR="00BA6797">
              <w:rPr>
                <w:rFonts w:ascii="Calibri" w:hAnsi="Calibri" w:cs="Calibri"/>
                <w:color w:val="808080" w:themeColor="background1" w:themeShade="80"/>
              </w:rPr>
              <w:t>102728</w:t>
            </w:r>
          </w:p>
        </w:tc>
        <w:tc>
          <w:tcPr>
            <w:tcW w:w="3539" w:type="dxa"/>
            <w:tcBorders>
              <w:top w:val="single" w:sz="4" w:space="0" w:color="548DD4" w:themeColor="text2" w:themeTint="99"/>
              <w:bottom w:val="single" w:sz="4" w:space="0" w:color="548DD4" w:themeColor="text2" w:themeTint="99"/>
            </w:tcBorders>
            <w:vAlign w:val="center"/>
          </w:tcPr>
          <w:p w14:paraId="6C182698" w14:textId="51C207D8" w:rsidR="000419B1" w:rsidRPr="00FA55E8" w:rsidRDefault="00B012EA" w:rsidP="000419B1">
            <w:pPr>
              <w:jc w:val="both"/>
              <w:rPr>
                <w:rFonts w:ascii="Calibri" w:hAnsi="Calibri" w:cs="Calibri"/>
                <w:color w:val="808080" w:themeColor="background1" w:themeShade="80"/>
                <w:sz w:val="20"/>
                <w:szCs w:val="20"/>
              </w:rPr>
            </w:pPr>
            <w:r>
              <w:rPr>
                <w:rFonts w:ascii="Calibri" w:hAnsi="Calibri" w:cs="Calibri"/>
                <w:color w:val="808080" w:themeColor="background1" w:themeShade="80"/>
                <w:sz w:val="20"/>
                <w:szCs w:val="20"/>
              </w:rPr>
              <w:t>Ongoing deer management practices continue to manage numbers at a comparable level.</w:t>
            </w:r>
            <w:r w:rsidR="00395590">
              <w:rPr>
                <w:rFonts w:ascii="Calibri" w:hAnsi="Calibri" w:cs="Calibri"/>
                <w:color w:val="808080" w:themeColor="background1" w:themeShade="80"/>
                <w:sz w:val="20"/>
                <w:szCs w:val="20"/>
              </w:rPr>
              <w:t xml:space="preserve">  </w:t>
            </w:r>
            <w:r w:rsidR="002E42FA" w:rsidRPr="00FA55E8">
              <w:rPr>
                <w:rFonts w:ascii="Calibri" w:hAnsi="Calibri" w:cs="Calibri"/>
                <w:color w:val="808080" w:themeColor="background1" w:themeShade="80"/>
                <w:sz w:val="20"/>
                <w:szCs w:val="20"/>
              </w:rPr>
              <w:t>Annual figure, next available Q1 2023/2</w:t>
            </w:r>
            <w:r>
              <w:rPr>
                <w:rFonts w:ascii="Calibri" w:hAnsi="Calibri" w:cs="Calibri"/>
                <w:color w:val="808080" w:themeColor="background1" w:themeShade="80"/>
                <w:sz w:val="20"/>
                <w:szCs w:val="20"/>
              </w:rPr>
              <w:t xml:space="preserve"> </w:t>
            </w:r>
            <w:r w:rsidR="002E42FA" w:rsidRPr="00FA55E8">
              <w:rPr>
                <w:rFonts w:ascii="Calibri" w:hAnsi="Calibri" w:cs="Calibri"/>
                <w:color w:val="808080" w:themeColor="background1" w:themeShade="80"/>
                <w:sz w:val="20"/>
                <w:szCs w:val="20"/>
              </w:rPr>
              <w:t>4.</w:t>
            </w:r>
          </w:p>
        </w:tc>
        <w:tc>
          <w:tcPr>
            <w:tcW w:w="3691" w:type="dxa"/>
            <w:tcBorders>
              <w:top w:val="single" w:sz="4" w:space="0" w:color="548DD4" w:themeColor="text2" w:themeTint="99"/>
              <w:bottom w:val="single" w:sz="4" w:space="0" w:color="548DD4" w:themeColor="text2" w:themeTint="99"/>
            </w:tcBorders>
            <w:vAlign w:val="center"/>
          </w:tcPr>
          <w:p w14:paraId="758D7C94" w14:textId="149518E7" w:rsidR="000419B1" w:rsidRPr="00864E08" w:rsidRDefault="00B012EA" w:rsidP="000419B1">
            <w:pPr>
              <w:rPr>
                <w:rFonts w:ascii="Calibri" w:hAnsi="Calibri" w:cs="Calibri"/>
                <w:color w:val="808080" w:themeColor="background1" w:themeShade="80"/>
                <w:sz w:val="20"/>
                <w:szCs w:val="20"/>
              </w:rPr>
            </w:pPr>
            <w:r>
              <w:rPr>
                <w:rFonts w:ascii="Calibri" w:hAnsi="Calibri" w:cs="Calibri"/>
                <w:color w:val="808080" w:themeColor="background1" w:themeShade="80"/>
                <w:sz w:val="20"/>
                <w:szCs w:val="20"/>
              </w:rPr>
              <w:t xml:space="preserve">This management activity continues alongside advancement of legislative and policy work to transform deer management to reduce overall impact to allow species and habitats to restore naturally. </w:t>
            </w:r>
          </w:p>
        </w:tc>
      </w:tr>
      <w:tr w:rsidR="000419B1" w:rsidRPr="003A4D73" w14:paraId="2D08C1DB" w14:textId="77777777" w:rsidTr="00FA55E8">
        <w:trPr>
          <w:trHeight w:hRule="exact" w:val="3681"/>
          <w:tblHeader/>
          <w:jc w:val="center"/>
        </w:trPr>
        <w:tc>
          <w:tcPr>
            <w:tcW w:w="958" w:type="dxa"/>
            <w:tcBorders>
              <w:top w:val="single" w:sz="4" w:space="0" w:color="548DD4" w:themeColor="text2" w:themeTint="99"/>
              <w:bottom w:val="single" w:sz="4" w:space="0" w:color="548DD4" w:themeColor="text2" w:themeTint="99"/>
            </w:tcBorders>
            <w:vAlign w:val="center"/>
          </w:tcPr>
          <w:p w14:paraId="74B6EBEC" w14:textId="6EC28076" w:rsidR="000419B1" w:rsidRPr="003A4D73" w:rsidRDefault="00FC43E3" w:rsidP="000419B1">
            <w:pPr>
              <w:jc w:val="center"/>
              <w:rPr>
                <w:rFonts w:ascii="Calibri" w:hAnsi="Calibri" w:cs="Calibri"/>
                <w:b/>
                <w:color w:val="FF0000"/>
              </w:rPr>
            </w:pPr>
            <w:r>
              <w:rPr>
                <w:rFonts w:ascii="Calibri" w:hAnsi="Calibri" w:cs="Calibri"/>
                <w:b/>
                <w:color w:val="FF0000"/>
              </w:rPr>
              <w:t>RED</w:t>
            </w:r>
          </w:p>
        </w:tc>
        <w:tc>
          <w:tcPr>
            <w:tcW w:w="2297" w:type="dxa"/>
            <w:tcBorders>
              <w:top w:val="single" w:sz="4" w:space="0" w:color="548DD4" w:themeColor="text2" w:themeTint="99"/>
              <w:bottom w:val="single" w:sz="4" w:space="0" w:color="548DD4" w:themeColor="text2" w:themeTint="99"/>
            </w:tcBorders>
            <w:vAlign w:val="center"/>
          </w:tcPr>
          <w:p w14:paraId="2885C04F" w14:textId="1983D013" w:rsidR="000419B1" w:rsidRPr="006E0DDA" w:rsidRDefault="000419B1" w:rsidP="000419B1">
            <w:pPr>
              <w:rPr>
                <w:rFonts w:ascii="Calibri" w:hAnsi="Calibri" w:cs="Calibri"/>
                <w:b/>
                <w:iCs/>
                <w:color w:val="808080" w:themeColor="background1" w:themeShade="80"/>
                <w:sz w:val="21"/>
                <w:szCs w:val="21"/>
              </w:rPr>
            </w:pPr>
            <w:r w:rsidRPr="006E0DDA">
              <w:rPr>
                <w:rFonts w:ascii="Calibri" w:hAnsi="Calibri" w:cs="Calibri"/>
                <w:b/>
                <w:iCs/>
                <w:color w:val="808080" w:themeColor="background1" w:themeShade="80"/>
                <w:sz w:val="21"/>
                <w:szCs w:val="21"/>
              </w:rPr>
              <w:t>Area (ha) of woodlands restored</w:t>
            </w:r>
            <w:r w:rsidR="00BA6797">
              <w:rPr>
                <w:rFonts w:ascii="Calibri" w:hAnsi="Calibri" w:cs="Calibri"/>
                <w:b/>
                <w:iCs/>
                <w:color w:val="808080" w:themeColor="background1" w:themeShade="80"/>
                <w:sz w:val="21"/>
                <w:szCs w:val="21"/>
              </w:rPr>
              <w:t xml:space="preserve"> (% of woodlands in favourable condition)</w:t>
            </w:r>
          </w:p>
        </w:tc>
        <w:tc>
          <w:tcPr>
            <w:tcW w:w="3117" w:type="dxa"/>
            <w:tcBorders>
              <w:top w:val="single" w:sz="4" w:space="0" w:color="548DD4" w:themeColor="text2" w:themeTint="99"/>
              <w:bottom w:val="single" w:sz="4" w:space="0" w:color="548DD4" w:themeColor="text2" w:themeTint="99"/>
            </w:tcBorders>
            <w:vAlign w:val="center"/>
          </w:tcPr>
          <w:p w14:paraId="2E2F6F0B" w14:textId="43257BA9" w:rsidR="000419B1" w:rsidRPr="00076CA4" w:rsidRDefault="00BA6797" w:rsidP="000419B1">
            <w:pPr>
              <w:jc w:val="center"/>
              <w:rPr>
                <w:rFonts w:ascii="Calibri" w:hAnsi="Calibri" w:cs="Calibri"/>
                <w:color w:val="808080" w:themeColor="background1" w:themeShade="80"/>
              </w:rPr>
            </w:pPr>
            <w:r>
              <w:rPr>
                <w:rFonts w:ascii="Calibri" w:hAnsi="Calibri" w:cs="Calibri"/>
                <w:noProof/>
                <w:color w:val="808080" w:themeColor="background1" w:themeShade="80"/>
                <w:lang w:eastAsia="en-GB"/>
              </w:rPr>
              <w:drawing>
                <wp:inline distT="0" distB="0" distL="0" distR="0" wp14:anchorId="43CA5D1E" wp14:editId="021FF9F3">
                  <wp:extent cx="2029358" cy="1549400"/>
                  <wp:effectExtent l="0" t="0" r="9525" b="0"/>
                  <wp:docPr id="5" name="Picture 5" descr="graph" title="gra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302656" cy="1758061"/>
                          </a:xfrm>
                          <a:prstGeom prst="rect">
                            <a:avLst/>
                          </a:prstGeom>
                          <a:noFill/>
                        </pic:spPr>
                      </pic:pic>
                    </a:graphicData>
                  </a:graphic>
                </wp:inline>
              </w:drawing>
            </w:r>
          </w:p>
        </w:tc>
        <w:tc>
          <w:tcPr>
            <w:tcW w:w="999" w:type="dxa"/>
            <w:tcBorders>
              <w:top w:val="single" w:sz="4" w:space="0" w:color="548DD4" w:themeColor="text2" w:themeTint="99"/>
              <w:bottom w:val="single" w:sz="4" w:space="0" w:color="548DD4" w:themeColor="text2" w:themeTint="99"/>
            </w:tcBorders>
            <w:vAlign w:val="center"/>
          </w:tcPr>
          <w:p w14:paraId="6CC3B264" w14:textId="6FA04D95" w:rsidR="000419B1" w:rsidRPr="00076CA4" w:rsidRDefault="00BA6797" w:rsidP="000419B1">
            <w:pPr>
              <w:jc w:val="center"/>
              <w:rPr>
                <w:rFonts w:ascii="Calibri" w:hAnsi="Calibri" w:cs="Calibri"/>
                <w:color w:val="808080" w:themeColor="background1" w:themeShade="80"/>
              </w:rPr>
            </w:pPr>
            <w:r>
              <w:rPr>
                <w:rFonts w:ascii="Calibri" w:hAnsi="Calibri" w:cs="Calibri"/>
                <w:color w:val="808080" w:themeColor="background1" w:themeShade="80"/>
              </w:rPr>
              <w:t>33.7%</w:t>
            </w:r>
          </w:p>
        </w:tc>
        <w:tc>
          <w:tcPr>
            <w:tcW w:w="3539" w:type="dxa"/>
            <w:tcBorders>
              <w:top w:val="single" w:sz="4" w:space="0" w:color="548DD4" w:themeColor="text2" w:themeTint="99"/>
              <w:bottom w:val="single" w:sz="4" w:space="0" w:color="548DD4" w:themeColor="text2" w:themeTint="99"/>
            </w:tcBorders>
            <w:vAlign w:val="center"/>
          </w:tcPr>
          <w:p w14:paraId="2A9F856A" w14:textId="1D15C44A" w:rsidR="000419B1" w:rsidRPr="00FA55E8" w:rsidRDefault="00B012EA" w:rsidP="000419B1">
            <w:pPr>
              <w:jc w:val="both"/>
              <w:rPr>
                <w:rFonts w:ascii="Calibri" w:hAnsi="Calibri" w:cs="Calibri"/>
                <w:color w:val="808080" w:themeColor="background1" w:themeShade="80"/>
                <w:sz w:val="20"/>
                <w:szCs w:val="20"/>
              </w:rPr>
            </w:pPr>
            <w:r w:rsidRPr="00B012EA">
              <w:rPr>
                <w:rFonts w:ascii="Calibri" w:hAnsi="Calibri" w:cs="Calibri"/>
                <w:color w:val="808080" w:themeColor="background1" w:themeShade="80"/>
                <w:sz w:val="20"/>
                <w:szCs w:val="20"/>
              </w:rPr>
              <w:t xml:space="preserve">The poor/declining condition of woodland sites is overwhelmingly driven by chronic overgrazing – to be specific, high herbivore impact especially by </w:t>
            </w:r>
            <w:r w:rsidR="00C013F1">
              <w:rPr>
                <w:rFonts w:ascii="Calibri" w:hAnsi="Calibri" w:cs="Calibri"/>
                <w:color w:val="808080" w:themeColor="background1" w:themeShade="80"/>
                <w:sz w:val="20"/>
                <w:szCs w:val="20"/>
              </w:rPr>
              <w:t xml:space="preserve">wild </w:t>
            </w:r>
            <w:r w:rsidRPr="00B012EA">
              <w:rPr>
                <w:rFonts w:ascii="Calibri" w:hAnsi="Calibri" w:cs="Calibri"/>
                <w:color w:val="808080" w:themeColor="background1" w:themeShade="80"/>
                <w:sz w:val="20"/>
                <w:szCs w:val="20"/>
              </w:rPr>
              <w:t xml:space="preserve">deer. </w:t>
            </w:r>
            <w:r w:rsidR="002E42FA" w:rsidRPr="00FA55E8">
              <w:rPr>
                <w:rFonts w:ascii="Calibri" w:hAnsi="Calibri" w:cs="Calibri"/>
                <w:color w:val="808080" w:themeColor="background1" w:themeShade="80"/>
                <w:sz w:val="20"/>
                <w:szCs w:val="20"/>
              </w:rPr>
              <w:t>Annual figure, next available Q1 2023/24.</w:t>
            </w:r>
          </w:p>
        </w:tc>
        <w:tc>
          <w:tcPr>
            <w:tcW w:w="3691" w:type="dxa"/>
            <w:tcBorders>
              <w:top w:val="single" w:sz="4" w:space="0" w:color="548DD4" w:themeColor="text2" w:themeTint="99"/>
              <w:bottom w:val="single" w:sz="4" w:space="0" w:color="548DD4" w:themeColor="text2" w:themeTint="99"/>
            </w:tcBorders>
            <w:vAlign w:val="center"/>
          </w:tcPr>
          <w:p w14:paraId="44CDFA51" w14:textId="05ADCD55" w:rsidR="000419B1" w:rsidRPr="00864E08" w:rsidRDefault="00B012EA" w:rsidP="000419B1">
            <w:pPr>
              <w:rPr>
                <w:sz w:val="20"/>
                <w:szCs w:val="20"/>
              </w:rPr>
            </w:pPr>
            <w:r w:rsidRPr="00B012EA">
              <w:rPr>
                <w:rFonts w:ascii="Calibri" w:hAnsi="Calibri" w:cs="Calibri"/>
                <w:color w:val="808080" w:themeColor="background1" w:themeShade="80"/>
                <w:sz w:val="20"/>
                <w:szCs w:val="20"/>
              </w:rPr>
              <w:t>NatureScot is addressing these issues through the SBS Delivery plans, through deer management planning and in collaboration with Scottish Forestry.</w:t>
            </w:r>
          </w:p>
        </w:tc>
      </w:tr>
    </w:tbl>
    <w:p w14:paraId="3C541460" w14:textId="77777777" w:rsidR="000419B1" w:rsidRPr="00FB3B80" w:rsidRDefault="000419B1" w:rsidP="000419B1">
      <w:pPr>
        <w:pStyle w:val="Heading2"/>
        <w:shd w:val="clear" w:color="auto" w:fill="007DC3"/>
        <w:jc w:val="center"/>
        <w:rPr>
          <w:rFonts w:ascii="Calibri" w:hAnsi="Calibri" w:cs="Calibri"/>
        </w:rPr>
      </w:pPr>
      <w:r w:rsidRPr="00FB3B80">
        <w:rPr>
          <w:rFonts w:ascii="Calibri" w:hAnsi="Calibri" w:cs="Calibri"/>
        </w:rPr>
        <w:lastRenderedPageBreak/>
        <w:t>WE HAVE RESTORED NATURE</w:t>
      </w:r>
    </w:p>
    <w:tbl>
      <w:tblPr>
        <w:tblStyle w:val="TableGrid"/>
        <w:tblW w:w="146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We have transformed how we work measures"/>
        <w:tblDescription w:val="An update at the end of this quarter for all of the measures that sit under 'we have transformed how we work'"/>
      </w:tblPr>
      <w:tblGrid>
        <w:gridCol w:w="959"/>
        <w:gridCol w:w="2298"/>
        <w:gridCol w:w="3118"/>
        <w:gridCol w:w="1138"/>
        <w:gridCol w:w="3402"/>
        <w:gridCol w:w="3691"/>
      </w:tblGrid>
      <w:tr w:rsidR="000419B1" w:rsidRPr="00F56679" w14:paraId="74F84B0E" w14:textId="77777777" w:rsidTr="00395590">
        <w:trPr>
          <w:tblHeader/>
          <w:jc w:val="center"/>
        </w:trPr>
        <w:tc>
          <w:tcPr>
            <w:tcW w:w="959" w:type="dxa"/>
            <w:tcBorders>
              <w:bottom w:val="single" w:sz="4" w:space="0" w:color="548DD4" w:themeColor="text2" w:themeTint="99"/>
            </w:tcBorders>
          </w:tcPr>
          <w:p w14:paraId="009E8969" w14:textId="77777777" w:rsidR="000419B1" w:rsidRPr="00F56679" w:rsidRDefault="000419B1" w:rsidP="000419B1">
            <w:pPr>
              <w:jc w:val="center"/>
              <w:rPr>
                <w:rFonts w:ascii="Calibri" w:hAnsi="Calibri" w:cs="Calibri"/>
                <w:b/>
              </w:rPr>
            </w:pPr>
            <w:r>
              <w:rPr>
                <w:rFonts w:ascii="Calibri" w:hAnsi="Calibri" w:cs="Calibri"/>
                <w:b/>
              </w:rPr>
              <w:t>Score</w:t>
            </w:r>
          </w:p>
        </w:tc>
        <w:tc>
          <w:tcPr>
            <w:tcW w:w="2298" w:type="dxa"/>
            <w:tcBorders>
              <w:bottom w:val="single" w:sz="4" w:space="0" w:color="548DD4" w:themeColor="text2" w:themeTint="99"/>
            </w:tcBorders>
          </w:tcPr>
          <w:p w14:paraId="5D0A2F26" w14:textId="77777777" w:rsidR="000419B1" w:rsidRPr="00F56679" w:rsidRDefault="000419B1" w:rsidP="000419B1">
            <w:pPr>
              <w:jc w:val="center"/>
              <w:rPr>
                <w:rFonts w:ascii="Calibri" w:hAnsi="Calibri" w:cs="Calibri"/>
                <w:b/>
              </w:rPr>
            </w:pPr>
            <w:r w:rsidRPr="00F56679">
              <w:rPr>
                <w:rFonts w:ascii="Calibri" w:hAnsi="Calibri" w:cs="Calibri"/>
                <w:b/>
              </w:rPr>
              <w:t>Measure</w:t>
            </w:r>
          </w:p>
        </w:tc>
        <w:tc>
          <w:tcPr>
            <w:tcW w:w="3118" w:type="dxa"/>
            <w:tcBorders>
              <w:bottom w:val="single" w:sz="4" w:space="0" w:color="548DD4" w:themeColor="text2" w:themeTint="99"/>
            </w:tcBorders>
          </w:tcPr>
          <w:p w14:paraId="6ABFB2E0" w14:textId="77777777" w:rsidR="000419B1" w:rsidRPr="00F56679" w:rsidRDefault="000419B1" w:rsidP="000419B1">
            <w:pPr>
              <w:jc w:val="center"/>
              <w:rPr>
                <w:rFonts w:ascii="Calibri" w:hAnsi="Calibri" w:cs="Calibri"/>
                <w:b/>
              </w:rPr>
            </w:pPr>
            <w:r>
              <w:rPr>
                <w:rFonts w:ascii="Calibri" w:hAnsi="Calibri" w:cs="Calibri"/>
                <w:b/>
              </w:rPr>
              <w:t>Performance Overview</w:t>
            </w:r>
          </w:p>
        </w:tc>
        <w:tc>
          <w:tcPr>
            <w:tcW w:w="1138" w:type="dxa"/>
            <w:tcBorders>
              <w:bottom w:val="single" w:sz="4" w:space="0" w:color="548DD4" w:themeColor="text2" w:themeTint="99"/>
            </w:tcBorders>
          </w:tcPr>
          <w:p w14:paraId="573E1A28" w14:textId="77777777" w:rsidR="000419B1" w:rsidRPr="00F56679" w:rsidRDefault="000419B1" w:rsidP="000419B1">
            <w:pPr>
              <w:jc w:val="center"/>
              <w:rPr>
                <w:rFonts w:ascii="Calibri" w:hAnsi="Calibri" w:cs="Calibri"/>
                <w:b/>
              </w:rPr>
            </w:pPr>
            <w:r w:rsidRPr="00F56679">
              <w:rPr>
                <w:rFonts w:ascii="Calibri" w:hAnsi="Calibri" w:cs="Calibri"/>
                <w:b/>
              </w:rPr>
              <w:t>Actual</w:t>
            </w:r>
          </w:p>
        </w:tc>
        <w:tc>
          <w:tcPr>
            <w:tcW w:w="3402" w:type="dxa"/>
            <w:tcBorders>
              <w:bottom w:val="single" w:sz="4" w:space="0" w:color="548DD4" w:themeColor="text2" w:themeTint="99"/>
            </w:tcBorders>
          </w:tcPr>
          <w:p w14:paraId="047E681F" w14:textId="77777777" w:rsidR="000419B1" w:rsidRPr="00F56679" w:rsidRDefault="000419B1" w:rsidP="000419B1">
            <w:pPr>
              <w:jc w:val="center"/>
              <w:rPr>
                <w:rFonts w:ascii="Calibri" w:hAnsi="Calibri" w:cs="Calibri"/>
                <w:b/>
              </w:rPr>
            </w:pPr>
            <w:r w:rsidRPr="00F56679">
              <w:rPr>
                <w:rFonts w:ascii="Calibri" w:hAnsi="Calibri" w:cs="Calibri"/>
                <w:b/>
              </w:rPr>
              <w:t>Cause</w:t>
            </w:r>
          </w:p>
        </w:tc>
        <w:tc>
          <w:tcPr>
            <w:tcW w:w="3691" w:type="dxa"/>
            <w:tcBorders>
              <w:bottom w:val="single" w:sz="4" w:space="0" w:color="548DD4" w:themeColor="text2" w:themeTint="99"/>
            </w:tcBorders>
          </w:tcPr>
          <w:p w14:paraId="006D1CD8" w14:textId="77777777" w:rsidR="000419B1" w:rsidRPr="00F56679" w:rsidRDefault="000419B1" w:rsidP="000419B1">
            <w:pPr>
              <w:jc w:val="center"/>
              <w:rPr>
                <w:rFonts w:ascii="Calibri" w:hAnsi="Calibri" w:cs="Calibri"/>
                <w:b/>
              </w:rPr>
            </w:pPr>
            <w:r w:rsidRPr="00F56679">
              <w:rPr>
                <w:rFonts w:ascii="Calibri" w:hAnsi="Calibri" w:cs="Calibri"/>
                <w:b/>
              </w:rPr>
              <w:t>Response</w:t>
            </w:r>
          </w:p>
        </w:tc>
      </w:tr>
      <w:tr w:rsidR="000C41B4" w:rsidRPr="000C41B4" w14:paraId="74AD7FAA" w14:textId="77777777" w:rsidTr="00395590">
        <w:trPr>
          <w:trHeight w:hRule="exact" w:val="1908"/>
          <w:jc w:val="center"/>
        </w:trPr>
        <w:tc>
          <w:tcPr>
            <w:tcW w:w="959" w:type="dxa"/>
            <w:tcBorders>
              <w:top w:val="single" w:sz="4" w:space="0" w:color="548DD4" w:themeColor="text2" w:themeTint="99"/>
              <w:bottom w:val="single" w:sz="4" w:space="0" w:color="548DD4" w:themeColor="text2" w:themeTint="99"/>
            </w:tcBorders>
            <w:vAlign w:val="center"/>
          </w:tcPr>
          <w:p w14:paraId="746447F4" w14:textId="77777777" w:rsidR="000C41B4" w:rsidRPr="003A4D73" w:rsidRDefault="000C41B4" w:rsidP="000C41B4">
            <w:pPr>
              <w:jc w:val="center"/>
              <w:rPr>
                <w:rFonts w:ascii="Calibri" w:hAnsi="Calibri" w:cs="Calibri"/>
                <w:b/>
              </w:rPr>
            </w:pPr>
          </w:p>
        </w:tc>
        <w:tc>
          <w:tcPr>
            <w:tcW w:w="2298" w:type="dxa"/>
            <w:tcBorders>
              <w:top w:val="single" w:sz="4" w:space="0" w:color="548DD4" w:themeColor="text2" w:themeTint="99"/>
              <w:bottom w:val="single" w:sz="4" w:space="0" w:color="548DD4" w:themeColor="text2" w:themeTint="99"/>
            </w:tcBorders>
            <w:vAlign w:val="center"/>
          </w:tcPr>
          <w:p w14:paraId="4629485D" w14:textId="551D0E44" w:rsidR="000C41B4" w:rsidRPr="006E0DDA" w:rsidRDefault="00D753F5" w:rsidP="000C41B4">
            <w:pPr>
              <w:rPr>
                <w:rFonts w:ascii="Calibri" w:hAnsi="Calibri" w:cs="Calibri"/>
                <w:b/>
                <w:iCs/>
                <w:color w:val="808080" w:themeColor="background1" w:themeShade="80"/>
                <w:sz w:val="21"/>
                <w:szCs w:val="21"/>
              </w:rPr>
            </w:pPr>
            <w:hyperlink r:id="rId14" w:history="1">
              <w:r w:rsidR="00DB0914" w:rsidRPr="00584BB7">
                <w:rPr>
                  <w:rStyle w:val="Hyperlink"/>
                  <w:rFonts w:ascii="Calibri" w:hAnsi="Calibri" w:cs="Calibri"/>
                  <w:b/>
                  <w:iCs/>
                  <w:color w:val="808080" w:themeColor="background1" w:themeShade="80"/>
                  <w:sz w:val="20"/>
                  <w:szCs w:val="20"/>
                </w:rPr>
                <w:t>Funds raised and Allocated by</w:t>
              </w:r>
              <w:r w:rsidR="000C41B4" w:rsidRPr="00584BB7">
                <w:rPr>
                  <w:rStyle w:val="Hyperlink"/>
                  <w:rFonts w:ascii="Calibri" w:hAnsi="Calibri" w:cs="Calibri"/>
                  <w:b/>
                  <w:iCs/>
                  <w:color w:val="808080" w:themeColor="background1" w:themeShade="80"/>
                  <w:sz w:val="20"/>
                  <w:szCs w:val="20"/>
                </w:rPr>
                <w:t xml:space="preserve"> SMEEF</w:t>
              </w:r>
            </w:hyperlink>
          </w:p>
        </w:tc>
        <w:tc>
          <w:tcPr>
            <w:tcW w:w="3118" w:type="dxa"/>
            <w:tcBorders>
              <w:top w:val="single" w:sz="4" w:space="0" w:color="548DD4" w:themeColor="text2" w:themeTint="99"/>
              <w:bottom w:val="single" w:sz="4" w:space="0" w:color="548DD4" w:themeColor="text2" w:themeTint="99"/>
            </w:tcBorders>
            <w:vAlign w:val="center"/>
          </w:tcPr>
          <w:p w14:paraId="38C9E0D7" w14:textId="20E4761C" w:rsidR="000C41B4" w:rsidRPr="003A4D73" w:rsidRDefault="000C41B4" w:rsidP="000C41B4">
            <w:pPr>
              <w:jc w:val="center"/>
              <w:rPr>
                <w:rFonts w:ascii="Calibri" w:hAnsi="Calibri" w:cs="Calibri"/>
              </w:rPr>
            </w:pPr>
            <w:r>
              <w:rPr>
                <w:rFonts w:ascii="Calibri" w:hAnsi="Calibri" w:cs="Calibri"/>
                <w:noProof/>
                <w:sz w:val="20"/>
                <w:szCs w:val="20"/>
                <w:lang w:eastAsia="en-GB"/>
              </w:rPr>
              <w:drawing>
                <wp:inline distT="0" distB="0" distL="0" distR="0" wp14:anchorId="7793D1A8" wp14:editId="44C9733C">
                  <wp:extent cx="1897811" cy="982745"/>
                  <wp:effectExtent l="0" t="0" r="7620" b="8255"/>
                  <wp:docPr id="9" name="Picture 9" descr="graph" title="gra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901358" cy="984582"/>
                          </a:xfrm>
                          <a:prstGeom prst="rect">
                            <a:avLst/>
                          </a:prstGeom>
                          <a:noFill/>
                        </pic:spPr>
                      </pic:pic>
                    </a:graphicData>
                  </a:graphic>
                </wp:inline>
              </w:drawing>
            </w:r>
          </w:p>
        </w:tc>
        <w:tc>
          <w:tcPr>
            <w:tcW w:w="1138" w:type="dxa"/>
            <w:tcBorders>
              <w:top w:val="single" w:sz="4" w:space="0" w:color="548DD4" w:themeColor="text2" w:themeTint="99"/>
              <w:bottom w:val="single" w:sz="4" w:space="0" w:color="548DD4" w:themeColor="text2" w:themeTint="99"/>
            </w:tcBorders>
            <w:vAlign w:val="center"/>
          </w:tcPr>
          <w:p w14:paraId="33C375C4" w14:textId="149411D7" w:rsidR="000C41B4" w:rsidRPr="003D306D" w:rsidRDefault="000C41B4" w:rsidP="000C41B4">
            <w:pPr>
              <w:jc w:val="center"/>
              <w:rPr>
                <w:rFonts w:ascii="Calibri" w:hAnsi="Calibri" w:cs="Calibri"/>
                <w:color w:val="808080" w:themeColor="background1" w:themeShade="80"/>
                <w:sz w:val="19"/>
                <w:szCs w:val="19"/>
              </w:rPr>
            </w:pPr>
            <w:r>
              <w:rPr>
                <w:rFonts w:ascii="Calibri" w:hAnsi="Calibri" w:cs="Calibri"/>
                <w:color w:val="808080" w:themeColor="background1" w:themeShade="80"/>
                <w:sz w:val="20"/>
                <w:szCs w:val="20"/>
              </w:rPr>
              <w:t>823,038</w:t>
            </w:r>
          </w:p>
        </w:tc>
        <w:tc>
          <w:tcPr>
            <w:tcW w:w="3402" w:type="dxa"/>
            <w:tcBorders>
              <w:top w:val="single" w:sz="4" w:space="0" w:color="548DD4" w:themeColor="text2" w:themeTint="99"/>
              <w:bottom w:val="single" w:sz="4" w:space="0" w:color="548DD4" w:themeColor="text2" w:themeTint="99"/>
            </w:tcBorders>
            <w:vAlign w:val="center"/>
          </w:tcPr>
          <w:p w14:paraId="6C89BBFD" w14:textId="1198308D" w:rsidR="000C41B4" w:rsidRPr="00FA55E8" w:rsidRDefault="00395590" w:rsidP="00584BB7">
            <w:pPr>
              <w:jc w:val="both"/>
              <w:rPr>
                <w:rFonts w:ascii="Calibri" w:hAnsi="Calibri" w:cs="Calibri"/>
                <w:color w:val="808080" w:themeColor="background1" w:themeShade="80"/>
                <w:sz w:val="20"/>
                <w:szCs w:val="20"/>
              </w:rPr>
            </w:pPr>
            <w:r w:rsidRPr="00FA55E8">
              <w:rPr>
                <w:rFonts w:ascii="Calibri" w:hAnsi="Calibri" w:cs="Calibri"/>
                <w:color w:val="808080" w:themeColor="background1" w:themeShade="80"/>
                <w:sz w:val="20"/>
                <w:szCs w:val="20"/>
              </w:rPr>
              <w:t xml:space="preserve">NRF money only </w:t>
            </w:r>
            <w:r>
              <w:rPr>
                <w:rFonts w:ascii="Calibri" w:hAnsi="Calibri" w:cs="Calibri"/>
                <w:color w:val="808080" w:themeColor="background1" w:themeShade="80"/>
                <w:sz w:val="20"/>
                <w:szCs w:val="20"/>
              </w:rPr>
              <w:t xml:space="preserve">and reflective of the </w:t>
            </w:r>
            <w:r w:rsidRPr="00FA55E8">
              <w:rPr>
                <w:rFonts w:ascii="Calibri" w:hAnsi="Calibri" w:cs="Calibri"/>
                <w:color w:val="808080" w:themeColor="background1" w:themeShade="80"/>
                <w:sz w:val="20"/>
                <w:szCs w:val="20"/>
              </w:rPr>
              <w:t>breaks in between funding rounds.</w:t>
            </w:r>
          </w:p>
        </w:tc>
        <w:tc>
          <w:tcPr>
            <w:tcW w:w="3691" w:type="dxa"/>
            <w:tcBorders>
              <w:top w:val="single" w:sz="4" w:space="0" w:color="548DD4" w:themeColor="text2" w:themeTint="99"/>
              <w:bottom w:val="single" w:sz="4" w:space="0" w:color="548DD4" w:themeColor="text2" w:themeTint="99"/>
            </w:tcBorders>
            <w:vAlign w:val="center"/>
          </w:tcPr>
          <w:p w14:paraId="7AFDC64D" w14:textId="6471E865" w:rsidR="000C41B4" w:rsidRPr="00FA55E8" w:rsidRDefault="000C41B4" w:rsidP="00584BB7">
            <w:pPr>
              <w:jc w:val="both"/>
              <w:rPr>
                <w:sz w:val="20"/>
                <w:szCs w:val="20"/>
              </w:rPr>
            </w:pPr>
            <w:r w:rsidRPr="00FA55E8">
              <w:rPr>
                <w:rFonts w:ascii="Calibri" w:hAnsi="Calibri" w:cs="Calibri"/>
                <w:color w:val="808080" w:themeColor="background1" w:themeShade="80"/>
                <w:sz w:val="20"/>
                <w:szCs w:val="20"/>
              </w:rPr>
              <w:t xml:space="preserve">NRF money only </w:t>
            </w:r>
            <w:r w:rsidR="00BE28BC">
              <w:rPr>
                <w:rFonts w:ascii="Calibri" w:hAnsi="Calibri" w:cs="Calibri"/>
                <w:color w:val="808080" w:themeColor="background1" w:themeShade="80"/>
                <w:sz w:val="20"/>
                <w:szCs w:val="20"/>
              </w:rPr>
              <w:t xml:space="preserve">and reflective of the </w:t>
            </w:r>
            <w:r w:rsidRPr="00FA55E8">
              <w:rPr>
                <w:rFonts w:ascii="Calibri" w:hAnsi="Calibri" w:cs="Calibri"/>
                <w:color w:val="808080" w:themeColor="background1" w:themeShade="80"/>
                <w:sz w:val="20"/>
                <w:szCs w:val="20"/>
              </w:rPr>
              <w:t xml:space="preserve">breaks in between funding rounds. </w:t>
            </w:r>
            <w:r w:rsidR="00DB0914">
              <w:rPr>
                <w:rFonts w:ascii="Calibri" w:hAnsi="Calibri" w:cs="Calibri"/>
                <w:color w:val="808080" w:themeColor="background1" w:themeShade="80"/>
                <w:sz w:val="20"/>
                <w:szCs w:val="20"/>
              </w:rPr>
              <w:t>The fund is not at the point to record private investment.  This measure will come into place in 2023/24.</w:t>
            </w:r>
          </w:p>
        </w:tc>
      </w:tr>
      <w:tr w:rsidR="000419B1" w:rsidRPr="003A4D73" w14:paraId="555B7B78" w14:textId="77777777" w:rsidTr="00395590">
        <w:trPr>
          <w:trHeight w:hRule="exact" w:val="2694"/>
          <w:jc w:val="center"/>
        </w:trPr>
        <w:tc>
          <w:tcPr>
            <w:tcW w:w="959" w:type="dxa"/>
            <w:tcBorders>
              <w:top w:val="single" w:sz="4" w:space="0" w:color="548DD4" w:themeColor="text2" w:themeTint="99"/>
              <w:bottom w:val="single" w:sz="4" w:space="0" w:color="548DD4" w:themeColor="text2" w:themeTint="99"/>
            </w:tcBorders>
            <w:vAlign w:val="center"/>
          </w:tcPr>
          <w:p w14:paraId="3F079B2A" w14:textId="77777777" w:rsidR="000419B1" w:rsidRPr="003A4D73" w:rsidRDefault="000419B1" w:rsidP="000419B1">
            <w:pPr>
              <w:jc w:val="center"/>
              <w:rPr>
                <w:rFonts w:ascii="Calibri" w:hAnsi="Calibri" w:cs="Calibri"/>
                <w:b/>
              </w:rPr>
            </w:pPr>
          </w:p>
        </w:tc>
        <w:tc>
          <w:tcPr>
            <w:tcW w:w="2298" w:type="dxa"/>
            <w:tcBorders>
              <w:top w:val="single" w:sz="4" w:space="0" w:color="548DD4" w:themeColor="text2" w:themeTint="99"/>
              <w:bottom w:val="single" w:sz="4" w:space="0" w:color="548DD4" w:themeColor="text2" w:themeTint="99"/>
            </w:tcBorders>
            <w:vAlign w:val="center"/>
          </w:tcPr>
          <w:p w14:paraId="21D85E38" w14:textId="77777777" w:rsidR="000419B1" w:rsidRPr="006E0DDA" w:rsidRDefault="00D753F5" w:rsidP="000419B1">
            <w:pPr>
              <w:rPr>
                <w:rFonts w:ascii="Calibri" w:hAnsi="Calibri" w:cs="Calibri"/>
                <w:b/>
                <w:iCs/>
                <w:color w:val="808080" w:themeColor="background1" w:themeShade="80"/>
                <w:sz w:val="21"/>
                <w:szCs w:val="21"/>
              </w:rPr>
            </w:pPr>
            <w:hyperlink r:id="rId16" w:history="1">
              <w:r w:rsidR="000419B1" w:rsidRPr="00A0017B">
                <w:rPr>
                  <w:rStyle w:val="Hyperlink"/>
                  <w:rFonts w:ascii="Calibri" w:hAnsi="Calibri" w:cs="Calibri"/>
                  <w:b/>
                  <w:iCs/>
                  <w:color w:val="808080" w:themeColor="background1" w:themeShade="80"/>
                  <w:sz w:val="21"/>
                  <w:szCs w:val="21"/>
                </w:rPr>
                <w:t>Ha of land managed under plans supported through agricultural support schemes</w:t>
              </w:r>
            </w:hyperlink>
          </w:p>
        </w:tc>
        <w:tc>
          <w:tcPr>
            <w:tcW w:w="3118" w:type="dxa"/>
            <w:tcBorders>
              <w:top w:val="single" w:sz="4" w:space="0" w:color="548DD4" w:themeColor="text2" w:themeTint="99"/>
              <w:bottom w:val="single" w:sz="4" w:space="0" w:color="548DD4" w:themeColor="text2" w:themeTint="99"/>
            </w:tcBorders>
            <w:vAlign w:val="center"/>
          </w:tcPr>
          <w:p w14:paraId="04A35A85" w14:textId="1413C850" w:rsidR="000419B1" w:rsidRPr="00FB3B80" w:rsidRDefault="000C41B4" w:rsidP="000419B1">
            <w:pPr>
              <w:jc w:val="center"/>
              <w:rPr>
                <w:rFonts w:ascii="Calibri" w:hAnsi="Calibri" w:cs="Calibri"/>
                <w:color w:val="808080" w:themeColor="background1" w:themeShade="80"/>
              </w:rPr>
            </w:pPr>
            <w:r>
              <w:rPr>
                <w:rFonts w:ascii="Calibri" w:hAnsi="Calibri" w:cs="Calibri"/>
                <w:noProof/>
                <w:color w:val="808080" w:themeColor="background1" w:themeShade="80"/>
                <w:sz w:val="20"/>
                <w:szCs w:val="20"/>
                <w:lang w:eastAsia="en-GB"/>
              </w:rPr>
              <w:drawing>
                <wp:inline distT="0" distB="0" distL="0" distR="0" wp14:anchorId="55F870BD" wp14:editId="1DAFA6A6">
                  <wp:extent cx="1646746" cy="981075"/>
                  <wp:effectExtent l="0" t="0" r="0" b="0"/>
                  <wp:docPr id="12" name="Picture 12" descr="graph" title="gra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690213" cy="1006971"/>
                          </a:xfrm>
                          <a:prstGeom prst="rect">
                            <a:avLst/>
                          </a:prstGeom>
                          <a:noFill/>
                        </pic:spPr>
                      </pic:pic>
                    </a:graphicData>
                  </a:graphic>
                </wp:inline>
              </w:drawing>
            </w:r>
          </w:p>
        </w:tc>
        <w:tc>
          <w:tcPr>
            <w:tcW w:w="1138" w:type="dxa"/>
            <w:tcBorders>
              <w:top w:val="single" w:sz="4" w:space="0" w:color="548DD4" w:themeColor="text2" w:themeTint="99"/>
              <w:bottom w:val="single" w:sz="4" w:space="0" w:color="548DD4" w:themeColor="text2" w:themeTint="99"/>
            </w:tcBorders>
            <w:vAlign w:val="center"/>
          </w:tcPr>
          <w:p w14:paraId="09D4616F" w14:textId="650E20A4" w:rsidR="000419B1" w:rsidRPr="000C41B4" w:rsidRDefault="000C41B4" w:rsidP="000419B1">
            <w:pPr>
              <w:jc w:val="center"/>
              <w:rPr>
                <w:rFonts w:ascii="Calibri" w:hAnsi="Calibri" w:cs="Calibri"/>
                <w:color w:val="808080" w:themeColor="background1" w:themeShade="80"/>
                <w:sz w:val="20"/>
                <w:szCs w:val="20"/>
              </w:rPr>
            </w:pPr>
            <w:r w:rsidRPr="000C41B4">
              <w:rPr>
                <w:rFonts w:ascii="Calibri" w:hAnsi="Calibri" w:cs="Calibri"/>
                <w:color w:val="808080" w:themeColor="background1" w:themeShade="80"/>
                <w:sz w:val="20"/>
                <w:szCs w:val="20"/>
              </w:rPr>
              <w:t>1</w:t>
            </w:r>
            <w:r w:rsidR="00395590">
              <w:rPr>
                <w:rFonts w:ascii="Calibri" w:hAnsi="Calibri" w:cs="Calibri"/>
                <w:color w:val="808080" w:themeColor="background1" w:themeShade="80"/>
                <w:sz w:val="20"/>
                <w:szCs w:val="20"/>
              </w:rPr>
              <w:t>,</w:t>
            </w:r>
            <w:r w:rsidRPr="000C41B4">
              <w:rPr>
                <w:rFonts w:ascii="Calibri" w:hAnsi="Calibri" w:cs="Calibri"/>
                <w:color w:val="808080" w:themeColor="background1" w:themeShade="80"/>
                <w:sz w:val="20"/>
                <w:szCs w:val="20"/>
              </w:rPr>
              <w:t>170</w:t>
            </w:r>
            <w:r w:rsidR="00395590">
              <w:rPr>
                <w:rFonts w:ascii="Calibri" w:hAnsi="Calibri" w:cs="Calibri"/>
                <w:color w:val="808080" w:themeColor="background1" w:themeShade="80"/>
                <w:sz w:val="20"/>
                <w:szCs w:val="20"/>
              </w:rPr>
              <w:t>,</w:t>
            </w:r>
            <w:r w:rsidRPr="000C41B4">
              <w:rPr>
                <w:rFonts w:ascii="Calibri" w:hAnsi="Calibri" w:cs="Calibri"/>
                <w:color w:val="808080" w:themeColor="background1" w:themeShade="80"/>
                <w:sz w:val="20"/>
                <w:szCs w:val="20"/>
              </w:rPr>
              <w:t>298</w:t>
            </w:r>
          </w:p>
        </w:tc>
        <w:tc>
          <w:tcPr>
            <w:tcW w:w="3402" w:type="dxa"/>
            <w:tcBorders>
              <w:top w:val="single" w:sz="4" w:space="0" w:color="548DD4" w:themeColor="text2" w:themeTint="99"/>
              <w:bottom w:val="single" w:sz="4" w:space="0" w:color="548DD4" w:themeColor="text2" w:themeTint="99"/>
            </w:tcBorders>
            <w:vAlign w:val="center"/>
          </w:tcPr>
          <w:p w14:paraId="33AA8CE2" w14:textId="0E4B5B5E" w:rsidR="000419B1" w:rsidRPr="00FA55E8" w:rsidRDefault="00A82249" w:rsidP="00A82249">
            <w:pPr>
              <w:rPr>
                <w:rFonts w:ascii="Calibri" w:hAnsi="Calibri" w:cs="Calibri"/>
                <w:color w:val="808080" w:themeColor="background1" w:themeShade="80"/>
                <w:sz w:val="20"/>
                <w:szCs w:val="20"/>
              </w:rPr>
            </w:pPr>
            <w:r w:rsidRPr="00FA55E8">
              <w:rPr>
                <w:rFonts w:ascii="Calibri" w:hAnsi="Calibri" w:cs="Calibri"/>
                <w:color w:val="808080" w:themeColor="background1" w:themeShade="80"/>
                <w:sz w:val="20"/>
                <w:szCs w:val="20"/>
              </w:rPr>
              <w:t xml:space="preserve">In response to the restricted budget there was a restricted ACES </w:t>
            </w:r>
            <w:r w:rsidR="008A515F" w:rsidRPr="00FA55E8">
              <w:rPr>
                <w:rFonts w:ascii="Calibri" w:hAnsi="Calibri" w:cs="Calibri"/>
                <w:color w:val="808080" w:themeColor="background1" w:themeShade="80"/>
                <w:sz w:val="20"/>
                <w:szCs w:val="20"/>
              </w:rPr>
              <w:t>round in 2021</w:t>
            </w:r>
            <w:r w:rsidRPr="00FA55E8">
              <w:rPr>
                <w:rFonts w:ascii="Calibri" w:hAnsi="Calibri" w:cs="Calibri"/>
                <w:color w:val="808080" w:themeColor="background1" w:themeShade="80"/>
                <w:sz w:val="20"/>
                <w:szCs w:val="20"/>
              </w:rPr>
              <w:t>.</w:t>
            </w:r>
            <w:r w:rsidR="008A515F" w:rsidRPr="00FA55E8">
              <w:rPr>
                <w:rFonts w:ascii="Calibri" w:hAnsi="Calibri" w:cs="Calibri"/>
                <w:color w:val="808080" w:themeColor="background1" w:themeShade="80"/>
                <w:sz w:val="20"/>
                <w:szCs w:val="20"/>
              </w:rPr>
              <w:t xml:space="preserve"> </w:t>
            </w:r>
            <w:r w:rsidRPr="00FA55E8">
              <w:rPr>
                <w:rFonts w:ascii="Calibri" w:hAnsi="Calibri" w:cs="Calibri"/>
                <w:color w:val="808080" w:themeColor="background1" w:themeShade="80"/>
                <w:sz w:val="20"/>
                <w:szCs w:val="20"/>
              </w:rPr>
              <w:t xml:space="preserve">This has resulted in the area of land </w:t>
            </w:r>
            <w:r w:rsidR="008A515F" w:rsidRPr="00FA55E8">
              <w:rPr>
                <w:rFonts w:ascii="Calibri" w:hAnsi="Calibri" w:cs="Calibri"/>
                <w:color w:val="808080" w:themeColor="background1" w:themeShade="80"/>
                <w:sz w:val="20"/>
                <w:szCs w:val="20"/>
              </w:rPr>
              <w:t>able to be supported through the ACES scheme has been reduced.</w:t>
            </w:r>
          </w:p>
        </w:tc>
        <w:tc>
          <w:tcPr>
            <w:tcW w:w="3691" w:type="dxa"/>
            <w:tcBorders>
              <w:top w:val="single" w:sz="4" w:space="0" w:color="548DD4" w:themeColor="text2" w:themeTint="99"/>
              <w:bottom w:val="single" w:sz="4" w:space="0" w:color="548DD4" w:themeColor="text2" w:themeTint="99"/>
            </w:tcBorders>
            <w:vAlign w:val="center"/>
          </w:tcPr>
          <w:p w14:paraId="30EB7E5D" w14:textId="1EC470C3" w:rsidR="000419B1" w:rsidRPr="00FA55E8" w:rsidRDefault="00A82249" w:rsidP="00A82249">
            <w:pPr>
              <w:jc w:val="both"/>
              <w:rPr>
                <w:rFonts w:ascii="Calibri" w:hAnsi="Calibri" w:cs="Calibri"/>
                <w:color w:val="808080" w:themeColor="background1" w:themeShade="80"/>
                <w:sz w:val="20"/>
                <w:szCs w:val="20"/>
              </w:rPr>
            </w:pPr>
            <w:r w:rsidRPr="00FA55E8">
              <w:rPr>
                <w:rFonts w:ascii="Calibri" w:hAnsi="Calibri" w:cs="Calibri"/>
                <w:color w:val="808080" w:themeColor="background1" w:themeShade="80"/>
                <w:sz w:val="20"/>
                <w:szCs w:val="20"/>
              </w:rPr>
              <w:t xml:space="preserve">The budget remains under pressure however funding for designated land continues to be prioritised. </w:t>
            </w:r>
          </w:p>
        </w:tc>
      </w:tr>
      <w:tr w:rsidR="000419B1" w:rsidRPr="003A4D73" w14:paraId="08DC54DF" w14:textId="77777777" w:rsidTr="00C013F1">
        <w:trPr>
          <w:trHeight w:hRule="exact" w:val="1928"/>
          <w:jc w:val="center"/>
        </w:trPr>
        <w:tc>
          <w:tcPr>
            <w:tcW w:w="959" w:type="dxa"/>
            <w:tcBorders>
              <w:top w:val="single" w:sz="4" w:space="0" w:color="548DD4" w:themeColor="text2" w:themeTint="99"/>
              <w:bottom w:val="single" w:sz="4" w:space="0" w:color="548DD4" w:themeColor="text2" w:themeTint="99"/>
            </w:tcBorders>
            <w:vAlign w:val="center"/>
          </w:tcPr>
          <w:p w14:paraId="319C8196" w14:textId="77777777" w:rsidR="000419B1" w:rsidRPr="003A4D73" w:rsidRDefault="000419B1" w:rsidP="000419B1">
            <w:pPr>
              <w:jc w:val="center"/>
              <w:rPr>
                <w:rFonts w:ascii="Calibri" w:hAnsi="Calibri" w:cs="Calibri"/>
                <w:b/>
              </w:rPr>
            </w:pPr>
          </w:p>
        </w:tc>
        <w:tc>
          <w:tcPr>
            <w:tcW w:w="2298" w:type="dxa"/>
            <w:tcBorders>
              <w:top w:val="single" w:sz="4" w:space="0" w:color="548DD4" w:themeColor="text2" w:themeTint="99"/>
              <w:bottom w:val="single" w:sz="4" w:space="0" w:color="548DD4" w:themeColor="text2" w:themeTint="99"/>
            </w:tcBorders>
            <w:vAlign w:val="center"/>
          </w:tcPr>
          <w:p w14:paraId="5C242CE9" w14:textId="77777777" w:rsidR="000419B1" w:rsidRPr="006E0DDA" w:rsidRDefault="00D753F5" w:rsidP="000419B1">
            <w:pPr>
              <w:rPr>
                <w:rFonts w:ascii="Calibri" w:hAnsi="Calibri" w:cs="Calibri"/>
                <w:b/>
                <w:iCs/>
                <w:color w:val="808080" w:themeColor="background1" w:themeShade="80"/>
                <w:sz w:val="21"/>
                <w:szCs w:val="21"/>
              </w:rPr>
            </w:pPr>
            <w:hyperlink r:id="rId18" w:history="1">
              <w:r w:rsidR="000419B1" w:rsidRPr="00B87C56">
                <w:rPr>
                  <w:rStyle w:val="Hyperlink"/>
                  <w:rFonts w:ascii="Calibri" w:hAnsi="Calibri" w:cs="Calibri"/>
                  <w:b/>
                  <w:iCs/>
                  <w:color w:val="808080" w:themeColor="background1" w:themeShade="80"/>
                  <w:sz w:val="21"/>
                  <w:szCs w:val="21"/>
                </w:rPr>
                <w:t xml:space="preserve">Area (ha) improved for </w:t>
              </w:r>
              <w:r w:rsidR="000419B1" w:rsidRPr="00123F33">
                <w:rPr>
                  <w:rStyle w:val="Hyperlink"/>
                  <w:rFonts w:ascii="Calibri" w:hAnsi="Calibri" w:cs="Calibri"/>
                  <w:b/>
                  <w:iCs/>
                  <w:color w:val="808080" w:themeColor="background1" w:themeShade="80"/>
                  <w:sz w:val="21"/>
                  <w:szCs w:val="21"/>
                </w:rPr>
                <w:t>habitats</w:t>
              </w:r>
              <w:r w:rsidR="000419B1" w:rsidRPr="00B87C56">
                <w:rPr>
                  <w:rStyle w:val="Hyperlink"/>
                  <w:rFonts w:ascii="Calibri" w:hAnsi="Calibri" w:cs="Calibri"/>
                  <w:b/>
                  <w:iCs/>
                  <w:color w:val="808080" w:themeColor="background1" w:themeShade="80"/>
                  <w:sz w:val="21"/>
                  <w:szCs w:val="21"/>
                </w:rPr>
                <w:t xml:space="preserve"> and species through the nature restoration fund</w:t>
              </w:r>
            </w:hyperlink>
          </w:p>
        </w:tc>
        <w:tc>
          <w:tcPr>
            <w:tcW w:w="3118" w:type="dxa"/>
            <w:tcBorders>
              <w:top w:val="single" w:sz="4" w:space="0" w:color="548DD4" w:themeColor="text2" w:themeTint="99"/>
              <w:bottom w:val="single" w:sz="4" w:space="0" w:color="548DD4" w:themeColor="text2" w:themeTint="99"/>
            </w:tcBorders>
            <w:vAlign w:val="center"/>
          </w:tcPr>
          <w:p w14:paraId="72DBC32E" w14:textId="35DD7829" w:rsidR="000419B1" w:rsidRPr="00076CA4" w:rsidRDefault="00DE243F" w:rsidP="000419B1">
            <w:pPr>
              <w:jc w:val="center"/>
              <w:rPr>
                <w:rFonts w:ascii="Calibri" w:hAnsi="Calibri" w:cs="Calibri"/>
                <w:color w:val="808080" w:themeColor="background1" w:themeShade="80"/>
              </w:rPr>
            </w:pPr>
            <w:r>
              <w:rPr>
                <w:rFonts w:ascii="Calibri" w:hAnsi="Calibri" w:cs="Calibri"/>
                <w:noProof/>
                <w:color w:val="808080" w:themeColor="background1" w:themeShade="80"/>
                <w:lang w:eastAsia="en-GB"/>
              </w:rPr>
              <w:drawing>
                <wp:inline distT="0" distB="0" distL="0" distR="0" wp14:anchorId="54B43538" wp14:editId="66B5124D">
                  <wp:extent cx="1951630" cy="1093909"/>
                  <wp:effectExtent l="0" t="0" r="0" b="0"/>
                  <wp:docPr id="6" name="Picture 6" descr="graph" title="gra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995652" cy="1118584"/>
                          </a:xfrm>
                          <a:prstGeom prst="rect">
                            <a:avLst/>
                          </a:prstGeom>
                          <a:noFill/>
                        </pic:spPr>
                      </pic:pic>
                    </a:graphicData>
                  </a:graphic>
                </wp:inline>
              </w:drawing>
            </w:r>
          </w:p>
        </w:tc>
        <w:tc>
          <w:tcPr>
            <w:tcW w:w="1138" w:type="dxa"/>
            <w:tcBorders>
              <w:top w:val="single" w:sz="4" w:space="0" w:color="548DD4" w:themeColor="text2" w:themeTint="99"/>
              <w:bottom w:val="single" w:sz="4" w:space="0" w:color="548DD4" w:themeColor="text2" w:themeTint="99"/>
            </w:tcBorders>
            <w:vAlign w:val="center"/>
          </w:tcPr>
          <w:p w14:paraId="73DBA20F" w14:textId="77777777" w:rsidR="000419B1" w:rsidRPr="00076CA4" w:rsidRDefault="000419B1" w:rsidP="000419B1">
            <w:pPr>
              <w:jc w:val="center"/>
              <w:rPr>
                <w:rFonts w:ascii="Calibri" w:hAnsi="Calibri" w:cs="Calibri"/>
                <w:color w:val="808080" w:themeColor="background1" w:themeShade="80"/>
                <w:sz w:val="19"/>
                <w:szCs w:val="19"/>
              </w:rPr>
            </w:pPr>
          </w:p>
        </w:tc>
        <w:tc>
          <w:tcPr>
            <w:tcW w:w="3402" w:type="dxa"/>
            <w:tcBorders>
              <w:top w:val="single" w:sz="4" w:space="0" w:color="548DD4" w:themeColor="text2" w:themeTint="99"/>
              <w:bottom w:val="single" w:sz="4" w:space="0" w:color="548DD4" w:themeColor="text2" w:themeTint="99"/>
            </w:tcBorders>
            <w:vAlign w:val="center"/>
          </w:tcPr>
          <w:p w14:paraId="4BE51E72" w14:textId="591F59CD" w:rsidR="000419B1" w:rsidRPr="00FA55E8" w:rsidRDefault="00B012EA" w:rsidP="00BE28BC">
            <w:pPr>
              <w:jc w:val="both"/>
              <w:rPr>
                <w:rFonts w:ascii="Calibri" w:hAnsi="Calibri" w:cs="Calibri"/>
                <w:color w:val="808080" w:themeColor="background1" w:themeShade="80"/>
                <w:sz w:val="20"/>
                <w:szCs w:val="20"/>
              </w:rPr>
            </w:pPr>
            <w:r>
              <w:rPr>
                <w:rFonts w:ascii="Calibri" w:hAnsi="Calibri" w:cs="Calibri"/>
                <w:color w:val="808080" w:themeColor="background1" w:themeShade="80"/>
                <w:sz w:val="20"/>
                <w:szCs w:val="20"/>
              </w:rPr>
              <w:t>A change in approach during 2022/23 has meant that data has not been recovered for grant claims on a quarterly basis.  Annual figures (not yet available) will be provided for the Annual Report.</w:t>
            </w:r>
            <w:r w:rsidR="00441B0D">
              <w:rPr>
                <w:rFonts w:ascii="Calibri" w:hAnsi="Calibri" w:cs="Calibri"/>
                <w:color w:val="808080" w:themeColor="background1" w:themeShade="80"/>
                <w:sz w:val="20"/>
                <w:szCs w:val="20"/>
              </w:rPr>
              <w:t xml:space="preserve"> </w:t>
            </w:r>
          </w:p>
        </w:tc>
        <w:tc>
          <w:tcPr>
            <w:tcW w:w="3691" w:type="dxa"/>
            <w:tcBorders>
              <w:top w:val="single" w:sz="4" w:space="0" w:color="548DD4" w:themeColor="text2" w:themeTint="99"/>
              <w:bottom w:val="single" w:sz="4" w:space="0" w:color="548DD4" w:themeColor="text2" w:themeTint="99"/>
            </w:tcBorders>
            <w:vAlign w:val="center"/>
          </w:tcPr>
          <w:p w14:paraId="00A52FF8" w14:textId="079A09C6" w:rsidR="00024794" w:rsidRPr="00FA55E8" w:rsidRDefault="00024794" w:rsidP="00024794">
            <w:pPr>
              <w:jc w:val="both"/>
              <w:rPr>
                <w:rFonts w:ascii="Calibri" w:hAnsi="Calibri" w:cs="Calibri"/>
                <w:color w:val="808080" w:themeColor="background1" w:themeShade="80"/>
                <w:sz w:val="20"/>
                <w:szCs w:val="20"/>
              </w:rPr>
            </w:pPr>
            <w:r w:rsidRPr="00FA55E8">
              <w:rPr>
                <w:rFonts w:ascii="Calibri" w:hAnsi="Calibri" w:cs="Calibri"/>
                <w:color w:val="808080" w:themeColor="background1" w:themeShade="80"/>
                <w:sz w:val="20"/>
                <w:szCs w:val="20"/>
              </w:rPr>
              <w:t xml:space="preserve">We expect to receive data when NRF2 Helping Nature projects complete later this year and in early 2024. We will also review the reporting process to collect this data on a quarterly basis. </w:t>
            </w:r>
            <w:r w:rsidR="00C013F1" w:rsidRPr="00C013F1">
              <w:rPr>
                <w:rFonts w:ascii="Calibri" w:hAnsi="Calibri" w:cs="Calibri"/>
                <w:color w:val="808080" w:themeColor="background1" w:themeShade="80"/>
                <w:sz w:val="20"/>
                <w:szCs w:val="20"/>
              </w:rPr>
              <w:t>We expect the data to show a significant increase in hectares restored through a number of successful projects.</w:t>
            </w:r>
          </w:p>
          <w:p w14:paraId="2FCDE524" w14:textId="69EE93B3" w:rsidR="000419B1" w:rsidRPr="00FA55E8" w:rsidRDefault="000419B1" w:rsidP="000419B1">
            <w:pPr>
              <w:rPr>
                <w:rFonts w:ascii="Calibri" w:hAnsi="Calibri" w:cs="Calibri"/>
                <w:color w:val="808080" w:themeColor="background1" w:themeShade="80"/>
                <w:sz w:val="20"/>
                <w:szCs w:val="20"/>
              </w:rPr>
            </w:pPr>
          </w:p>
        </w:tc>
      </w:tr>
      <w:tr w:rsidR="00DE243F" w:rsidRPr="003A4D73" w14:paraId="01CE6248" w14:textId="77777777" w:rsidTr="00395590">
        <w:trPr>
          <w:trHeight w:hRule="exact" w:val="1871"/>
          <w:jc w:val="center"/>
        </w:trPr>
        <w:tc>
          <w:tcPr>
            <w:tcW w:w="959" w:type="dxa"/>
            <w:tcBorders>
              <w:top w:val="single" w:sz="4" w:space="0" w:color="548DD4" w:themeColor="text2" w:themeTint="99"/>
              <w:bottom w:val="single" w:sz="4" w:space="0" w:color="548DD4" w:themeColor="text2" w:themeTint="99"/>
            </w:tcBorders>
            <w:vAlign w:val="center"/>
          </w:tcPr>
          <w:p w14:paraId="07B0AABC" w14:textId="1FDB830C" w:rsidR="00DE243F" w:rsidRPr="003A4D73" w:rsidRDefault="00BE28BC" w:rsidP="00DE243F">
            <w:pPr>
              <w:jc w:val="center"/>
              <w:rPr>
                <w:rFonts w:ascii="Calibri" w:hAnsi="Calibri" w:cs="Calibri"/>
                <w:b/>
              </w:rPr>
            </w:pPr>
            <w:r w:rsidRPr="00BE28BC">
              <w:rPr>
                <w:rFonts w:ascii="Calibri" w:hAnsi="Calibri" w:cs="Calibri"/>
                <w:b/>
                <w:color w:val="00B050"/>
              </w:rPr>
              <w:t>GREEN</w:t>
            </w:r>
          </w:p>
        </w:tc>
        <w:tc>
          <w:tcPr>
            <w:tcW w:w="2298" w:type="dxa"/>
            <w:tcBorders>
              <w:top w:val="single" w:sz="4" w:space="0" w:color="548DD4" w:themeColor="text2" w:themeTint="99"/>
              <w:bottom w:val="single" w:sz="4" w:space="0" w:color="548DD4" w:themeColor="text2" w:themeTint="99"/>
            </w:tcBorders>
            <w:vAlign w:val="center"/>
          </w:tcPr>
          <w:p w14:paraId="1F9298DC" w14:textId="2B6C37BD" w:rsidR="00DE243F" w:rsidRPr="006E0DDA" w:rsidRDefault="00D753F5" w:rsidP="00DE243F">
            <w:pPr>
              <w:rPr>
                <w:rFonts w:ascii="Calibri" w:hAnsi="Calibri" w:cs="Calibri"/>
                <w:b/>
                <w:iCs/>
                <w:color w:val="808080" w:themeColor="background1" w:themeShade="80"/>
                <w:sz w:val="21"/>
                <w:szCs w:val="21"/>
              </w:rPr>
            </w:pPr>
            <w:hyperlink r:id="rId20" w:history="1">
              <w:r w:rsidR="00DE243F" w:rsidRPr="00493A4B">
                <w:rPr>
                  <w:rStyle w:val="Hyperlink"/>
                  <w:rFonts w:ascii="Calibri" w:hAnsi="Calibri" w:cs="Calibri"/>
                  <w:b/>
                  <w:iCs/>
                  <w:color w:val="808080" w:themeColor="background1" w:themeShade="80"/>
                  <w:sz w:val="20"/>
                  <w:szCs w:val="20"/>
                </w:rPr>
                <w:t>Area (ha) of peatland put on the road to recovery</w:t>
              </w:r>
            </w:hyperlink>
          </w:p>
        </w:tc>
        <w:tc>
          <w:tcPr>
            <w:tcW w:w="3118" w:type="dxa"/>
            <w:tcBorders>
              <w:top w:val="single" w:sz="4" w:space="0" w:color="548DD4" w:themeColor="text2" w:themeTint="99"/>
              <w:bottom w:val="single" w:sz="4" w:space="0" w:color="548DD4" w:themeColor="text2" w:themeTint="99"/>
            </w:tcBorders>
            <w:vAlign w:val="center"/>
          </w:tcPr>
          <w:p w14:paraId="55FEE9FE" w14:textId="194F20C6" w:rsidR="00DE243F" w:rsidRPr="003A4D73" w:rsidRDefault="00DE243F" w:rsidP="00DE243F">
            <w:pPr>
              <w:jc w:val="center"/>
              <w:rPr>
                <w:rFonts w:ascii="Calibri" w:hAnsi="Calibri" w:cs="Calibri"/>
              </w:rPr>
            </w:pPr>
            <w:r>
              <w:rPr>
                <w:rFonts w:ascii="Calibri" w:hAnsi="Calibri" w:cs="Calibri"/>
                <w:i/>
                <w:noProof/>
                <w:sz w:val="20"/>
                <w:szCs w:val="20"/>
                <w:lang w:eastAsia="en-GB"/>
              </w:rPr>
              <w:drawing>
                <wp:inline distT="0" distB="0" distL="0" distR="0" wp14:anchorId="0BA8FCB6" wp14:editId="579E57A4">
                  <wp:extent cx="1984710" cy="1214651"/>
                  <wp:effectExtent l="0" t="0" r="0" b="5080"/>
                  <wp:docPr id="13" name="Picture 13" descr="graph" title="gra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045566" cy="1251895"/>
                          </a:xfrm>
                          <a:prstGeom prst="rect">
                            <a:avLst/>
                          </a:prstGeom>
                          <a:noFill/>
                        </pic:spPr>
                      </pic:pic>
                    </a:graphicData>
                  </a:graphic>
                </wp:inline>
              </w:drawing>
            </w:r>
          </w:p>
        </w:tc>
        <w:tc>
          <w:tcPr>
            <w:tcW w:w="1138" w:type="dxa"/>
            <w:tcBorders>
              <w:top w:val="single" w:sz="4" w:space="0" w:color="548DD4" w:themeColor="text2" w:themeTint="99"/>
              <w:bottom w:val="single" w:sz="4" w:space="0" w:color="548DD4" w:themeColor="text2" w:themeTint="99"/>
            </w:tcBorders>
            <w:vAlign w:val="center"/>
          </w:tcPr>
          <w:p w14:paraId="2F638659" w14:textId="6B73A4EA" w:rsidR="00DE243F" w:rsidRPr="003D306D" w:rsidRDefault="00DE243F" w:rsidP="00DE243F">
            <w:pPr>
              <w:jc w:val="center"/>
              <w:rPr>
                <w:rFonts w:ascii="Calibri" w:hAnsi="Calibri" w:cs="Calibri"/>
                <w:color w:val="808080" w:themeColor="background1" w:themeShade="80"/>
                <w:sz w:val="19"/>
                <w:szCs w:val="19"/>
              </w:rPr>
            </w:pPr>
            <w:r>
              <w:rPr>
                <w:rFonts w:ascii="Calibri" w:hAnsi="Calibri" w:cs="Calibri"/>
                <w:color w:val="808080" w:themeColor="background1" w:themeShade="80"/>
                <w:sz w:val="20"/>
                <w:szCs w:val="20"/>
              </w:rPr>
              <w:t>4700</w:t>
            </w:r>
          </w:p>
        </w:tc>
        <w:tc>
          <w:tcPr>
            <w:tcW w:w="3402" w:type="dxa"/>
            <w:tcBorders>
              <w:top w:val="single" w:sz="4" w:space="0" w:color="548DD4" w:themeColor="text2" w:themeTint="99"/>
              <w:bottom w:val="single" w:sz="4" w:space="0" w:color="548DD4" w:themeColor="text2" w:themeTint="99"/>
            </w:tcBorders>
            <w:vAlign w:val="center"/>
          </w:tcPr>
          <w:p w14:paraId="7D1CEE6F" w14:textId="7F1AA50B" w:rsidR="00DE243F" w:rsidRPr="00FA55E8" w:rsidRDefault="00DE243F" w:rsidP="00DE243F">
            <w:pPr>
              <w:jc w:val="both"/>
              <w:rPr>
                <w:rFonts w:ascii="Calibri" w:hAnsi="Calibri" w:cs="Calibri"/>
                <w:color w:val="808080" w:themeColor="background1" w:themeShade="80"/>
                <w:sz w:val="20"/>
                <w:szCs w:val="20"/>
              </w:rPr>
            </w:pPr>
            <w:r w:rsidRPr="00FA55E8">
              <w:rPr>
                <w:rFonts w:ascii="Calibri" w:hAnsi="Calibri" w:cs="Calibri"/>
                <w:color w:val="808080" w:themeColor="background1" w:themeShade="80"/>
                <w:sz w:val="20"/>
                <w:szCs w:val="20"/>
              </w:rPr>
              <w:t>As expected, more projects are completed in this quarter due to seasonality of work (not all verified yet)- The final numbers are likely to increase further within the coming weeks (Late report submissions)</w:t>
            </w:r>
          </w:p>
        </w:tc>
        <w:tc>
          <w:tcPr>
            <w:tcW w:w="3691" w:type="dxa"/>
            <w:tcBorders>
              <w:top w:val="single" w:sz="4" w:space="0" w:color="548DD4" w:themeColor="text2" w:themeTint="99"/>
              <w:bottom w:val="single" w:sz="4" w:space="0" w:color="548DD4" w:themeColor="text2" w:themeTint="99"/>
            </w:tcBorders>
            <w:vAlign w:val="center"/>
          </w:tcPr>
          <w:p w14:paraId="59F40771" w14:textId="77EC756C" w:rsidR="00DE243F" w:rsidRPr="00FA55E8" w:rsidRDefault="00DE243F" w:rsidP="007F5150">
            <w:pPr>
              <w:rPr>
                <w:rFonts w:ascii="Calibri" w:eastAsia="Times New Roman" w:hAnsi="Calibri" w:cs="Calibri"/>
                <w:color w:val="808080" w:themeColor="background1" w:themeShade="80"/>
                <w:sz w:val="20"/>
                <w:szCs w:val="20"/>
              </w:rPr>
            </w:pPr>
            <w:r w:rsidRPr="00FA55E8">
              <w:rPr>
                <w:rFonts w:ascii="Calibri" w:eastAsia="Times New Roman" w:hAnsi="Calibri" w:cs="Calibri"/>
                <w:color w:val="808080" w:themeColor="background1" w:themeShade="80"/>
                <w:sz w:val="20"/>
                <w:szCs w:val="20"/>
              </w:rPr>
              <w:t>We are expecting to meet our</w:t>
            </w:r>
            <w:r w:rsidR="007F5150">
              <w:rPr>
                <w:rFonts w:ascii="Calibri" w:eastAsia="Times New Roman" w:hAnsi="Calibri" w:cs="Calibri"/>
                <w:color w:val="808080" w:themeColor="background1" w:themeShade="80"/>
                <w:sz w:val="20"/>
                <w:szCs w:val="20"/>
              </w:rPr>
              <w:t xml:space="preserve"> ha</w:t>
            </w:r>
            <w:r w:rsidRPr="00FA55E8">
              <w:rPr>
                <w:rFonts w:ascii="Calibri" w:eastAsia="Times New Roman" w:hAnsi="Calibri" w:cs="Calibri"/>
                <w:color w:val="808080" w:themeColor="background1" w:themeShade="80"/>
                <w:sz w:val="20"/>
                <w:szCs w:val="20"/>
              </w:rPr>
              <w:t xml:space="preserve"> target</w:t>
            </w:r>
          </w:p>
        </w:tc>
      </w:tr>
    </w:tbl>
    <w:p w14:paraId="659D0AAB" w14:textId="77777777" w:rsidR="000419B1" w:rsidRPr="00FB3B80" w:rsidRDefault="000419B1" w:rsidP="000419B1">
      <w:pPr>
        <w:pStyle w:val="Heading2"/>
        <w:shd w:val="clear" w:color="auto" w:fill="007DC3"/>
        <w:jc w:val="center"/>
        <w:rPr>
          <w:rFonts w:ascii="Calibri" w:hAnsi="Calibri" w:cs="Calibri"/>
        </w:rPr>
      </w:pPr>
      <w:r w:rsidRPr="00FB3B80">
        <w:rPr>
          <w:rFonts w:ascii="Calibri" w:hAnsi="Calibri" w:cs="Calibri"/>
        </w:rPr>
        <w:lastRenderedPageBreak/>
        <w:t xml:space="preserve">THE VALUE OF NATURE IS RECOGNISED </w:t>
      </w:r>
    </w:p>
    <w:tbl>
      <w:tblPr>
        <w:tblStyle w:val="TableGrid"/>
        <w:tblW w:w="146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We have transformed how we work measures"/>
        <w:tblDescription w:val="An update at the end of this quarter for all of the measures that sit under 'we have transformed how we work'"/>
      </w:tblPr>
      <w:tblGrid>
        <w:gridCol w:w="959"/>
        <w:gridCol w:w="2298"/>
        <w:gridCol w:w="3118"/>
        <w:gridCol w:w="996"/>
        <w:gridCol w:w="3544"/>
        <w:gridCol w:w="3691"/>
      </w:tblGrid>
      <w:tr w:rsidR="000419B1" w:rsidRPr="00F56679" w14:paraId="06289346" w14:textId="77777777" w:rsidTr="004C546D">
        <w:trPr>
          <w:tblHeader/>
          <w:jc w:val="center"/>
        </w:trPr>
        <w:tc>
          <w:tcPr>
            <w:tcW w:w="959" w:type="dxa"/>
            <w:tcBorders>
              <w:bottom w:val="single" w:sz="4" w:space="0" w:color="548DD4" w:themeColor="text2" w:themeTint="99"/>
            </w:tcBorders>
          </w:tcPr>
          <w:p w14:paraId="54AF29E6" w14:textId="77777777" w:rsidR="000419B1" w:rsidRPr="00F56679" w:rsidRDefault="000419B1" w:rsidP="000419B1">
            <w:pPr>
              <w:jc w:val="center"/>
              <w:rPr>
                <w:rFonts w:ascii="Calibri" w:hAnsi="Calibri" w:cs="Calibri"/>
                <w:b/>
              </w:rPr>
            </w:pPr>
            <w:r>
              <w:rPr>
                <w:rFonts w:ascii="Calibri" w:hAnsi="Calibri" w:cs="Calibri"/>
                <w:b/>
              </w:rPr>
              <w:t>Score</w:t>
            </w:r>
          </w:p>
        </w:tc>
        <w:tc>
          <w:tcPr>
            <w:tcW w:w="2298" w:type="dxa"/>
            <w:tcBorders>
              <w:bottom w:val="single" w:sz="4" w:space="0" w:color="548DD4" w:themeColor="text2" w:themeTint="99"/>
            </w:tcBorders>
          </w:tcPr>
          <w:p w14:paraId="5EE73CFC" w14:textId="77777777" w:rsidR="000419B1" w:rsidRPr="00F56679" w:rsidRDefault="000419B1" w:rsidP="000419B1">
            <w:pPr>
              <w:jc w:val="center"/>
              <w:rPr>
                <w:rFonts w:ascii="Calibri" w:hAnsi="Calibri" w:cs="Calibri"/>
                <w:b/>
              </w:rPr>
            </w:pPr>
            <w:r w:rsidRPr="00F56679">
              <w:rPr>
                <w:rFonts w:ascii="Calibri" w:hAnsi="Calibri" w:cs="Calibri"/>
                <w:b/>
              </w:rPr>
              <w:t>Measure</w:t>
            </w:r>
          </w:p>
        </w:tc>
        <w:tc>
          <w:tcPr>
            <w:tcW w:w="3118" w:type="dxa"/>
            <w:tcBorders>
              <w:bottom w:val="single" w:sz="4" w:space="0" w:color="548DD4" w:themeColor="text2" w:themeTint="99"/>
            </w:tcBorders>
          </w:tcPr>
          <w:p w14:paraId="681B86FB" w14:textId="77777777" w:rsidR="000419B1" w:rsidRPr="00F56679" w:rsidRDefault="000419B1" w:rsidP="000419B1">
            <w:pPr>
              <w:jc w:val="center"/>
              <w:rPr>
                <w:rFonts w:ascii="Calibri" w:hAnsi="Calibri" w:cs="Calibri"/>
                <w:b/>
              </w:rPr>
            </w:pPr>
            <w:r>
              <w:rPr>
                <w:rFonts w:ascii="Calibri" w:hAnsi="Calibri" w:cs="Calibri"/>
                <w:b/>
              </w:rPr>
              <w:t>Performance Overview</w:t>
            </w:r>
          </w:p>
        </w:tc>
        <w:tc>
          <w:tcPr>
            <w:tcW w:w="996" w:type="dxa"/>
            <w:tcBorders>
              <w:bottom w:val="single" w:sz="4" w:space="0" w:color="548DD4" w:themeColor="text2" w:themeTint="99"/>
            </w:tcBorders>
          </w:tcPr>
          <w:p w14:paraId="0316398F" w14:textId="77777777" w:rsidR="000419B1" w:rsidRPr="00F56679" w:rsidRDefault="000419B1" w:rsidP="000419B1">
            <w:pPr>
              <w:jc w:val="center"/>
              <w:rPr>
                <w:rFonts w:ascii="Calibri" w:hAnsi="Calibri" w:cs="Calibri"/>
                <w:b/>
              </w:rPr>
            </w:pPr>
            <w:r w:rsidRPr="00F56679">
              <w:rPr>
                <w:rFonts w:ascii="Calibri" w:hAnsi="Calibri" w:cs="Calibri"/>
                <w:b/>
              </w:rPr>
              <w:t>Actual</w:t>
            </w:r>
          </w:p>
        </w:tc>
        <w:tc>
          <w:tcPr>
            <w:tcW w:w="3544" w:type="dxa"/>
            <w:tcBorders>
              <w:bottom w:val="single" w:sz="4" w:space="0" w:color="548DD4" w:themeColor="text2" w:themeTint="99"/>
            </w:tcBorders>
          </w:tcPr>
          <w:p w14:paraId="06AAC56C" w14:textId="77777777" w:rsidR="000419B1" w:rsidRPr="00F56679" w:rsidRDefault="000419B1" w:rsidP="000419B1">
            <w:pPr>
              <w:jc w:val="center"/>
              <w:rPr>
                <w:rFonts w:ascii="Calibri" w:hAnsi="Calibri" w:cs="Calibri"/>
                <w:b/>
              </w:rPr>
            </w:pPr>
            <w:r w:rsidRPr="00F56679">
              <w:rPr>
                <w:rFonts w:ascii="Calibri" w:hAnsi="Calibri" w:cs="Calibri"/>
                <w:b/>
              </w:rPr>
              <w:t>Cause</w:t>
            </w:r>
          </w:p>
        </w:tc>
        <w:tc>
          <w:tcPr>
            <w:tcW w:w="3691" w:type="dxa"/>
            <w:tcBorders>
              <w:bottom w:val="single" w:sz="4" w:space="0" w:color="548DD4" w:themeColor="text2" w:themeTint="99"/>
            </w:tcBorders>
          </w:tcPr>
          <w:p w14:paraId="606462A1" w14:textId="77777777" w:rsidR="000419B1" w:rsidRPr="00F56679" w:rsidRDefault="000419B1" w:rsidP="000419B1">
            <w:pPr>
              <w:jc w:val="center"/>
              <w:rPr>
                <w:rFonts w:ascii="Calibri" w:hAnsi="Calibri" w:cs="Calibri"/>
                <w:b/>
              </w:rPr>
            </w:pPr>
            <w:r w:rsidRPr="00F56679">
              <w:rPr>
                <w:rFonts w:ascii="Calibri" w:hAnsi="Calibri" w:cs="Calibri"/>
                <w:b/>
              </w:rPr>
              <w:t>Response</w:t>
            </w:r>
          </w:p>
        </w:tc>
      </w:tr>
      <w:tr w:rsidR="000C41B4" w:rsidRPr="003A4D73" w14:paraId="7CA511B2" w14:textId="77777777" w:rsidTr="00584BB7">
        <w:trPr>
          <w:trHeight w:hRule="exact" w:val="2721"/>
          <w:jc w:val="center"/>
        </w:trPr>
        <w:tc>
          <w:tcPr>
            <w:tcW w:w="959" w:type="dxa"/>
            <w:tcBorders>
              <w:top w:val="single" w:sz="4" w:space="0" w:color="548DD4" w:themeColor="text2" w:themeTint="99"/>
              <w:bottom w:val="single" w:sz="4" w:space="0" w:color="548DD4" w:themeColor="text2" w:themeTint="99"/>
            </w:tcBorders>
            <w:vAlign w:val="center"/>
          </w:tcPr>
          <w:p w14:paraId="5DA691FC" w14:textId="77777777" w:rsidR="000C41B4" w:rsidRPr="003A4D73" w:rsidRDefault="000C41B4" w:rsidP="000C41B4">
            <w:pPr>
              <w:jc w:val="center"/>
              <w:rPr>
                <w:rFonts w:ascii="Calibri" w:hAnsi="Calibri" w:cs="Calibri"/>
                <w:b/>
                <w:color w:val="FF0000"/>
              </w:rPr>
            </w:pPr>
            <w:r w:rsidRPr="00851105">
              <w:rPr>
                <w:rFonts w:ascii="Calibri" w:hAnsi="Calibri" w:cs="Calibri"/>
                <w:b/>
                <w:color w:val="00B050"/>
              </w:rPr>
              <w:t>GREEN</w:t>
            </w:r>
          </w:p>
        </w:tc>
        <w:tc>
          <w:tcPr>
            <w:tcW w:w="2298" w:type="dxa"/>
            <w:tcBorders>
              <w:top w:val="single" w:sz="4" w:space="0" w:color="548DD4" w:themeColor="text2" w:themeTint="99"/>
              <w:bottom w:val="single" w:sz="4" w:space="0" w:color="548DD4" w:themeColor="text2" w:themeTint="99"/>
            </w:tcBorders>
            <w:vAlign w:val="center"/>
          </w:tcPr>
          <w:p w14:paraId="5A3B5B2B" w14:textId="77777777" w:rsidR="000C41B4" w:rsidRPr="00675DB4" w:rsidRDefault="00D753F5" w:rsidP="000C41B4">
            <w:pPr>
              <w:rPr>
                <w:rFonts w:ascii="Calibri" w:hAnsi="Calibri" w:cs="Calibri"/>
                <w:b/>
                <w:iCs/>
                <w:color w:val="808080" w:themeColor="background1" w:themeShade="80"/>
                <w:sz w:val="21"/>
                <w:szCs w:val="21"/>
              </w:rPr>
            </w:pPr>
            <w:hyperlink r:id="rId22" w:history="1">
              <w:r w:rsidR="000C41B4" w:rsidRPr="00A0017B">
                <w:rPr>
                  <w:rStyle w:val="Hyperlink"/>
                  <w:rFonts w:ascii="Calibri" w:hAnsi="Calibri" w:cs="Calibri"/>
                  <w:b/>
                  <w:iCs/>
                  <w:color w:val="808080" w:themeColor="background1" w:themeShade="80"/>
                  <w:sz w:val="21"/>
                  <w:szCs w:val="21"/>
                </w:rPr>
                <w:t>Hectares of Green infrastructure Restored</w:t>
              </w:r>
            </w:hyperlink>
          </w:p>
        </w:tc>
        <w:tc>
          <w:tcPr>
            <w:tcW w:w="3118" w:type="dxa"/>
            <w:tcBorders>
              <w:top w:val="single" w:sz="4" w:space="0" w:color="548DD4" w:themeColor="text2" w:themeTint="99"/>
              <w:bottom w:val="single" w:sz="4" w:space="0" w:color="548DD4" w:themeColor="text2" w:themeTint="99"/>
            </w:tcBorders>
            <w:vAlign w:val="center"/>
          </w:tcPr>
          <w:p w14:paraId="32256CAB" w14:textId="7874A031" w:rsidR="000C41B4" w:rsidRPr="003A4D73" w:rsidRDefault="000C41B4" w:rsidP="000C41B4">
            <w:pPr>
              <w:jc w:val="center"/>
              <w:rPr>
                <w:rFonts w:ascii="Calibri" w:hAnsi="Calibri" w:cs="Calibri"/>
              </w:rPr>
            </w:pPr>
            <w:r>
              <w:rPr>
                <w:rFonts w:ascii="Calibri" w:hAnsi="Calibri" w:cs="Calibri"/>
                <w:noProof/>
                <w:lang w:eastAsia="en-GB"/>
              </w:rPr>
              <w:drawing>
                <wp:inline distT="0" distB="0" distL="0" distR="0" wp14:anchorId="3F5623D8" wp14:editId="206B02CE">
                  <wp:extent cx="1913890" cy="558502"/>
                  <wp:effectExtent l="0" t="0" r="0" b="0"/>
                  <wp:docPr id="16" name="Picture 16" descr="graph" title="gra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37525" cy="565399"/>
                          </a:xfrm>
                          <a:prstGeom prst="rect">
                            <a:avLst/>
                          </a:prstGeom>
                          <a:noFill/>
                        </pic:spPr>
                      </pic:pic>
                    </a:graphicData>
                  </a:graphic>
                </wp:inline>
              </w:drawing>
            </w:r>
          </w:p>
        </w:tc>
        <w:tc>
          <w:tcPr>
            <w:tcW w:w="996" w:type="dxa"/>
            <w:tcBorders>
              <w:top w:val="single" w:sz="4" w:space="0" w:color="548DD4" w:themeColor="text2" w:themeTint="99"/>
              <w:bottom w:val="single" w:sz="4" w:space="0" w:color="548DD4" w:themeColor="text2" w:themeTint="99"/>
            </w:tcBorders>
            <w:vAlign w:val="center"/>
          </w:tcPr>
          <w:p w14:paraId="60C6B31C" w14:textId="6EFA47A2" w:rsidR="000C41B4" w:rsidRPr="003D306D" w:rsidRDefault="00DB0914" w:rsidP="000C41B4">
            <w:pPr>
              <w:jc w:val="center"/>
              <w:rPr>
                <w:rFonts w:ascii="Calibri" w:hAnsi="Calibri" w:cs="Calibri"/>
                <w:color w:val="808080" w:themeColor="background1" w:themeShade="80"/>
                <w:sz w:val="19"/>
                <w:szCs w:val="19"/>
              </w:rPr>
            </w:pPr>
            <w:r>
              <w:rPr>
                <w:rFonts w:ascii="Calibri" w:hAnsi="Calibri" w:cs="Calibri"/>
                <w:color w:val="808080" w:themeColor="background1" w:themeShade="80"/>
                <w:sz w:val="19"/>
                <w:szCs w:val="19"/>
              </w:rPr>
              <w:t>7.67</w:t>
            </w:r>
          </w:p>
        </w:tc>
        <w:tc>
          <w:tcPr>
            <w:tcW w:w="3544" w:type="dxa"/>
            <w:tcBorders>
              <w:top w:val="single" w:sz="4" w:space="0" w:color="548DD4" w:themeColor="text2" w:themeTint="99"/>
              <w:bottom w:val="single" w:sz="4" w:space="0" w:color="548DD4" w:themeColor="text2" w:themeTint="99"/>
            </w:tcBorders>
            <w:vAlign w:val="center"/>
          </w:tcPr>
          <w:p w14:paraId="41D234F4" w14:textId="3F8CD907" w:rsidR="000C41B4" w:rsidRPr="00FA55E8" w:rsidRDefault="000C41B4" w:rsidP="000C41B4">
            <w:pPr>
              <w:jc w:val="both"/>
              <w:rPr>
                <w:rFonts w:ascii="Calibri" w:hAnsi="Calibri" w:cs="Calibri"/>
                <w:color w:val="808080" w:themeColor="background1" w:themeShade="80"/>
                <w:sz w:val="20"/>
                <w:szCs w:val="24"/>
              </w:rPr>
            </w:pPr>
            <w:r w:rsidRPr="00FA55E8">
              <w:rPr>
                <w:rFonts w:ascii="Calibri" w:hAnsi="Calibri" w:cs="Calibri"/>
                <w:color w:val="808080" w:themeColor="background1" w:themeShade="80"/>
                <w:sz w:val="20"/>
                <w:szCs w:val="24"/>
              </w:rPr>
              <w:t>No projects expected to complete this quarter.</w:t>
            </w:r>
          </w:p>
        </w:tc>
        <w:tc>
          <w:tcPr>
            <w:tcW w:w="3691" w:type="dxa"/>
            <w:tcBorders>
              <w:top w:val="single" w:sz="4" w:space="0" w:color="548DD4" w:themeColor="text2" w:themeTint="99"/>
              <w:bottom w:val="single" w:sz="4" w:space="0" w:color="548DD4" w:themeColor="text2" w:themeTint="99"/>
            </w:tcBorders>
            <w:vAlign w:val="center"/>
          </w:tcPr>
          <w:p w14:paraId="3846512E" w14:textId="5E418EA6" w:rsidR="000C41B4" w:rsidRPr="00FA55E8" w:rsidRDefault="000C41B4" w:rsidP="000C41B4">
            <w:pPr>
              <w:jc w:val="both"/>
              <w:rPr>
                <w:rFonts w:ascii="Calibri" w:hAnsi="Calibri" w:cs="Calibri"/>
                <w:color w:val="808080" w:themeColor="background1" w:themeShade="80"/>
                <w:sz w:val="20"/>
                <w:szCs w:val="24"/>
              </w:rPr>
            </w:pPr>
            <w:r w:rsidRPr="00FA55E8">
              <w:rPr>
                <w:rFonts w:ascii="Calibri" w:hAnsi="Calibri" w:cs="Calibri"/>
                <w:color w:val="808080" w:themeColor="background1" w:themeShade="80"/>
                <w:sz w:val="20"/>
                <w:szCs w:val="24"/>
              </w:rPr>
              <w:t>Remaining projects</w:t>
            </w:r>
            <w:r w:rsidR="008A515F" w:rsidRPr="00FA55E8">
              <w:rPr>
                <w:rFonts w:ascii="Calibri" w:hAnsi="Calibri" w:cs="Calibri"/>
                <w:color w:val="808080" w:themeColor="background1" w:themeShade="80"/>
                <w:sz w:val="20"/>
                <w:szCs w:val="24"/>
              </w:rPr>
              <w:t xml:space="preserve"> have all started construction. </w:t>
            </w:r>
            <w:r w:rsidR="00393BD7">
              <w:rPr>
                <w:rFonts w:ascii="Calibri" w:hAnsi="Calibri" w:cs="Calibri"/>
                <w:color w:val="808080" w:themeColor="background1" w:themeShade="80"/>
                <w:sz w:val="20"/>
                <w:szCs w:val="24"/>
              </w:rPr>
              <w:t xml:space="preserve">Only one project, </w:t>
            </w:r>
            <w:proofErr w:type="spellStart"/>
            <w:r w:rsidRPr="00FA55E8">
              <w:rPr>
                <w:rFonts w:ascii="Calibri" w:hAnsi="Calibri" w:cs="Calibri"/>
                <w:color w:val="808080" w:themeColor="background1" w:themeShade="80"/>
                <w:sz w:val="20"/>
                <w:szCs w:val="24"/>
              </w:rPr>
              <w:t>Foresterhill</w:t>
            </w:r>
            <w:proofErr w:type="spellEnd"/>
            <w:r w:rsidR="00393BD7">
              <w:rPr>
                <w:rFonts w:ascii="Calibri" w:hAnsi="Calibri" w:cs="Calibri"/>
                <w:color w:val="808080" w:themeColor="background1" w:themeShade="80"/>
                <w:sz w:val="20"/>
                <w:szCs w:val="24"/>
              </w:rPr>
              <w:t>,</w:t>
            </w:r>
            <w:r w:rsidR="008A515F" w:rsidRPr="00FA55E8">
              <w:rPr>
                <w:rFonts w:ascii="Calibri" w:hAnsi="Calibri" w:cs="Calibri"/>
                <w:color w:val="808080" w:themeColor="background1" w:themeShade="80"/>
                <w:sz w:val="20"/>
                <w:szCs w:val="24"/>
              </w:rPr>
              <w:t xml:space="preserve"> </w:t>
            </w:r>
            <w:r w:rsidR="00393BD7">
              <w:rPr>
                <w:rFonts w:ascii="Calibri" w:hAnsi="Calibri" w:cs="Calibri"/>
                <w:color w:val="808080" w:themeColor="background1" w:themeShade="80"/>
                <w:sz w:val="20"/>
                <w:szCs w:val="24"/>
              </w:rPr>
              <w:t>is</w:t>
            </w:r>
            <w:r w:rsidRPr="00FA55E8">
              <w:rPr>
                <w:rFonts w:ascii="Calibri" w:hAnsi="Calibri" w:cs="Calibri"/>
                <w:color w:val="808080" w:themeColor="background1" w:themeShade="80"/>
                <w:sz w:val="20"/>
                <w:szCs w:val="24"/>
              </w:rPr>
              <w:t xml:space="preserve"> predicted to not complete 100% of their construction until 31 August 23. </w:t>
            </w:r>
            <w:r w:rsidR="00584BB7" w:rsidRPr="00584BB7">
              <w:rPr>
                <w:rFonts w:ascii="Calibri" w:hAnsi="Calibri" w:cs="Calibri"/>
                <w:color w:val="808080" w:themeColor="background1" w:themeShade="80"/>
                <w:sz w:val="20"/>
                <w:szCs w:val="24"/>
              </w:rPr>
              <w:t>Only expenditure up to end June 2024 will be eligible for ERDF grant, and we will therefore be claiming less grant from the Managing Authority. NatureScot’s grant contract with the Managing Authority is not at risk because all of our targets have either been met or exceeded.</w:t>
            </w:r>
          </w:p>
        </w:tc>
      </w:tr>
      <w:tr w:rsidR="000C41B4" w:rsidRPr="00123F33" w14:paraId="07B37B69" w14:textId="77777777" w:rsidTr="004C546D">
        <w:trPr>
          <w:trHeight w:hRule="exact" w:val="1474"/>
          <w:jc w:val="center"/>
        </w:trPr>
        <w:tc>
          <w:tcPr>
            <w:tcW w:w="959" w:type="dxa"/>
            <w:tcBorders>
              <w:top w:val="single" w:sz="4" w:space="0" w:color="548DD4" w:themeColor="text2" w:themeTint="99"/>
              <w:bottom w:val="single" w:sz="4" w:space="0" w:color="548DD4" w:themeColor="text2" w:themeTint="99"/>
            </w:tcBorders>
            <w:vAlign w:val="center"/>
          </w:tcPr>
          <w:p w14:paraId="63A4DE83" w14:textId="39C74677" w:rsidR="000C41B4" w:rsidRPr="000C41B4" w:rsidRDefault="000C41B4" w:rsidP="000C41B4">
            <w:pPr>
              <w:jc w:val="center"/>
              <w:rPr>
                <w:rFonts w:ascii="Calibri" w:hAnsi="Calibri" w:cs="Calibri"/>
                <w:b/>
                <w:color w:val="00B050"/>
              </w:rPr>
            </w:pPr>
            <w:r w:rsidRPr="000C41B4">
              <w:rPr>
                <w:rFonts w:ascii="Calibri" w:hAnsi="Calibri" w:cs="Calibri"/>
                <w:b/>
                <w:color w:val="00B050"/>
              </w:rPr>
              <w:t>GREEN</w:t>
            </w:r>
          </w:p>
        </w:tc>
        <w:tc>
          <w:tcPr>
            <w:tcW w:w="2298" w:type="dxa"/>
            <w:tcBorders>
              <w:top w:val="single" w:sz="4" w:space="0" w:color="548DD4" w:themeColor="text2" w:themeTint="99"/>
              <w:bottom w:val="single" w:sz="4" w:space="0" w:color="548DD4" w:themeColor="text2" w:themeTint="99"/>
            </w:tcBorders>
            <w:vAlign w:val="center"/>
          </w:tcPr>
          <w:p w14:paraId="46F92360" w14:textId="0A8E67E2" w:rsidR="000C41B4" w:rsidRPr="00675DB4" w:rsidRDefault="00D753F5" w:rsidP="000C41B4">
            <w:pPr>
              <w:rPr>
                <w:rFonts w:ascii="Calibri" w:hAnsi="Calibri" w:cs="Calibri"/>
                <w:b/>
                <w:iCs/>
                <w:color w:val="808080" w:themeColor="background1" w:themeShade="80"/>
                <w:sz w:val="21"/>
                <w:szCs w:val="21"/>
              </w:rPr>
            </w:pPr>
            <w:hyperlink r:id="rId24" w:history="1">
              <w:r w:rsidR="000C41B4" w:rsidRPr="002A1FFB">
                <w:rPr>
                  <w:rStyle w:val="Hyperlink"/>
                  <w:rFonts w:ascii="Calibri" w:hAnsi="Calibri" w:cs="Calibri"/>
                  <w:b/>
                  <w:iCs/>
                  <w:color w:val="808080" w:themeColor="background1" w:themeShade="80"/>
                  <w:sz w:val="21"/>
                  <w:szCs w:val="21"/>
                </w:rPr>
                <w:t>Nature-based jobs and skills opportunities</w:t>
              </w:r>
            </w:hyperlink>
          </w:p>
        </w:tc>
        <w:tc>
          <w:tcPr>
            <w:tcW w:w="3118" w:type="dxa"/>
            <w:tcBorders>
              <w:top w:val="single" w:sz="4" w:space="0" w:color="548DD4" w:themeColor="text2" w:themeTint="99"/>
              <w:bottom w:val="single" w:sz="4" w:space="0" w:color="548DD4" w:themeColor="text2" w:themeTint="99"/>
            </w:tcBorders>
            <w:vAlign w:val="center"/>
          </w:tcPr>
          <w:p w14:paraId="5ECF0745" w14:textId="30B90B8C" w:rsidR="000C41B4" w:rsidRPr="003A4D73" w:rsidRDefault="000C41B4" w:rsidP="000C41B4">
            <w:pPr>
              <w:jc w:val="center"/>
              <w:rPr>
                <w:rFonts w:ascii="Calibri" w:hAnsi="Calibri" w:cs="Calibri"/>
              </w:rPr>
            </w:pPr>
            <w:r>
              <w:rPr>
                <w:rFonts w:ascii="Calibri" w:hAnsi="Calibri" w:cs="Calibri"/>
                <w:noProof/>
                <w:lang w:eastAsia="en-GB"/>
              </w:rPr>
              <w:drawing>
                <wp:inline distT="0" distB="0" distL="0" distR="0" wp14:anchorId="45FCC7DC" wp14:editId="65425D48">
                  <wp:extent cx="2016760" cy="1268730"/>
                  <wp:effectExtent l="0" t="0" r="2540" b="7620"/>
                  <wp:docPr id="14" name="Picture 14" descr="graph" title="gra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036201" cy="1280960"/>
                          </a:xfrm>
                          <a:prstGeom prst="rect">
                            <a:avLst/>
                          </a:prstGeom>
                          <a:noFill/>
                        </pic:spPr>
                      </pic:pic>
                    </a:graphicData>
                  </a:graphic>
                </wp:inline>
              </w:drawing>
            </w:r>
          </w:p>
        </w:tc>
        <w:tc>
          <w:tcPr>
            <w:tcW w:w="996" w:type="dxa"/>
            <w:tcBorders>
              <w:top w:val="single" w:sz="4" w:space="0" w:color="548DD4" w:themeColor="text2" w:themeTint="99"/>
              <w:bottom w:val="single" w:sz="4" w:space="0" w:color="548DD4" w:themeColor="text2" w:themeTint="99"/>
            </w:tcBorders>
            <w:vAlign w:val="center"/>
          </w:tcPr>
          <w:p w14:paraId="4756C366" w14:textId="51A431A6" w:rsidR="000C41B4" w:rsidRPr="00390F7A" w:rsidRDefault="000C41B4" w:rsidP="000C41B4">
            <w:pPr>
              <w:jc w:val="center"/>
              <w:rPr>
                <w:rFonts w:ascii="Calibri" w:hAnsi="Calibri" w:cs="Calibri"/>
                <w:b/>
                <w:color w:val="808080" w:themeColor="background1" w:themeShade="80"/>
                <w:sz w:val="19"/>
                <w:szCs w:val="19"/>
              </w:rPr>
            </w:pPr>
            <w:r>
              <w:rPr>
                <w:rFonts w:ascii="Calibri" w:hAnsi="Calibri" w:cs="Calibri"/>
                <w:b/>
                <w:color w:val="808080" w:themeColor="background1" w:themeShade="80"/>
                <w:sz w:val="19"/>
                <w:szCs w:val="19"/>
              </w:rPr>
              <w:t>289</w:t>
            </w:r>
          </w:p>
        </w:tc>
        <w:tc>
          <w:tcPr>
            <w:tcW w:w="3544" w:type="dxa"/>
            <w:tcBorders>
              <w:top w:val="single" w:sz="4" w:space="0" w:color="548DD4" w:themeColor="text2" w:themeTint="99"/>
              <w:bottom w:val="single" w:sz="4" w:space="0" w:color="548DD4" w:themeColor="text2" w:themeTint="99"/>
            </w:tcBorders>
            <w:vAlign w:val="center"/>
          </w:tcPr>
          <w:p w14:paraId="6692F805" w14:textId="2BD04365" w:rsidR="000C41B4" w:rsidRPr="00FA55E8" w:rsidRDefault="000C41B4" w:rsidP="000C41B4">
            <w:pPr>
              <w:jc w:val="both"/>
              <w:rPr>
                <w:rFonts w:ascii="Calibri" w:hAnsi="Calibri" w:cs="Calibri"/>
                <w:color w:val="808080" w:themeColor="background1" w:themeShade="80"/>
                <w:sz w:val="20"/>
              </w:rPr>
            </w:pPr>
            <w:r w:rsidRPr="00FA55E8">
              <w:rPr>
                <w:rFonts w:ascii="Calibri" w:hAnsi="Calibri" w:cs="Calibri"/>
                <w:color w:val="808080" w:themeColor="background1" w:themeShade="80"/>
                <w:sz w:val="20"/>
                <w:szCs w:val="24"/>
              </w:rPr>
              <w:t>People attending foll</w:t>
            </w:r>
            <w:r w:rsidR="00C87458">
              <w:rPr>
                <w:rFonts w:ascii="Calibri" w:hAnsi="Calibri" w:cs="Calibri"/>
                <w:color w:val="808080" w:themeColor="background1" w:themeShade="80"/>
                <w:sz w:val="20"/>
                <w:szCs w:val="24"/>
              </w:rPr>
              <w:t xml:space="preserve">owing Peatland Action Events - </w:t>
            </w:r>
            <w:r w:rsidRPr="00FA55E8">
              <w:rPr>
                <w:rFonts w:ascii="Calibri" w:hAnsi="Calibri" w:cs="Calibri"/>
                <w:color w:val="808080" w:themeColor="background1" w:themeShade="80"/>
                <w:sz w:val="20"/>
                <w:szCs w:val="24"/>
              </w:rPr>
              <w:t>2 day training events = 123.   Practical training through new entrant scheme = 11.   2 hour online courses (including those in Skills Week) = 121 </w:t>
            </w:r>
          </w:p>
        </w:tc>
        <w:tc>
          <w:tcPr>
            <w:tcW w:w="3691" w:type="dxa"/>
            <w:tcBorders>
              <w:top w:val="single" w:sz="4" w:space="0" w:color="548DD4" w:themeColor="text2" w:themeTint="99"/>
              <w:bottom w:val="single" w:sz="4" w:space="0" w:color="548DD4" w:themeColor="text2" w:themeTint="99"/>
            </w:tcBorders>
            <w:vAlign w:val="center"/>
          </w:tcPr>
          <w:p w14:paraId="2F41BB19" w14:textId="4F09A04A" w:rsidR="000C41B4" w:rsidRPr="00FA55E8" w:rsidRDefault="000C41B4" w:rsidP="00584BB7">
            <w:pPr>
              <w:jc w:val="both"/>
              <w:rPr>
                <w:rFonts w:ascii="Calibri" w:hAnsi="Calibri" w:cs="Calibri"/>
                <w:color w:val="808080" w:themeColor="background1" w:themeShade="80"/>
                <w:sz w:val="20"/>
              </w:rPr>
            </w:pPr>
            <w:r w:rsidRPr="00FA55E8">
              <w:rPr>
                <w:rFonts w:ascii="Calibri" w:hAnsi="Calibri" w:cs="Calibri"/>
                <w:color w:val="808080" w:themeColor="background1" w:themeShade="80"/>
                <w:sz w:val="20"/>
                <w:szCs w:val="24"/>
              </w:rPr>
              <w:t>2 new to Nature Jobs will start in Q1 23/24 plus 12, 6 Month Working with Rivers Placements</w:t>
            </w:r>
          </w:p>
        </w:tc>
      </w:tr>
      <w:tr w:rsidR="000419B1" w:rsidRPr="003A4D73" w14:paraId="6BD3560A" w14:textId="77777777" w:rsidTr="000C41B4">
        <w:trPr>
          <w:trHeight w:hRule="exact" w:val="1928"/>
          <w:jc w:val="center"/>
        </w:trPr>
        <w:tc>
          <w:tcPr>
            <w:tcW w:w="959" w:type="dxa"/>
            <w:tcBorders>
              <w:top w:val="single" w:sz="4" w:space="0" w:color="548DD4" w:themeColor="text2" w:themeTint="99"/>
              <w:bottom w:val="single" w:sz="4" w:space="0" w:color="548DD4" w:themeColor="text2" w:themeTint="99"/>
            </w:tcBorders>
            <w:vAlign w:val="center"/>
          </w:tcPr>
          <w:p w14:paraId="0B923002" w14:textId="77777777" w:rsidR="000419B1" w:rsidRPr="003A4D73" w:rsidRDefault="000419B1" w:rsidP="000419B1">
            <w:pPr>
              <w:jc w:val="center"/>
              <w:rPr>
                <w:rFonts w:ascii="Calibri" w:hAnsi="Calibri" w:cs="Calibri"/>
                <w:b/>
                <w:color w:val="FF0000"/>
              </w:rPr>
            </w:pPr>
          </w:p>
        </w:tc>
        <w:tc>
          <w:tcPr>
            <w:tcW w:w="2298" w:type="dxa"/>
            <w:tcBorders>
              <w:top w:val="single" w:sz="4" w:space="0" w:color="548DD4" w:themeColor="text2" w:themeTint="99"/>
              <w:bottom w:val="single" w:sz="4" w:space="0" w:color="548DD4" w:themeColor="text2" w:themeTint="99"/>
            </w:tcBorders>
            <w:vAlign w:val="center"/>
          </w:tcPr>
          <w:p w14:paraId="02486D6F" w14:textId="77777777" w:rsidR="000419B1" w:rsidRPr="002A1FFB" w:rsidRDefault="00D753F5" w:rsidP="000419B1">
            <w:pPr>
              <w:rPr>
                <w:rFonts w:ascii="Calibri" w:hAnsi="Calibri" w:cs="Calibri"/>
                <w:b/>
                <w:iCs/>
                <w:color w:val="808080" w:themeColor="background1" w:themeShade="80"/>
                <w:sz w:val="21"/>
                <w:szCs w:val="21"/>
              </w:rPr>
            </w:pPr>
            <w:hyperlink r:id="rId26" w:history="1">
              <w:r w:rsidR="000419B1" w:rsidRPr="002A1FFB">
                <w:rPr>
                  <w:rStyle w:val="Hyperlink"/>
                  <w:rFonts w:ascii="Calibri" w:hAnsi="Calibri" w:cs="Calibri"/>
                  <w:b/>
                  <w:iCs/>
                  <w:color w:val="808080" w:themeColor="background1" w:themeShade="80"/>
                  <w:sz w:val="21"/>
                  <w:szCs w:val="21"/>
                </w:rPr>
                <w:t>% of landholdings undertaking a publicly supported Natural Capital approach</w:t>
              </w:r>
            </w:hyperlink>
          </w:p>
        </w:tc>
        <w:tc>
          <w:tcPr>
            <w:tcW w:w="3118" w:type="dxa"/>
            <w:tcBorders>
              <w:top w:val="single" w:sz="4" w:space="0" w:color="548DD4" w:themeColor="text2" w:themeTint="99"/>
              <w:bottom w:val="single" w:sz="4" w:space="0" w:color="548DD4" w:themeColor="text2" w:themeTint="99"/>
            </w:tcBorders>
            <w:vAlign w:val="center"/>
          </w:tcPr>
          <w:p w14:paraId="2F9AF159" w14:textId="45285903" w:rsidR="000419B1" w:rsidRPr="003A4D73" w:rsidRDefault="000C41B4" w:rsidP="000419B1">
            <w:pPr>
              <w:jc w:val="center"/>
              <w:rPr>
                <w:rFonts w:ascii="Calibri" w:hAnsi="Calibri" w:cs="Calibri"/>
              </w:rPr>
            </w:pPr>
            <w:r>
              <w:rPr>
                <w:rFonts w:ascii="Calibri" w:hAnsi="Calibri" w:cs="Calibri"/>
                <w:color w:val="808080" w:themeColor="background1" w:themeShade="80"/>
              </w:rPr>
              <w:t>No audits undertaken during Q4</w:t>
            </w:r>
          </w:p>
        </w:tc>
        <w:tc>
          <w:tcPr>
            <w:tcW w:w="996" w:type="dxa"/>
            <w:tcBorders>
              <w:top w:val="single" w:sz="4" w:space="0" w:color="548DD4" w:themeColor="text2" w:themeTint="99"/>
              <w:bottom w:val="single" w:sz="4" w:space="0" w:color="548DD4" w:themeColor="text2" w:themeTint="99"/>
            </w:tcBorders>
            <w:vAlign w:val="center"/>
          </w:tcPr>
          <w:p w14:paraId="6629BBBF" w14:textId="77777777" w:rsidR="000419B1" w:rsidRPr="00390F7A" w:rsidRDefault="000419B1" w:rsidP="000419B1">
            <w:pPr>
              <w:jc w:val="center"/>
              <w:rPr>
                <w:rFonts w:ascii="Calibri" w:hAnsi="Calibri" w:cs="Calibri"/>
                <w:b/>
                <w:color w:val="808080" w:themeColor="background1" w:themeShade="80"/>
                <w:sz w:val="19"/>
                <w:szCs w:val="19"/>
              </w:rPr>
            </w:pPr>
          </w:p>
        </w:tc>
        <w:tc>
          <w:tcPr>
            <w:tcW w:w="3544" w:type="dxa"/>
            <w:tcBorders>
              <w:top w:val="single" w:sz="4" w:space="0" w:color="548DD4" w:themeColor="text2" w:themeTint="99"/>
              <w:bottom w:val="single" w:sz="4" w:space="0" w:color="548DD4" w:themeColor="text2" w:themeTint="99"/>
            </w:tcBorders>
            <w:vAlign w:val="center"/>
          </w:tcPr>
          <w:p w14:paraId="6A148C1D" w14:textId="07413CAF" w:rsidR="000419B1" w:rsidRPr="00FA55E8" w:rsidRDefault="000419B1" w:rsidP="000419B1">
            <w:pPr>
              <w:jc w:val="both"/>
              <w:rPr>
                <w:rFonts w:ascii="Calibri" w:hAnsi="Calibri" w:cs="Calibri"/>
                <w:color w:val="808080" w:themeColor="background1" w:themeShade="80"/>
                <w:sz w:val="20"/>
                <w:szCs w:val="24"/>
              </w:rPr>
            </w:pPr>
            <w:r w:rsidRPr="00FA55E8">
              <w:rPr>
                <w:rFonts w:ascii="Calibri" w:hAnsi="Calibri" w:cs="Calibri"/>
                <w:color w:val="808080" w:themeColor="background1" w:themeShade="80"/>
                <w:sz w:val="20"/>
                <w:szCs w:val="24"/>
              </w:rPr>
              <w:t>No additional farms undertaking N</w:t>
            </w:r>
            <w:r w:rsidR="007420DE">
              <w:rPr>
                <w:rFonts w:ascii="Calibri" w:hAnsi="Calibri" w:cs="Calibri"/>
                <w:color w:val="808080" w:themeColor="background1" w:themeShade="80"/>
                <w:sz w:val="20"/>
                <w:szCs w:val="24"/>
              </w:rPr>
              <w:t xml:space="preserve">atural </w:t>
            </w:r>
            <w:r w:rsidRPr="00FA55E8">
              <w:rPr>
                <w:rFonts w:ascii="Calibri" w:hAnsi="Calibri" w:cs="Calibri"/>
                <w:color w:val="808080" w:themeColor="background1" w:themeShade="80"/>
                <w:sz w:val="20"/>
                <w:szCs w:val="24"/>
              </w:rPr>
              <w:t>C</w:t>
            </w:r>
            <w:r w:rsidR="007420DE">
              <w:rPr>
                <w:rFonts w:ascii="Calibri" w:hAnsi="Calibri" w:cs="Calibri"/>
                <w:color w:val="808080" w:themeColor="background1" w:themeShade="80"/>
                <w:sz w:val="20"/>
                <w:szCs w:val="24"/>
              </w:rPr>
              <w:t>apital</w:t>
            </w:r>
            <w:r w:rsidRPr="00FA55E8">
              <w:rPr>
                <w:rFonts w:ascii="Calibri" w:hAnsi="Calibri" w:cs="Calibri"/>
                <w:color w:val="808080" w:themeColor="background1" w:themeShade="80"/>
                <w:sz w:val="20"/>
                <w:szCs w:val="24"/>
              </w:rPr>
              <w:t xml:space="preserve"> Assessments through NatureScot Project 117814.</w:t>
            </w:r>
          </w:p>
        </w:tc>
        <w:tc>
          <w:tcPr>
            <w:tcW w:w="3691" w:type="dxa"/>
            <w:tcBorders>
              <w:top w:val="single" w:sz="4" w:space="0" w:color="548DD4" w:themeColor="text2" w:themeTint="99"/>
              <w:bottom w:val="single" w:sz="4" w:space="0" w:color="548DD4" w:themeColor="text2" w:themeTint="99"/>
            </w:tcBorders>
            <w:vAlign w:val="center"/>
          </w:tcPr>
          <w:p w14:paraId="31502CCC" w14:textId="59015B7B" w:rsidR="000419B1" w:rsidRPr="00FA55E8" w:rsidRDefault="00584BB7" w:rsidP="00584BB7">
            <w:pPr>
              <w:jc w:val="both"/>
              <w:rPr>
                <w:rFonts w:ascii="Calibri" w:hAnsi="Calibri" w:cs="Calibri"/>
                <w:color w:val="808080" w:themeColor="background1" w:themeShade="80"/>
                <w:sz w:val="20"/>
                <w:szCs w:val="24"/>
              </w:rPr>
            </w:pPr>
            <w:r w:rsidRPr="00584BB7">
              <w:rPr>
                <w:rFonts w:ascii="Calibri" w:hAnsi="Calibri" w:cs="Calibri"/>
                <w:color w:val="808080" w:themeColor="background1" w:themeShade="80"/>
                <w:sz w:val="20"/>
                <w:szCs w:val="24"/>
              </w:rPr>
              <w:t xml:space="preserve">The farm level natural capital assessment template project is paused, while we are in a phase of engagement with Scottish Government to disseminate the learnings of the project, and seek to influence them to incorporate natural capital approaches into the future rural support framework. </w:t>
            </w:r>
          </w:p>
        </w:tc>
      </w:tr>
      <w:tr w:rsidR="000419B1" w:rsidRPr="003A4D73" w14:paraId="77CB1175" w14:textId="77777777" w:rsidTr="00584BB7">
        <w:trPr>
          <w:trHeight w:hRule="exact" w:val="1531"/>
          <w:jc w:val="center"/>
        </w:trPr>
        <w:tc>
          <w:tcPr>
            <w:tcW w:w="959" w:type="dxa"/>
            <w:tcBorders>
              <w:top w:val="single" w:sz="4" w:space="0" w:color="548DD4" w:themeColor="text2" w:themeTint="99"/>
              <w:bottom w:val="single" w:sz="4" w:space="0" w:color="548DD4" w:themeColor="text2" w:themeTint="99"/>
            </w:tcBorders>
            <w:vAlign w:val="center"/>
          </w:tcPr>
          <w:p w14:paraId="2598A5DC" w14:textId="77777777" w:rsidR="000419B1" w:rsidRPr="003A4D73" w:rsidRDefault="000419B1" w:rsidP="000419B1">
            <w:pPr>
              <w:jc w:val="center"/>
              <w:rPr>
                <w:rFonts w:ascii="Calibri" w:hAnsi="Calibri" w:cs="Calibri"/>
                <w:b/>
                <w:color w:val="FF0000"/>
              </w:rPr>
            </w:pPr>
            <w:r w:rsidRPr="00851105">
              <w:rPr>
                <w:rFonts w:ascii="Calibri" w:hAnsi="Calibri" w:cs="Calibri"/>
                <w:b/>
                <w:color w:val="00B050"/>
              </w:rPr>
              <w:t>GREEN</w:t>
            </w:r>
          </w:p>
        </w:tc>
        <w:tc>
          <w:tcPr>
            <w:tcW w:w="2298" w:type="dxa"/>
            <w:tcBorders>
              <w:top w:val="single" w:sz="4" w:space="0" w:color="548DD4" w:themeColor="text2" w:themeTint="99"/>
              <w:bottom w:val="single" w:sz="4" w:space="0" w:color="548DD4" w:themeColor="text2" w:themeTint="99"/>
            </w:tcBorders>
            <w:vAlign w:val="center"/>
          </w:tcPr>
          <w:p w14:paraId="6C1FB5DF" w14:textId="77777777" w:rsidR="000419B1" w:rsidRPr="002A1FFB" w:rsidRDefault="00D753F5" w:rsidP="000419B1">
            <w:pPr>
              <w:rPr>
                <w:rFonts w:ascii="Calibri" w:hAnsi="Calibri" w:cs="Calibri"/>
                <w:b/>
                <w:iCs/>
                <w:color w:val="808080" w:themeColor="background1" w:themeShade="80"/>
                <w:sz w:val="21"/>
                <w:szCs w:val="21"/>
              </w:rPr>
            </w:pPr>
            <w:hyperlink r:id="rId27" w:history="1">
              <w:r w:rsidR="000419B1" w:rsidRPr="002A1FFB">
                <w:rPr>
                  <w:rStyle w:val="Hyperlink"/>
                  <w:rFonts w:ascii="Calibri" w:hAnsi="Calibri" w:cs="Calibri"/>
                  <w:b/>
                  <w:iCs/>
                  <w:color w:val="808080" w:themeColor="background1" w:themeShade="80"/>
                  <w:sz w:val="21"/>
                  <w:szCs w:val="21"/>
                </w:rPr>
                <w:t>National Nature Reserves online engagement</w:t>
              </w:r>
            </w:hyperlink>
          </w:p>
        </w:tc>
        <w:tc>
          <w:tcPr>
            <w:tcW w:w="3118" w:type="dxa"/>
            <w:tcBorders>
              <w:top w:val="single" w:sz="4" w:space="0" w:color="548DD4" w:themeColor="text2" w:themeTint="99"/>
              <w:bottom w:val="single" w:sz="4" w:space="0" w:color="548DD4" w:themeColor="text2" w:themeTint="99"/>
            </w:tcBorders>
            <w:vAlign w:val="center"/>
          </w:tcPr>
          <w:p w14:paraId="17911AC2" w14:textId="4731261F" w:rsidR="000419B1" w:rsidRPr="003A4D73" w:rsidRDefault="00CA780E" w:rsidP="000419B1">
            <w:pPr>
              <w:jc w:val="center"/>
              <w:rPr>
                <w:rFonts w:ascii="Calibri" w:hAnsi="Calibri" w:cs="Calibri"/>
              </w:rPr>
            </w:pPr>
            <w:r>
              <w:rPr>
                <w:rFonts w:ascii="Calibri" w:hAnsi="Calibri" w:cs="Calibri"/>
                <w:noProof/>
                <w:lang w:eastAsia="en-GB"/>
              </w:rPr>
              <w:drawing>
                <wp:inline distT="0" distB="0" distL="0" distR="0" wp14:anchorId="376FC647" wp14:editId="5C70CE40">
                  <wp:extent cx="1909445" cy="603250"/>
                  <wp:effectExtent l="0" t="0" r="0" b="6350"/>
                  <wp:docPr id="8" name="Picture 8" descr="graph" title="gra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909445" cy="603250"/>
                          </a:xfrm>
                          <a:prstGeom prst="rect">
                            <a:avLst/>
                          </a:prstGeom>
                          <a:noFill/>
                        </pic:spPr>
                      </pic:pic>
                    </a:graphicData>
                  </a:graphic>
                </wp:inline>
              </w:drawing>
            </w:r>
          </w:p>
        </w:tc>
        <w:tc>
          <w:tcPr>
            <w:tcW w:w="996" w:type="dxa"/>
            <w:tcBorders>
              <w:top w:val="single" w:sz="4" w:space="0" w:color="548DD4" w:themeColor="text2" w:themeTint="99"/>
              <w:bottom w:val="single" w:sz="4" w:space="0" w:color="548DD4" w:themeColor="text2" w:themeTint="99"/>
            </w:tcBorders>
            <w:vAlign w:val="center"/>
          </w:tcPr>
          <w:p w14:paraId="34BC49F0" w14:textId="275D04D5" w:rsidR="000419B1" w:rsidRPr="003D306D" w:rsidRDefault="00CA780E" w:rsidP="000419B1">
            <w:pPr>
              <w:rPr>
                <w:rFonts w:ascii="Calibri" w:hAnsi="Calibri" w:cs="Calibri"/>
                <w:color w:val="808080" w:themeColor="background1" w:themeShade="80"/>
                <w:sz w:val="19"/>
                <w:szCs w:val="19"/>
              </w:rPr>
            </w:pPr>
            <w:r>
              <w:rPr>
                <w:rFonts w:ascii="Calibri" w:hAnsi="Calibri" w:cs="Calibri"/>
                <w:color w:val="808080" w:themeColor="background1" w:themeShade="80"/>
                <w:sz w:val="19"/>
                <w:szCs w:val="19"/>
              </w:rPr>
              <w:t>538,624</w:t>
            </w:r>
          </w:p>
        </w:tc>
        <w:tc>
          <w:tcPr>
            <w:tcW w:w="3544" w:type="dxa"/>
            <w:tcBorders>
              <w:top w:val="single" w:sz="4" w:space="0" w:color="548DD4" w:themeColor="text2" w:themeTint="99"/>
              <w:bottom w:val="single" w:sz="4" w:space="0" w:color="548DD4" w:themeColor="text2" w:themeTint="99"/>
            </w:tcBorders>
            <w:vAlign w:val="center"/>
          </w:tcPr>
          <w:p w14:paraId="45F55B6E" w14:textId="77777777" w:rsidR="00CA780E" w:rsidRPr="00FA55E8" w:rsidRDefault="00CA780E" w:rsidP="008A515F">
            <w:pPr>
              <w:jc w:val="both"/>
              <w:rPr>
                <w:rFonts w:ascii="Calibri" w:hAnsi="Calibri" w:cs="Calibri"/>
                <w:color w:val="808080" w:themeColor="background1" w:themeShade="80"/>
                <w:sz w:val="20"/>
              </w:rPr>
            </w:pPr>
            <w:r w:rsidRPr="00FA55E8">
              <w:rPr>
                <w:rFonts w:ascii="Calibri" w:hAnsi="Calibri" w:cs="Calibri"/>
                <w:color w:val="808080" w:themeColor="background1" w:themeShade="80"/>
                <w:sz w:val="20"/>
              </w:rPr>
              <w:t xml:space="preserve">There has been a significant drop in engagement across the reserves. </w:t>
            </w:r>
          </w:p>
          <w:p w14:paraId="70C169D1" w14:textId="77777777" w:rsidR="00CA780E" w:rsidRPr="00FA55E8" w:rsidRDefault="00CA780E" w:rsidP="008A515F">
            <w:pPr>
              <w:jc w:val="both"/>
              <w:rPr>
                <w:rFonts w:ascii="Calibri" w:hAnsi="Calibri" w:cs="Calibri"/>
                <w:color w:val="808080" w:themeColor="background1" w:themeShade="80"/>
                <w:sz w:val="20"/>
              </w:rPr>
            </w:pPr>
            <w:r w:rsidRPr="00FA55E8">
              <w:rPr>
                <w:rFonts w:ascii="Calibri" w:hAnsi="Calibri" w:cs="Calibri"/>
                <w:color w:val="808080" w:themeColor="background1" w:themeShade="80"/>
                <w:sz w:val="20"/>
              </w:rPr>
              <w:t xml:space="preserve">We expect some decrease over autumn winter as online engagement reflects the level of visits on the ground. </w:t>
            </w:r>
          </w:p>
          <w:p w14:paraId="17FAE537" w14:textId="77777777" w:rsidR="000419B1" w:rsidRPr="00FA55E8" w:rsidRDefault="000419B1" w:rsidP="000419B1">
            <w:pPr>
              <w:jc w:val="both"/>
              <w:rPr>
                <w:rFonts w:ascii="Calibri" w:hAnsi="Calibri" w:cs="Calibri"/>
                <w:color w:val="808080" w:themeColor="background1" w:themeShade="80"/>
                <w:sz w:val="20"/>
              </w:rPr>
            </w:pPr>
          </w:p>
        </w:tc>
        <w:tc>
          <w:tcPr>
            <w:tcW w:w="3691" w:type="dxa"/>
            <w:tcBorders>
              <w:top w:val="single" w:sz="4" w:space="0" w:color="548DD4" w:themeColor="text2" w:themeTint="99"/>
              <w:bottom w:val="single" w:sz="4" w:space="0" w:color="548DD4" w:themeColor="text2" w:themeTint="99"/>
            </w:tcBorders>
            <w:vAlign w:val="center"/>
          </w:tcPr>
          <w:p w14:paraId="0F382408" w14:textId="56EA5F35" w:rsidR="000419B1" w:rsidRPr="00FA55E8" w:rsidRDefault="00CA780E" w:rsidP="00584BB7">
            <w:pPr>
              <w:jc w:val="both"/>
              <w:rPr>
                <w:rFonts w:ascii="Calibri" w:hAnsi="Calibri" w:cs="Calibri"/>
                <w:color w:val="808080" w:themeColor="background1" w:themeShade="80"/>
                <w:sz w:val="20"/>
              </w:rPr>
            </w:pPr>
            <w:r w:rsidRPr="00FA55E8">
              <w:rPr>
                <w:rFonts w:ascii="Calibri" w:hAnsi="Calibri" w:cs="Calibri"/>
                <w:color w:val="808080" w:themeColor="background1" w:themeShade="80"/>
                <w:sz w:val="20"/>
              </w:rPr>
              <w:t xml:space="preserve">Further investigation needed as to why the drop has been more significant this quarter. We will follow up with reserves where social media posts are lower than expected.  </w:t>
            </w:r>
          </w:p>
        </w:tc>
      </w:tr>
    </w:tbl>
    <w:p w14:paraId="4469AB71" w14:textId="77777777" w:rsidR="000419B1" w:rsidRDefault="000419B1" w:rsidP="000419B1">
      <w:pPr>
        <w:spacing w:after="160" w:line="259" w:lineRule="auto"/>
        <w:rPr>
          <w:rFonts w:ascii="Calibri" w:eastAsiaTheme="majorEastAsia" w:hAnsi="Calibri" w:cs="Calibri"/>
          <w:b/>
          <w:szCs w:val="26"/>
        </w:rPr>
      </w:pPr>
    </w:p>
    <w:p w14:paraId="24E2E44C" w14:textId="77777777" w:rsidR="000419B1" w:rsidRPr="00FB3B80" w:rsidRDefault="000419B1" w:rsidP="000419B1">
      <w:pPr>
        <w:pStyle w:val="Heading2"/>
        <w:shd w:val="clear" w:color="auto" w:fill="007DC3"/>
        <w:jc w:val="center"/>
        <w:rPr>
          <w:rFonts w:ascii="Calibri" w:hAnsi="Calibri" w:cs="Calibri"/>
        </w:rPr>
      </w:pPr>
      <w:r w:rsidRPr="00FB3B80">
        <w:rPr>
          <w:rFonts w:ascii="Calibri" w:hAnsi="Calibri" w:cs="Calibri"/>
        </w:rPr>
        <w:lastRenderedPageBreak/>
        <w:t>WE HAVE TRANSFORMED HOW WE WORK</w:t>
      </w:r>
    </w:p>
    <w:tbl>
      <w:tblPr>
        <w:tblStyle w:val="TableGrid"/>
        <w:tblW w:w="146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We have transformed how we work measures"/>
        <w:tblDescription w:val="An update at the end of this quarter for all of the measures that sit under 'we have transformed how we work'"/>
      </w:tblPr>
      <w:tblGrid>
        <w:gridCol w:w="959"/>
        <w:gridCol w:w="2298"/>
        <w:gridCol w:w="3118"/>
        <w:gridCol w:w="996"/>
        <w:gridCol w:w="3544"/>
        <w:gridCol w:w="3691"/>
      </w:tblGrid>
      <w:tr w:rsidR="000419B1" w:rsidRPr="00F56679" w14:paraId="492C22CD" w14:textId="77777777" w:rsidTr="000C41B4">
        <w:trPr>
          <w:tblHeader/>
          <w:jc w:val="center"/>
        </w:trPr>
        <w:tc>
          <w:tcPr>
            <w:tcW w:w="959" w:type="dxa"/>
            <w:tcBorders>
              <w:bottom w:val="single" w:sz="4" w:space="0" w:color="548DD4" w:themeColor="text2" w:themeTint="99"/>
            </w:tcBorders>
          </w:tcPr>
          <w:p w14:paraId="2F5CEDB5" w14:textId="77777777" w:rsidR="000419B1" w:rsidRPr="00F56679" w:rsidRDefault="000419B1" w:rsidP="000419B1">
            <w:pPr>
              <w:jc w:val="center"/>
              <w:rPr>
                <w:rFonts w:ascii="Calibri" w:hAnsi="Calibri" w:cs="Calibri"/>
                <w:b/>
              </w:rPr>
            </w:pPr>
            <w:r>
              <w:rPr>
                <w:rFonts w:ascii="Calibri" w:hAnsi="Calibri" w:cs="Calibri"/>
                <w:b/>
              </w:rPr>
              <w:t>Score</w:t>
            </w:r>
          </w:p>
        </w:tc>
        <w:tc>
          <w:tcPr>
            <w:tcW w:w="2298" w:type="dxa"/>
            <w:tcBorders>
              <w:bottom w:val="single" w:sz="4" w:space="0" w:color="548DD4" w:themeColor="text2" w:themeTint="99"/>
            </w:tcBorders>
          </w:tcPr>
          <w:p w14:paraId="1B181824" w14:textId="77777777" w:rsidR="000419B1" w:rsidRPr="00F56679" w:rsidRDefault="000419B1" w:rsidP="000419B1">
            <w:pPr>
              <w:jc w:val="center"/>
              <w:rPr>
                <w:rFonts w:ascii="Calibri" w:hAnsi="Calibri" w:cs="Calibri"/>
                <w:b/>
              </w:rPr>
            </w:pPr>
            <w:r w:rsidRPr="00F56679">
              <w:rPr>
                <w:rFonts w:ascii="Calibri" w:hAnsi="Calibri" w:cs="Calibri"/>
                <w:b/>
              </w:rPr>
              <w:t>Measure</w:t>
            </w:r>
          </w:p>
        </w:tc>
        <w:tc>
          <w:tcPr>
            <w:tcW w:w="3118" w:type="dxa"/>
            <w:tcBorders>
              <w:bottom w:val="single" w:sz="4" w:space="0" w:color="548DD4" w:themeColor="text2" w:themeTint="99"/>
            </w:tcBorders>
          </w:tcPr>
          <w:p w14:paraId="0662D953" w14:textId="77777777" w:rsidR="000419B1" w:rsidRPr="00F56679" w:rsidRDefault="000419B1" w:rsidP="000419B1">
            <w:pPr>
              <w:jc w:val="center"/>
              <w:rPr>
                <w:rFonts w:ascii="Calibri" w:hAnsi="Calibri" w:cs="Calibri"/>
                <w:b/>
              </w:rPr>
            </w:pPr>
            <w:r>
              <w:rPr>
                <w:rFonts w:ascii="Calibri" w:hAnsi="Calibri" w:cs="Calibri"/>
                <w:b/>
              </w:rPr>
              <w:t>Performance Overview</w:t>
            </w:r>
          </w:p>
        </w:tc>
        <w:tc>
          <w:tcPr>
            <w:tcW w:w="996" w:type="dxa"/>
            <w:tcBorders>
              <w:bottom w:val="single" w:sz="4" w:space="0" w:color="548DD4" w:themeColor="text2" w:themeTint="99"/>
            </w:tcBorders>
          </w:tcPr>
          <w:p w14:paraId="1937FA21" w14:textId="77777777" w:rsidR="000419B1" w:rsidRPr="00F56679" w:rsidRDefault="000419B1" w:rsidP="000419B1">
            <w:pPr>
              <w:jc w:val="center"/>
              <w:rPr>
                <w:rFonts w:ascii="Calibri" w:hAnsi="Calibri" w:cs="Calibri"/>
                <w:b/>
              </w:rPr>
            </w:pPr>
            <w:r w:rsidRPr="00F56679">
              <w:rPr>
                <w:rFonts w:ascii="Calibri" w:hAnsi="Calibri" w:cs="Calibri"/>
                <w:b/>
              </w:rPr>
              <w:t>Actual</w:t>
            </w:r>
          </w:p>
        </w:tc>
        <w:tc>
          <w:tcPr>
            <w:tcW w:w="3544" w:type="dxa"/>
            <w:tcBorders>
              <w:bottom w:val="single" w:sz="4" w:space="0" w:color="548DD4" w:themeColor="text2" w:themeTint="99"/>
            </w:tcBorders>
          </w:tcPr>
          <w:p w14:paraId="13838794" w14:textId="77777777" w:rsidR="000419B1" w:rsidRPr="00F56679" w:rsidRDefault="000419B1" w:rsidP="000419B1">
            <w:pPr>
              <w:jc w:val="center"/>
              <w:rPr>
                <w:rFonts w:ascii="Calibri" w:hAnsi="Calibri" w:cs="Calibri"/>
                <w:b/>
              </w:rPr>
            </w:pPr>
            <w:r w:rsidRPr="00F56679">
              <w:rPr>
                <w:rFonts w:ascii="Calibri" w:hAnsi="Calibri" w:cs="Calibri"/>
                <w:b/>
              </w:rPr>
              <w:t>Cause</w:t>
            </w:r>
          </w:p>
        </w:tc>
        <w:tc>
          <w:tcPr>
            <w:tcW w:w="3691" w:type="dxa"/>
            <w:tcBorders>
              <w:bottom w:val="single" w:sz="4" w:space="0" w:color="548DD4" w:themeColor="text2" w:themeTint="99"/>
            </w:tcBorders>
          </w:tcPr>
          <w:p w14:paraId="37F4E619" w14:textId="77777777" w:rsidR="000419B1" w:rsidRPr="00F56679" w:rsidRDefault="000419B1" w:rsidP="000419B1">
            <w:pPr>
              <w:jc w:val="center"/>
              <w:rPr>
                <w:rFonts w:ascii="Calibri" w:hAnsi="Calibri" w:cs="Calibri"/>
                <w:b/>
              </w:rPr>
            </w:pPr>
            <w:r w:rsidRPr="00F56679">
              <w:rPr>
                <w:rFonts w:ascii="Calibri" w:hAnsi="Calibri" w:cs="Calibri"/>
                <w:b/>
              </w:rPr>
              <w:t>Response</w:t>
            </w:r>
          </w:p>
        </w:tc>
      </w:tr>
      <w:tr w:rsidR="000C41B4" w:rsidRPr="003A4D73" w14:paraId="1C340BFF" w14:textId="77777777" w:rsidTr="000C41B4">
        <w:trPr>
          <w:trHeight w:hRule="exact" w:val="1384"/>
          <w:jc w:val="center"/>
        </w:trPr>
        <w:tc>
          <w:tcPr>
            <w:tcW w:w="959" w:type="dxa"/>
            <w:tcBorders>
              <w:top w:val="single" w:sz="4" w:space="0" w:color="548DD4" w:themeColor="text2" w:themeTint="99"/>
              <w:bottom w:val="single" w:sz="4" w:space="0" w:color="548DD4" w:themeColor="text2" w:themeTint="99"/>
            </w:tcBorders>
            <w:vAlign w:val="center"/>
          </w:tcPr>
          <w:p w14:paraId="3D3FE485" w14:textId="0C5BD5CF" w:rsidR="000C41B4" w:rsidRPr="00930F18" w:rsidRDefault="000C41B4" w:rsidP="000C41B4">
            <w:pPr>
              <w:jc w:val="center"/>
              <w:rPr>
                <w:rFonts w:ascii="Calibri" w:hAnsi="Calibri" w:cs="Calibri"/>
                <w:b/>
                <w:color w:val="808080" w:themeColor="background1" w:themeShade="80"/>
              </w:rPr>
            </w:pPr>
            <w:r>
              <w:rPr>
                <w:rFonts w:ascii="Calibri" w:hAnsi="Calibri" w:cs="Calibri"/>
                <w:color w:val="808080" w:themeColor="background1" w:themeShade="80"/>
              </w:rPr>
              <w:t>N/A</w:t>
            </w:r>
          </w:p>
        </w:tc>
        <w:tc>
          <w:tcPr>
            <w:tcW w:w="2298" w:type="dxa"/>
            <w:tcBorders>
              <w:top w:val="single" w:sz="4" w:space="0" w:color="548DD4" w:themeColor="text2" w:themeTint="99"/>
              <w:bottom w:val="single" w:sz="4" w:space="0" w:color="548DD4" w:themeColor="text2" w:themeTint="99"/>
            </w:tcBorders>
            <w:vAlign w:val="center"/>
          </w:tcPr>
          <w:p w14:paraId="572E982F" w14:textId="65B350FD" w:rsidR="000C41B4" w:rsidRPr="00F2033F" w:rsidRDefault="00D753F5" w:rsidP="000C41B4">
            <w:pPr>
              <w:rPr>
                <w:rFonts w:ascii="Calibri" w:hAnsi="Calibri" w:cs="Calibri"/>
                <w:b/>
                <w:iCs/>
                <w:color w:val="808080" w:themeColor="background1" w:themeShade="80"/>
                <w:sz w:val="21"/>
                <w:szCs w:val="21"/>
              </w:rPr>
            </w:pPr>
            <w:hyperlink r:id="rId29" w:history="1">
              <w:r w:rsidR="000C41B4" w:rsidRPr="00F2033F">
                <w:rPr>
                  <w:rStyle w:val="Hyperlink"/>
                  <w:rFonts w:ascii="Calibri" w:hAnsi="Calibri" w:cs="Calibri"/>
                  <w:iCs/>
                  <w:color w:val="808080" w:themeColor="background1" w:themeShade="80"/>
                  <w:sz w:val="21"/>
                  <w:szCs w:val="21"/>
                </w:rPr>
                <w:t>Workforce diversity - Age</w:t>
              </w:r>
            </w:hyperlink>
          </w:p>
        </w:tc>
        <w:tc>
          <w:tcPr>
            <w:tcW w:w="3118" w:type="dxa"/>
            <w:tcBorders>
              <w:top w:val="single" w:sz="4" w:space="0" w:color="548DD4" w:themeColor="text2" w:themeTint="99"/>
              <w:bottom w:val="single" w:sz="4" w:space="0" w:color="548DD4" w:themeColor="text2" w:themeTint="99"/>
            </w:tcBorders>
            <w:vAlign w:val="center"/>
          </w:tcPr>
          <w:p w14:paraId="3191230F" w14:textId="73298A1D" w:rsidR="000C41B4" w:rsidRPr="003A4D73" w:rsidRDefault="000C41B4" w:rsidP="000C41B4">
            <w:pPr>
              <w:jc w:val="center"/>
              <w:rPr>
                <w:rFonts w:ascii="Calibri" w:hAnsi="Calibri" w:cs="Calibri"/>
              </w:rPr>
            </w:pPr>
            <w:r>
              <w:rPr>
                <w:rFonts w:ascii="Calibri" w:hAnsi="Calibri" w:cs="Calibri"/>
                <w:i/>
                <w:noProof/>
                <w:lang w:eastAsia="en-GB"/>
              </w:rPr>
              <w:drawing>
                <wp:inline distT="0" distB="0" distL="0" distR="0" wp14:anchorId="1BA47F76" wp14:editId="56238956">
                  <wp:extent cx="1916617" cy="464023"/>
                  <wp:effectExtent l="0" t="0" r="7620" b="0"/>
                  <wp:docPr id="18" name="Picture 18" descr="graph" title="gra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916617" cy="464023"/>
                          </a:xfrm>
                          <a:prstGeom prst="rect">
                            <a:avLst/>
                          </a:prstGeom>
                          <a:noFill/>
                        </pic:spPr>
                      </pic:pic>
                    </a:graphicData>
                  </a:graphic>
                </wp:inline>
              </w:drawing>
            </w:r>
          </w:p>
        </w:tc>
        <w:tc>
          <w:tcPr>
            <w:tcW w:w="996" w:type="dxa"/>
            <w:tcBorders>
              <w:top w:val="single" w:sz="4" w:space="0" w:color="548DD4" w:themeColor="text2" w:themeTint="99"/>
              <w:bottom w:val="single" w:sz="4" w:space="0" w:color="548DD4" w:themeColor="text2" w:themeTint="99"/>
            </w:tcBorders>
            <w:vAlign w:val="center"/>
          </w:tcPr>
          <w:p w14:paraId="27FAC414" w14:textId="4933CA3B" w:rsidR="000C41B4" w:rsidRPr="003D306D" w:rsidRDefault="000C41B4" w:rsidP="000C41B4">
            <w:pPr>
              <w:jc w:val="center"/>
              <w:rPr>
                <w:rFonts w:ascii="Calibri" w:hAnsi="Calibri" w:cs="Calibri"/>
                <w:color w:val="808080" w:themeColor="background1" w:themeShade="80"/>
                <w:sz w:val="19"/>
                <w:szCs w:val="19"/>
              </w:rPr>
            </w:pPr>
          </w:p>
        </w:tc>
        <w:tc>
          <w:tcPr>
            <w:tcW w:w="3544" w:type="dxa"/>
            <w:tcBorders>
              <w:top w:val="single" w:sz="4" w:space="0" w:color="548DD4" w:themeColor="text2" w:themeTint="99"/>
              <w:bottom w:val="single" w:sz="4" w:space="0" w:color="548DD4" w:themeColor="text2" w:themeTint="99"/>
            </w:tcBorders>
            <w:vAlign w:val="center"/>
          </w:tcPr>
          <w:p w14:paraId="5A40EDA2" w14:textId="37083DAA" w:rsidR="000C41B4" w:rsidRPr="00FA55E8" w:rsidRDefault="0092028E" w:rsidP="0092028E">
            <w:pPr>
              <w:jc w:val="both"/>
              <w:rPr>
                <w:rFonts w:ascii="Calibri" w:hAnsi="Calibri" w:cs="Calibri"/>
                <w:color w:val="808080" w:themeColor="background1" w:themeShade="80"/>
                <w:sz w:val="20"/>
                <w:szCs w:val="20"/>
              </w:rPr>
            </w:pPr>
            <w:r w:rsidRPr="00FA55E8">
              <w:rPr>
                <w:color w:val="808080" w:themeColor="background1" w:themeShade="80"/>
                <w:sz w:val="20"/>
                <w:szCs w:val="20"/>
              </w:rPr>
              <w:t>Over the financial year compared to 21/22 there has been an increase all age ranges except 45-54 &amp; 65+, the most significant increase was in the age range 25-34 with a change of 93</w:t>
            </w:r>
          </w:p>
        </w:tc>
        <w:tc>
          <w:tcPr>
            <w:tcW w:w="3691" w:type="dxa"/>
            <w:tcBorders>
              <w:top w:val="single" w:sz="4" w:space="0" w:color="548DD4" w:themeColor="text2" w:themeTint="99"/>
              <w:bottom w:val="single" w:sz="4" w:space="0" w:color="548DD4" w:themeColor="text2" w:themeTint="99"/>
            </w:tcBorders>
            <w:vAlign w:val="center"/>
          </w:tcPr>
          <w:p w14:paraId="07E94CCD" w14:textId="6752E94D" w:rsidR="000C41B4" w:rsidRPr="00FA55E8" w:rsidRDefault="0092028E" w:rsidP="007420DE">
            <w:pPr>
              <w:jc w:val="both"/>
              <w:rPr>
                <w:color w:val="808080" w:themeColor="background1" w:themeShade="80"/>
                <w:sz w:val="20"/>
                <w:szCs w:val="20"/>
              </w:rPr>
            </w:pPr>
            <w:r w:rsidRPr="00FA55E8">
              <w:rPr>
                <w:color w:val="808080" w:themeColor="background1" w:themeShade="80"/>
                <w:sz w:val="20"/>
                <w:szCs w:val="20"/>
              </w:rPr>
              <w:t>In 23/24 as part of the People Programme, there will be a review of our talent acquisition and recruitment process and main streaming P</w:t>
            </w:r>
            <w:r w:rsidR="007420DE">
              <w:rPr>
                <w:color w:val="808080" w:themeColor="background1" w:themeShade="80"/>
                <w:sz w:val="20"/>
                <w:szCs w:val="20"/>
              </w:rPr>
              <w:t xml:space="preserve">rogramme for </w:t>
            </w:r>
            <w:r w:rsidRPr="00FA55E8">
              <w:rPr>
                <w:color w:val="808080" w:themeColor="background1" w:themeShade="80"/>
                <w:sz w:val="20"/>
                <w:szCs w:val="20"/>
              </w:rPr>
              <w:t>Y</w:t>
            </w:r>
            <w:r w:rsidR="007420DE">
              <w:rPr>
                <w:color w:val="808080" w:themeColor="background1" w:themeShade="80"/>
                <w:sz w:val="20"/>
                <w:szCs w:val="20"/>
              </w:rPr>
              <w:t xml:space="preserve">outh </w:t>
            </w:r>
            <w:r w:rsidRPr="00FA55E8">
              <w:rPr>
                <w:color w:val="808080" w:themeColor="background1" w:themeShade="80"/>
                <w:sz w:val="20"/>
                <w:szCs w:val="20"/>
              </w:rPr>
              <w:t>E</w:t>
            </w:r>
            <w:r w:rsidR="007420DE">
              <w:rPr>
                <w:color w:val="808080" w:themeColor="background1" w:themeShade="80"/>
                <w:sz w:val="20"/>
                <w:szCs w:val="20"/>
              </w:rPr>
              <w:t>mployment (PYE)</w:t>
            </w:r>
            <w:r w:rsidRPr="00FA55E8">
              <w:rPr>
                <w:color w:val="808080" w:themeColor="background1" w:themeShade="80"/>
                <w:sz w:val="20"/>
                <w:szCs w:val="20"/>
              </w:rPr>
              <w:t xml:space="preserve"> is key.</w:t>
            </w:r>
          </w:p>
        </w:tc>
      </w:tr>
      <w:tr w:rsidR="000C41B4" w:rsidRPr="003A4D73" w14:paraId="72774B2F" w14:textId="77777777" w:rsidTr="007420DE">
        <w:trPr>
          <w:trHeight w:hRule="exact" w:val="1020"/>
          <w:jc w:val="center"/>
        </w:trPr>
        <w:tc>
          <w:tcPr>
            <w:tcW w:w="959" w:type="dxa"/>
            <w:tcBorders>
              <w:top w:val="single" w:sz="4" w:space="0" w:color="548DD4" w:themeColor="text2" w:themeTint="99"/>
              <w:bottom w:val="single" w:sz="4" w:space="0" w:color="548DD4" w:themeColor="text2" w:themeTint="99"/>
            </w:tcBorders>
            <w:vAlign w:val="center"/>
          </w:tcPr>
          <w:p w14:paraId="13BCFFF8" w14:textId="62D8E8F8" w:rsidR="000C41B4" w:rsidRPr="00B36E02" w:rsidRDefault="000C41B4" w:rsidP="000C41B4">
            <w:pPr>
              <w:jc w:val="center"/>
              <w:rPr>
                <w:rFonts w:ascii="Calibri" w:hAnsi="Calibri" w:cs="Calibri"/>
                <w:b/>
                <w:color w:val="FF0000"/>
              </w:rPr>
            </w:pPr>
            <w:r w:rsidRPr="000E487D">
              <w:rPr>
                <w:rFonts w:ascii="Calibri" w:hAnsi="Calibri" w:cs="Calibri"/>
                <w:b/>
                <w:color w:val="F79646" w:themeColor="accent6"/>
              </w:rPr>
              <w:t>AMBER</w:t>
            </w:r>
          </w:p>
        </w:tc>
        <w:tc>
          <w:tcPr>
            <w:tcW w:w="2298" w:type="dxa"/>
            <w:tcBorders>
              <w:top w:val="single" w:sz="4" w:space="0" w:color="548DD4" w:themeColor="text2" w:themeTint="99"/>
              <w:bottom w:val="single" w:sz="4" w:space="0" w:color="548DD4" w:themeColor="text2" w:themeTint="99"/>
            </w:tcBorders>
            <w:vAlign w:val="center"/>
          </w:tcPr>
          <w:p w14:paraId="54B487C3" w14:textId="4104DA41" w:rsidR="000C41B4" w:rsidRPr="00F2033F" w:rsidRDefault="00D753F5" w:rsidP="000C41B4">
            <w:pPr>
              <w:rPr>
                <w:rFonts w:ascii="Calibri" w:hAnsi="Calibri" w:cs="Calibri"/>
                <w:b/>
                <w:iCs/>
                <w:color w:val="808080" w:themeColor="background1" w:themeShade="80"/>
                <w:sz w:val="21"/>
                <w:szCs w:val="21"/>
              </w:rPr>
            </w:pPr>
            <w:hyperlink r:id="rId31" w:history="1">
              <w:r w:rsidR="000C41B4" w:rsidRPr="00F2033F">
                <w:rPr>
                  <w:rStyle w:val="Hyperlink"/>
                  <w:rFonts w:ascii="Calibri" w:hAnsi="Calibri" w:cs="Calibri"/>
                  <w:b/>
                  <w:iCs/>
                  <w:color w:val="808080" w:themeColor="background1" w:themeShade="80"/>
                  <w:sz w:val="21"/>
                  <w:szCs w:val="21"/>
                </w:rPr>
                <w:t>Workforce diversity - Disability</w:t>
              </w:r>
            </w:hyperlink>
          </w:p>
        </w:tc>
        <w:tc>
          <w:tcPr>
            <w:tcW w:w="3118" w:type="dxa"/>
            <w:tcBorders>
              <w:top w:val="single" w:sz="4" w:space="0" w:color="548DD4" w:themeColor="text2" w:themeTint="99"/>
              <w:bottom w:val="single" w:sz="4" w:space="0" w:color="548DD4" w:themeColor="text2" w:themeTint="99"/>
            </w:tcBorders>
            <w:vAlign w:val="center"/>
          </w:tcPr>
          <w:p w14:paraId="2CC9264C" w14:textId="1455FAA0" w:rsidR="000C41B4" w:rsidRPr="003A4D73" w:rsidRDefault="000C41B4" w:rsidP="000C41B4">
            <w:pPr>
              <w:jc w:val="center"/>
              <w:rPr>
                <w:rFonts w:ascii="Calibri" w:hAnsi="Calibri" w:cs="Calibri"/>
              </w:rPr>
            </w:pPr>
            <w:r>
              <w:rPr>
                <w:rFonts w:ascii="Calibri" w:hAnsi="Calibri" w:cs="Calibri"/>
                <w:noProof/>
                <w:lang w:eastAsia="en-GB"/>
              </w:rPr>
              <w:drawing>
                <wp:inline distT="0" distB="0" distL="0" distR="0" wp14:anchorId="417C927C" wp14:editId="5C0A1FB6">
                  <wp:extent cx="1781033" cy="626599"/>
                  <wp:effectExtent l="0" t="0" r="0" b="2540"/>
                  <wp:docPr id="10" name="Picture 10" descr="graph" title="gra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822135" cy="641059"/>
                          </a:xfrm>
                          <a:prstGeom prst="rect">
                            <a:avLst/>
                          </a:prstGeom>
                          <a:noFill/>
                        </pic:spPr>
                      </pic:pic>
                    </a:graphicData>
                  </a:graphic>
                </wp:inline>
              </w:drawing>
            </w:r>
          </w:p>
        </w:tc>
        <w:tc>
          <w:tcPr>
            <w:tcW w:w="996" w:type="dxa"/>
            <w:tcBorders>
              <w:top w:val="single" w:sz="4" w:space="0" w:color="548DD4" w:themeColor="text2" w:themeTint="99"/>
              <w:bottom w:val="single" w:sz="4" w:space="0" w:color="548DD4" w:themeColor="text2" w:themeTint="99"/>
            </w:tcBorders>
            <w:vAlign w:val="center"/>
          </w:tcPr>
          <w:p w14:paraId="3BCEFF03" w14:textId="76E4F910" w:rsidR="000C41B4" w:rsidRPr="00930F18" w:rsidRDefault="000C41B4" w:rsidP="000C41B4">
            <w:pPr>
              <w:jc w:val="center"/>
              <w:rPr>
                <w:rFonts w:ascii="Calibri" w:hAnsi="Calibri" w:cs="Calibri"/>
                <w:color w:val="808080" w:themeColor="background1" w:themeShade="80"/>
                <w:sz w:val="18"/>
                <w:szCs w:val="19"/>
              </w:rPr>
            </w:pPr>
          </w:p>
        </w:tc>
        <w:tc>
          <w:tcPr>
            <w:tcW w:w="3544" w:type="dxa"/>
            <w:tcBorders>
              <w:top w:val="single" w:sz="4" w:space="0" w:color="548DD4" w:themeColor="text2" w:themeTint="99"/>
              <w:bottom w:val="single" w:sz="4" w:space="0" w:color="548DD4" w:themeColor="text2" w:themeTint="99"/>
            </w:tcBorders>
            <w:vAlign w:val="center"/>
          </w:tcPr>
          <w:p w14:paraId="0F19E1EC" w14:textId="26F5D9BB" w:rsidR="000C41B4" w:rsidRPr="00FA55E8" w:rsidRDefault="0092028E" w:rsidP="0092028E">
            <w:pPr>
              <w:jc w:val="both"/>
              <w:rPr>
                <w:rFonts w:ascii="Calibri" w:hAnsi="Calibri" w:cs="Calibri"/>
                <w:color w:val="808080" w:themeColor="background1" w:themeShade="80"/>
                <w:sz w:val="20"/>
                <w:szCs w:val="20"/>
              </w:rPr>
            </w:pPr>
            <w:r w:rsidRPr="00FA55E8">
              <w:rPr>
                <w:rFonts w:ascii="Calibri" w:hAnsi="Calibri" w:cs="Calibri"/>
                <w:color w:val="808080" w:themeColor="background1" w:themeShade="80"/>
                <w:sz w:val="20"/>
                <w:szCs w:val="20"/>
              </w:rPr>
              <w:t>Disclosure continues to remain low, further campaigns to encourage disclosure is key</w:t>
            </w:r>
          </w:p>
        </w:tc>
        <w:tc>
          <w:tcPr>
            <w:tcW w:w="3691" w:type="dxa"/>
            <w:tcBorders>
              <w:top w:val="single" w:sz="4" w:space="0" w:color="548DD4" w:themeColor="text2" w:themeTint="99"/>
              <w:bottom w:val="single" w:sz="4" w:space="0" w:color="548DD4" w:themeColor="text2" w:themeTint="99"/>
            </w:tcBorders>
            <w:vAlign w:val="center"/>
          </w:tcPr>
          <w:p w14:paraId="6EFCC750" w14:textId="2E2E1B37" w:rsidR="000C41B4" w:rsidRPr="00FA55E8" w:rsidRDefault="0092028E" w:rsidP="0092028E">
            <w:pPr>
              <w:jc w:val="both"/>
              <w:rPr>
                <w:color w:val="808080" w:themeColor="background1" w:themeShade="80"/>
                <w:sz w:val="20"/>
                <w:szCs w:val="20"/>
              </w:rPr>
            </w:pPr>
            <w:r w:rsidRPr="00FA55E8">
              <w:rPr>
                <w:color w:val="808080" w:themeColor="background1" w:themeShade="80"/>
                <w:sz w:val="20"/>
                <w:szCs w:val="20"/>
              </w:rPr>
              <w:t xml:space="preserve">In 2023/24, there will be continued work on </w:t>
            </w:r>
            <w:r w:rsidR="007420DE" w:rsidRPr="00FA55E8">
              <w:rPr>
                <w:rFonts w:ascii="Calibri" w:hAnsi="Calibri" w:cs="Calibri"/>
                <w:color w:val="808080"/>
                <w:sz w:val="20"/>
                <w:szCs w:val="20"/>
              </w:rPr>
              <w:t>E</w:t>
            </w:r>
            <w:r w:rsidR="007420DE">
              <w:rPr>
                <w:rFonts w:ascii="Calibri" w:hAnsi="Calibri" w:cs="Calibri"/>
                <w:color w:val="808080"/>
                <w:sz w:val="20"/>
                <w:szCs w:val="20"/>
              </w:rPr>
              <w:t xml:space="preserve">quality, </w:t>
            </w:r>
            <w:r w:rsidR="007420DE" w:rsidRPr="00FA55E8">
              <w:rPr>
                <w:rFonts w:ascii="Calibri" w:hAnsi="Calibri" w:cs="Calibri"/>
                <w:color w:val="808080"/>
                <w:sz w:val="20"/>
                <w:szCs w:val="20"/>
              </w:rPr>
              <w:t>D</w:t>
            </w:r>
            <w:r w:rsidR="007420DE">
              <w:rPr>
                <w:rFonts w:ascii="Calibri" w:hAnsi="Calibri" w:cs="Calibri"/>
                <w:color w:val="808080"/>
                <w:sz w:val="20"/>
                <w:szCs w:val="20"/>
              </w:rPr>
              <w:t xml:space="preserve">iversity &amp; Inclusion (EDI) </w:t>
            </w:r>
            <w:r w:rsidRPr="00FA55E8">
              <w:rPr>
                <w:color w:val="808080" w:themeColor="background1" w:themeShade="80"/>
                <w:sz w:val="20"/>
                <w:szCs w:val="20"/>
              </w:rPr>
              <w:t>actions and increasing disclosure through campaign and visible support.</w:t>
            </w:r>
          </w:p>
        </w:tc>
      </w:tr>
      <w:tr w:rsidR="000C41B4" w:rsidRPr="003A4D73" w14:paraId="40F93233" w14:textId="77777777" w:rsidTr="007420DE">
        <w:trPr>
          <w:trHeight w:hRule="exact" w:val="850"/>
          <w:jc w:val="center"/>
        </w:trPr>
        <w:tc>
          <w:tcPr>
            <w:tcW w:w="959" w:type="dxa"/>
            <w:tcBorders>
              <w:top w:val="single" w:sz="4" w:space="0" w:color="548DD4" w:themeColor="text2" w:themeTint="99"/>
              <w:bottom w:val="single" w:sz="4" w:space="0" w:color="548DD4" w:themeColor="text2" w:themeTint="99"/>
            </w:tcBorders>
            <w:vAlign w:val="center"/>
          </w:tcPr>
          <w:p w14:paraId="658C457B" w14:textId="2C15B69F" w:rsidR="000C41B4" w:rsidRPr="003A4D73" w:rsidRDefault="000C41B4" w:rsidP="000C41B4">
            <w:pPr>
              <w:jc w:val="center"/>
              <w:rPr>
                <w:rFonts w:ascii="Calibri" w:hAnsi="Calibri" w:cs="Calibri"/>
                <w:b/>
                <w:color w:val="FF0000"/>
              </w:rPr>
            </w:pPr>
            <w:r w:rsidRPr="000E487D">
              <w:rPr>
                <w:rFonts w:ascii="Calibri" w:hAnsi="Calibri" w:cs="Calibri"/>
                <w:b/>
                <w:color w:val="F79646" w:themeColor="accent6"/>
              </w:rPr>
              <w:t>AMBER</w:t>
            </w:r>
          </w:p>
        </w:tc>
        <w:tc>
          <w:tcPr>
            <w:tcW w:w="2298" w:type="dxa"/>
            <w:tcBorders>
              <w:top w:val="single" w:sz="4" w:space="0" w:color="548DD4" w:themeColor="text2" w:themeTint="99"/>
              <w:bottom w:val="single" w:sz="4" w:space="0" w:color="548DD4" w:themeColor="text2" w:themeTint="99"/>
            </w:tcBorders>
            <w:vAlign w:val="center"/>
          </w:tcPr>
          <w:p w14:paraId="51525FD1" w14:textId="551EF7AF" w:rsidR="000C41B4" w:rsidRPr="00F2033F" w:rsidRDefault="00D753F5" w:rsidP="000C41B4">
            <w:pPr>
              <w:rPr>
                <w:rFonts w:ascii="Calibri" w:hAnsi="Calibri" w:cs="Calibri"/>
                <w:b/>
                <w:iCs/>
                <w:color w:val="808080" w:themeColor="background1" w:themeShade="80"/>
                <w:sz w:val="21"/>
                <w:szCs w:val="21"/>
              </w:rPr>
            </w:pPr>
            <w:hyperlink r:id="rId33" w:history="1">
              <w:r w:rsidR="000C41B4" w:rsidRPr="00F2033F">
                <w:rPr>
                  <w:rStyle w:val="Hyperlink"/>
                  <w:rFonts w:ascii="Calibri" w:hAnsi="Calibri" w:cs="Calibri"/>
                  <w:b/>
                  <w:iCs/>
                  <w:color w:val="808080" w:themeColor="background1" w:themeShade="80"/>
                  <w:sz w:val="21"/>
                  <w:szCs w:val="21"/>
                </w:rPr>
                <w:t>Workforce diversity - Ethnicity</w:t>
              </w:r>
            </w:hyperlink>
          </w:p>
        </w:tc>
        <w:tc>
          <w:tcPr>
            <w:tcW w:w="3118" w:type="dxa"/>
            <w:tcBorders>
              <w:top w:val="single" w:sz="4" w:space="0" w:color="548DD4" w:themeColor="text2" w:themeTint="99"/>
              <w:bottom w:val="single" w:sz="4" w:space="0" w:color="548DD4" w:themeColor="text2" w:themeTint="99"/>
            </w:tcBorders>
            <w:vAlign w:val="center"/>
          </w:tcPr>
          <w:p w14:paraId="6032B07D" w14:textId="4027860B" w:rsidR="000C41B4" w:rsidRPr="003A4D73" w:rsidRDefault="000C41B4" w:rsidP="000C41B4">
            <w:pPr>
              <w:jc w:val="center"/>
              <w:rPr>
                <w:rFonts w:ascii="Calibri" w:hAnsi="Calibri" w:cs="Calibri"/>
              </w:rPr>
            </w:pPr>
            <w:r>
              <w:rPr>
                <w:rFonts w:ascii="Calibri" w:hAnsi="Calibri" w:cs="Calibri"/>
                <w:noProof/>
                <w:lang w:eastAsia="en-GB"/>
              </w:rPr>
              <w:drawing>
                <wp:inline distT="0" distB="0" distL="0" distR="0" wp14:anchorId="474E1C9A" wp14:editId="4D61C996">
                  <wp:extent cx="1920840" cy="409433"/>
                  <wp:effectExtent l="0" t="0" r="3810" b="0"/>
                  <wp:docPr id="11" name="Picture 11" descr="graph" title="gra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001748" cy="426679"/>
                          </a:xfrm>
                          <a:prstGeom prst="rect">
                            <a:avLst/>
                          </a:prstGeom>
                          <a:noFill/>
                        </pic:spPr>
                      </pic:pic>
                    </a:graphicData>
                  </a:graphic>
                </wp:inline>
              </w:drawing>
            </w:r>
          </w:p>
        </w:tc>
        <w:tc>
          <w:tcPr>
            <w:tcW w:w="996" w:type="dxa"/>
            <w:tcBorders>
              <w:top w:val="single" w:sz="4" w:space="0" w:color="548DD4" w:themeColor="text2" w:themeTint="99"/>
              <w:bottom w:val="single" w:sz="4" w:space="0" w:color="548DD4" w:themeColor="text2" w:themeTint="99"/>
            </w:tcBorders>
            <w:vAlign w:val="center"/>
          </w:tcPr>
          <w:p w14:paraId="13A983E7" w14:textId="6CEDB927" w:rsidR="000C41B4" w:rsidRPr="00930F18" w:rsidRDefault="000C41B4" w:rsidP="000C41B4">
            <w:pPr>
              <w:jc w:val="center"/>
              <w:rPr>
                <w:rFonts w:ascii="Calibri" w:hAnsi="Calibri" w:cs="Calibri"/>
                <w:color w:val="808080" w:themeColor="background1" w:themeShade="80"/>
                <w:sz w:val="18"/>
                <w:szCs w:val="19"/>
              </w:rPr>
            </w:pPr>
          </w:p>
        </w:tc>
        <w:tc>
          <w:tcPr>
            <w:tcW w:w="3544" w:type="dxa"/>
            <w:tcBorders>
              <w:top w:val="single" w:sz="4" w:space="0" w:color="548DD4" w:themeColor="text2" w:themeTint="99"/>
              <w:bottom w:val="single" w:sz="4" w:space="0" w:color="548DD4" w:themeColor="text2" w:themeTint="99"/>
            </w:tcBorders>
            <w:vAlign w:val="center"/>
          </w:tcPr>
          <w:p w14:paraId="6935FC3F" w14:textId="784C3E97" w:rsidR="000C41B4" w:rsidRPr="00FA55E8" w:rsidRDefault="0092028E" w:rsidP="0092028E">
            <w:pPr>
              <w:jc w:val="both"/>
              <w:rPr>
                <w:rFonts w:ascii="Calibri" w:hAnsi="Calibri" w:cs="Calibri"/>
                <w:color w:val="808080" w:themeColor="background1" w:themeShade="80"/>
                <w:sz w:val="20"/>
                <w:szCs w:val="20"/>
              </w:rPr>
            </w:pPr>
            <w:r w:rsidRPr="00FA55E8">
              <w:rPr>
                <w:rFonts w:ascii="Calibri" w:hAnsi="Calibri" w:cs="Calibri"/>
                <w:color w:val="808080"/>
                <w:sz w:val="20"/>
                <w:szCs w:val="20"/>
              </w:rPr>
              <w:t>Cause remains cultural norms. We continue to work in Partnership to tackle these.</w:t>
            </w:r>
          </w:p>
        </w:tc>
        <w:tc>
          <w:tcPr>
            <w:tcW w:w="3691" w:type="dxa"/>
            <w:tcBorders>
              <w:top w:val="single" w:sz="4" w:space="0" w:color="548DD4" w:themeColor="text2" w:themeTint="99"/>
              <w:bottom w:val="single" w:sz="4" w:space="0" w:color="548DD4" w:themeColor="text2" w:themeTint="99"/>
            </w:tcBorders>
            <w:vAlign w:val="center"/>
          </w:tcPr>
          <w:p w14:paraId="571AFA17" w14:textId="50E3E7BB" w:rsidR="000C41B4" w:rsidRPr="00FA55E8" w:rsidRDefault="0092028E" w:rsidP="007420DE">
            <w:pPr>
              <w:jc w:val="both"/>
              <w:rPr>
                <w:sz w:val="20"/>
                <w:szCs w:val="20"/>
              </w:rPr>
            </w:pPr>
            <w:r w:rsidRPr="00FA55E8">
              <w:rPr>
                <w:rFonts w:ascii="Calibri" w:hAnsi="Calibri" w:cs="Calibri"/>
                <w:color w:val="808080"/>
                <w:sz w:val="20"/>
                <w:szCs w:val="20"/>
              </w:rPr>
              <w:t xml:space="preserve">In 2023/24, </w:t>
            </w:r>
            <w:r w:rsidR="007420DE">
              <w:rPr>
                <w:rFonts w:ascii="Calibri" w:hAnsi="Calibri" w:cs="Calibri"/>
                <w:color w:val="808080"/>
                <w:sz w:val="20"/>
                <w:szCs w:val="20"/>
              </w:rPr>
              <w:t>Ther</w:t>
            </w:r>
            <w:r w:rsidR="00584BB7">
              <w:rPr>
                <w:rFonts w:ascii="Calibri" w:hAnsi="Calibri" w:cs="Calibri"/>
                <w:color w:val="808080"/>
                <w:sz w:val="20"/>
                <w:szCs w:val="20"/>
              </w:rPr>
              <w:t xml:space="preserve">e will be continued work on EDI </w:t>
            </w:r>
            <w:r w:rsidRPr="00FA55E8">
              <w:rPr>
                <w:rFonts w:ascii="Calibri" w:hAnsi="Calibri" w:cs="Calibri"/>
                <w:color w:val="808080"/>
                <w:sz w:val="20"/>
                <w:szCs w:val="20"/>
              </w:rPr>
              <w:t>actions and increasing opportunities within diverse communities. </w:t>
            </w:r>
          </w:p>
        </w:tc>
      </w:tr>
      <w:tr w:rsidR="006D4551" w:rsidRPr="003A4D73" w14:paraId="730A6FF9" w14:textId="77777777" w:rsidTr="00FA55E8">
        <w:trPr>
          <w:trHeight w:hRule="exact" w:val="1796"/>
          <w:jc w:val="center"/>
        </w:trPr>
        <w:tc>
          <w:tcPr>
            <w:tcW w:w="959" w:type="dxa"/>
            <w:tcBorders>
              <w:top w:val="single" w:sz="4" w:space="0" w:color="548DD4" w:themeColor="text2" w:themeTint="99"/>
              <w:bottom w:val="single" w:sz="4" w:space="0" w:color="548DD4" w:themeColor="text2" w:themeTint="99"/>
            </w:tcBorders>
            <w:vAlign w:val="center"/>
          </w:tcPr>
          <w:p w14:paraId="3307B34F" w14:textId="77777777" w:rsidR="006D4551" w:rsidRPr="003A4D73" w:rsidRDefault="006D4551" w:rsidP="006D4551">
            <w:pPr>
              <w:jc w:val="center"/>
              <w:rPr>
                <w:rFonts w:ascii="Calibri" w:hAnsi="Calibri" w:cs="Calibri"/>
                <w:b/>
                <w:color w:val="FF0000"/>
              </w:rPr>
            </w:pPr>
            <w:r w:rsidRPr="002A1FFB">
              <w:rPr>
                <w:rFonts w:ascii="Calibri" w:hAnsi="Calibri" w:cs="Calibri"/>
                <w:b/>
                <w:color w:val="00B050"/>
              </w:rPr>
              <w:t>GREEN</w:t>
            </w:r>
          </w:p>
        </w:tc>
        <w:tc>
          <w:tcPr>
            <w:tcW w:w="2298" w:type="dxa"/>
            <w:tcBorders>
              <w:top w:val="single" w:sz="4" w:space="0" w:color="548DD4" w:themeColor="text2" w:themeTint="99"/>
              <w:bottom w:val="single" w:sz="4" w:space="0" w:color="548DD4" w:themeColor="text2" w:themeTint="99"/>
            </w:tcBorders>
            <w:vAlign w:val="center"/>
          </w:tcPr>
          <w:p w14:paraId="49769CF0" w14:textId="77777777" w:rsidR="006D4551" w:rsidRPr="00675DB4" w:rsidRDefault="00D753F5" w:rsidP="006D4551">
            <w:pPr>
              <w:rPr>
                <w:rFonts w:ascii="Calibri" w:hAnsi="Calibri" w:cs="Calibri"/>
                <w:b/>
                <w:iCs/>
                <w:color w:val="808080" w:themeColor="background1" w:themeShade="80"/>
                <w:sz w:val="21"/>
                <w:szCs w:val="21"/>
              </w:rPr>
            </w:pPr>
            <w:hyperlink r:id="rId35" w:history="1">
              <w:r w:rsidR="006D4551" w:rsidRPr="00055F9E">
                <w:rPr>
                  <w:rStyle w:val="Hyperlink"/>
                  <w:rFonts w:ascii="Calibri" w:hAnsi="Calibri" w:cs="Calibri"/>
                  <w:b/>
                  <w:iCs/>
                  <w:color w:val="808080" w:themeColor="background1" w:themeShade="80"/>
                  <w:sz w:val="21"/>
                  <w:szCs w:val="21"/>
                </w:rPr>
                <w:t>Total emissions</w:t>
              </w:r>
            </w:hyperlink>
          </w:p>
        </w:tc>
        <w:tc>
          <w:tcPr>
            <w:tcW w:w="3118" w:type="dxa"/>
            <w:tcBorders>
              <w:top w:val="single" w:sz="4" w:space="0" w:color="548DD4" w:themeColor="text2" w:themeTint="99"/>
              <w:bottom w:val="single" w:sz="4" w:space="0" w:color="548DD4" w:themeColor="text2" w:themeTint="99"/>
            </w:tcBorders>
            <w:vAlign w:val="center"/>
          </w:tcPr>
          <w:p w14:paraId="666F88B7" w14:textId="38B9C355" w:rsidR="006D4551" w:rsidRPr="001F13D5" w:rsidRDefault="008A515F" w:rsidP="006D4551">
            <w:pPr>
              <w:jc w:val="center"/>
              <w:rPr>
                <w:rFonts w:ascii="Calibri" w:hAnsi="Calibri" w:cs="Calibri"/>
                <w:color w:val="808080" w:themeColor="background1" w:themeShade="80"/>
              </w:rPr>
            </w:pPr>
            <w:r>
              <w:rPr>
                <w:rFonts w:ascii="Calibri" w:hAnsi="Calibri" w:cs="Calibri"/>
                <w:i/>
                <w:noProof/>
                <w:lang w:eastAsia="en-GB"/>
              </w:rPr>
              <w:drawing>
                <wp:inline distT="0" distB="0" distL="0" distR="0" wp14:anchorId="498770CA" wp14:editId="206D59B9">
                  <wp:extent cx="1856095" cy="998536"/>
                  <wp:effectExtent l="0" t="0" r="0" b="0"/>
                  <wp:docPr id="20" name="Picture 20" descr="graph" title="gra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964139" cy="1056661"/>
                          </a:xfrm>
                          <a:prstGeom prst="rect">
                            <a:avLst/>
                          </a:prstGeom>
                          <a:noFill/>
                        </pic:spPr>
                      </pic:pic>
                    </a:graphicData>
                  </a:graphic>
                </wp:inline>
              </w:drawing>
            </w:r>
          </w:p>
        </w:tc>
        <w:tc>
          <w:tcPr>
            <w:tcW w:w="996" w:type="dxa"/>
            <w:tcBorders>
              <w:top w:val="single" w:sz="4" w:space="0" w:color="548DD4" w:themeColor="text2" w:themeTint="99"/>
              <w:bottom w:val="single" w:sz="4" w:space="0" w:color="548DD4" w:themeColor="text2" w:themeTint="99"/>
            </w:tcBorders>
            <w:vAlign w:val="center"/>
          </w:tcPr>
          <w:p w14:paraId="5FDCB30A" w14:textId="3C303787" w:rsidR="006D4551" w:rsidRPr="001F13D5" w:rsidRDefault="00036CE2" w:rsidP="006D4551">
            <w:pPr>
              <w:jc w:val="center"/>
              <w:rPr>
                <w:rFonts w:ascii="Calibri" w:hAnsi="Calibri" w:cs="Calibri"/>
                <w:color w:val="808080" w:themeColor="background1" w:themeShade="80"/>
                <w:sz w:val="19"/>
                <w:szCs w:val="19"/>
              </w:rPr>
            </w:pPr>
            <w:r>
              <w:rPr>
                <w:rFonts w:ascii="Calibri" w:hAnsi="Calibri" w:cs="Calibri"/>
                <w:color w:val="808080" w:themeColor="background1" w:themeShade="80"/>
                <w:sz w:val="19"/>
                <w:szCs w:val="19"/>
              </w:rPr>
              <w:t>424,500</w:t>
            </w:r>
          </w:p>
        </w:tc>
        <w:tc>
          <w:tcPr>
            <w:tcW w:w="3544" w:type="dxa"/>
            <w:tcBorders>
              <w:top w:val="single" w:sz="4" w:space="0" w:color="548DD4" w:themeColor="text2" w:themeTint="99"/>
              <w:bottom w:val="single" w:sz="4" w:space="0" w:color="548DD4" w:themeColor="text2" w:themeTint="99"/>
            </w:tcBorders>
            <w:vAlign w:val="center"/>
          </w:tcPr>
          <w:p w14:paraId="30CD6951" w14:textId="0541C7CA" w:rsidR="006D4551" w:rsidRPr="00FA55E8" w:rsidRDefault="00C06BA4" w:rsidP="006D4551">
            <w:pPr>
              <w:jc w:val="both"/>
              <w:rPr>
                <w:rFonts w:ascii="Calibri" w:hAnsi="Calibri" w:cs="Calibri"/>
                <w:color w:val="808080" w:themeColor="background1" w:themeShade="80"/>
                <w:sz w:val="20"/>
                <w:szCs w:val="20"/>
              </w:rPr>
            </w:pPr>
            <w:r w:rsidRPr="00FA55E8">
              <w:rPr>
                <w:rFonts w:ascii="Calibri" w:hAnsi="Calibri" w:cs="Calibri"/>
                <w:color w:val="808080" w:themeColor="background1" w:themeShade="80"/>
                <w:sz w:val="20"/>
                <w:szCs w:val="20"/>
              </w:rPr>
              <w:t>These fluctuations were due to Covid-19 regulations and so we have returned to normal levels pre-Covid and so in the future we are likely to increase emissions.</w:t>
            </w:r>
          </w:p>
        </w:tc>
        <w:tc>
          <w:tcPr>
            <w:tcW w:w="3691" w:type="dxa"/>
            <w:tcBorders>
              <w:top w:val="single" w:sz="4" w:space="0" w:color="548DD4" w:themeColor="text2" w:themeTint="99"/>
              <w:bottom w:val="single" w:sz="4" w:space="0" w:color="548DD4" w:themeColor="text2" w:themeTint="99"/>
            </w:tcBorders>
            <w:vAlign w:val="center"/>
          </w:tcPr>
          <w:p w14:paraId="534E045E" w14:textId="3ED57639" w:rsidR="006D4551" w:rsidRPr="00FA55E8" w:rsidRDefault="00C06BA4" w:rsidP="007420DE">
            <w:pPr>
              <w:jc w:val="both"/>
              <w:rPr>
                <w:rFonts w:ascii="Calibri" w:hAnsi="Calibri" w:cs="Calibri"/>
                <w:color w:val="808080" w:themeColor="background1" w:themeShade="80"/>
                <w:sz w:val="20"/>
                <w:szCs w:val="20"/>
              </w:rPr>
            </w:pPr>
            <w:r w:rsidRPr="00FA55E8">
              <w:rPr>
                <w:rFonts w:ascii="Calibri" w:hAnsi="Calibri" w:cs="Calibri"/>
                <w:color w:val="808080" w:themeColor="background1" w:themeShade="80"/>
                <w:sz w:val="20"/>
                <w:szCs w:val="20"/>
              </w:rPr>
              <w:t>There is ongoing work through Net Zero Projects to reduce building emissions although this is a long process in early days. There is also work transitioning to an electric fle</w:t>
            </w:r>
            <w:r w:rsidR="00C87458">
              <w:rPr>
                <w:rFonts w:ascii="Calibri" w:hAnsi="Calibri" w:cs="Calibri"/>
                <w:color w:val="808080" w:themeColor="background1" w:themeShade="80"/>
                <w:sz w:val="20"/>
                <w:szCs w:val="20"/>
              </w:rPr>
              <w:t xml:space="preserve">et of vehicles. Organisational </w:t>
            </w:r>
            <w:r w:rsidR="007420DE">
              <w:rPr>
                <w:rFonts w:ascii="Calibri" w:hAnsi="Calibri" w:cs="Calibri"/>
                <w:color w:val="808080" w:themeColor="background1" w:themeShade="80"/>
                <w:sz w:val="20"/>
                <w:szCs w:val="20"/>
              </w:rPr>
              <w:t>approach will a</w:t>
            </w:r>
            <w:r w:rsidRPr="00FA55E8">
              <w:rPr>
                <w:rFonts w:ascii="Calibri" w:hAnsi="Calibri" w:cs="Calibri"/>
                <w:color w:val="808080" w:themeColor="background1" w:themeShade="80"/>
                <w:sz w:val="20"/>
                <w:szCs w:val="20"/>
              </w:rPr>
              <w:t>ffect travel emissions in the future.</w:t>
            </w:r>
          </w:p>
        </w:tc>
      </w:tr>
      <w:tr w:rsidR="006D4551" w:rsidRPr="003A4D73" w14:paraId="2489657A" w14:textId="77777777" w:rsidTr="00FA55E8">
        <w:trPr>
          <w:trHeight w:hRule="exact" w:val="2117"/>
          <w:jc w:val="center"/>
        </w:trPr>
        <w:tc>
          <w:tcPr>
            <w:tcW w:w="959" w:type="dxa"/>
            <w:tcBorders>
              <w:top w:val="single" w:sz="4" w:space="0" w:color="548DD4" w:themeColor="text2" w:themeTint="99"/>
              <w:bottom w:val="single" w:sz="4" w:space="0" w:color="548DD4" w:themeColor="text2" w:themeTint="99"/>
            </w:tcBorders>
            <w:vAlign w:val="center"/>
          </w:tcPr>
          <w:p w14:paraId="72769DE3" w14:textId="77777777" w:rsidR="006D4551" w:rsidRPr="003A4D73" w:rsidRDefault="006D4551" w:rsidP="006D4551">
            <w:pPr>
              <w:jc w:val="center"/>
              <w:rPr>
                <w:rFonts w:ascii="Calibri" w:hAnsi="Calibri" w:cs="Calibri"/>
                <w:b/>
                <w:color w:val="FF0000"/>
              </w:rPr>
            </w:pPr>
            <w:r w:rsidRPr="002A1FFB">
              <w:rPr>
                <w:rFonts w:ascii="Calibri" w:hAnsi="Calibri" w:cs="Calibri"/>
                <w:b/>
                <w:color w:val="00B050"/>
              </w:rPr>
              <w:t>GREEN</w:t>
            </w:r>
          </w:p>
        </w:tc>
        <w:tc>
          <w:tcPr>
            <w:tcW w:w="2298" w:type="dxa"/>
            <w:tcBorders>
              <w:top w:val="single" w:sz="4" w:space="0" w:color="548DD4" w:themeColor="text2" w:themeTint="99"/>
              <w:bottom w:val="single" w:sz="4" w:space="0" w:color="548DD4" w:themeColor="text2" w:themeTint="99"/>
            </w:tcBorders>
            <w:vAlign w:val="center"/>
          </w:tcPr>
          <w:p w14:paraId="4B94062D" w14:textId="77777777" w:rsidR="006D4551" w:rsidRPr="00675DB4" w:rsidRDefault="00D753F5" w:rsidP="006D4551">
            <w:pPr>
              <w:rPr>
                <w:rFonts w:ascii="Calibri" w:hAnsi="Calibri" w:cs="Calibri"/>
                <w:b/>
                <w:iCs/>
                <w:color w:val="808080" w:themeColor="background1" w:themeShade="80"/>
                <w:sz w:val="21"/>
                <w:szCs w:val="21"/>
              </w:rPr>
            </w:pPr>
            <w:hyperlink r:id="rId37" w:history="1">
              <w:r w:rsidR="006D4551" w:rsidRPr="001F13D5">
                <w:rPr>
                  <w:rStyle w:val="Hyperlink"/>
                  <w:rFonts w:ascii="Calibri" w:hAnsi="Calibri" w:cs="Calibri"/>
                  <w:b/>
                  <w:iCs/>
                  <w:color w:val="808080" w:themeColor="background1" w:themeShade="80"/>
                  <w:sz w:val="21"/>
                  <w:szCs w:val="21"/>
                </w:rPr>
                <w:t>Reach in mainstream media</w:t>
              </w:r>
            </w:hyperlink>
          </w:p>
        </w:tc>
        <w:tc>
          <w:tcPr>
            <w:tcW w:w="3118" w:type="dxa"/>
            <w:tcBorders>
              <w:top w:val="single" w:sz="4" w:space="0" w:color="548DD4" w:themeColor="text2" w:themeTint="99"/>
              <w:bottom w:val="single" w:sz="4" w:space="0" w:color="548DD4" w:themeColor="text2" w:themeTint="99"/>
            </w:tcBorders>
            <w:vAlign w:val="center"/>
          </w:tcPr>
          <w:p w14:paraId="08BDB7CE" w14:textId="3C0AA138" w:rsidR="006D4551" w:rsidRPr="003A4D73" w:rsidRDefault="00036CE2" w:rsidP="006D4551">
            <w:pPr>
              <w:jc w:val="center"/>
              <w:rPr>
                <w:rFonts w:ascii="Calibri" w:hAnsi="Calibri" w:cs="Calibri"/>
              </w:rPr>
            </w:pPr>
            <w:r>
              <w:rPr>
                <w:rFonts w:ascii="Calibri" w:hAnsi="Calibri" w:cs="Calibri"/>
                <w:noProof/>
                <w:lang w:eastAsia="en-GB"/>
              </w:rPr>
              <w:drawing>
                <wp:inline distT="0" distB="0" distL="0" distR="0" wp14:anchorId="543817C8" wp14:editId="152B31AC">
                  <wp:extent cx="1911896" cy="552734"/>
                  <wp:effectExtent l="0" t="0" r="0" b="0"/>
                  <wp:docPr id="21" name="Picture 21" descr="graph" title="gra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921244" cy="555436"/>
                          </a:xfrm>
                          <a:prstGeom prst="rect">
                            <a:avLst/>
                          </a:prstGeom>
                          <a:noFill/>
                        </pic:spPr>
                      </pic:pic>
                    </a:graphicData>
                  </a:graphic>
                </wp:inline>
              </w:drawing>
            </w:r>
          </w:p>
        </w:tc>
        <w:tc>
          <w:tcPr>
            <w:tcW w:w="996" w:type="dxa"/>
            <w:tcBorders>
              <w:top w:val="single" w:sz="4" w:space="0" w:color="548DD4" w:themeColor="text2" w:themeTint="99"/>
              <w:bottom w:val="single" w:sz="4" w:space="0" w:color="548DD4" w:themeColor="text2" w:themeTint="99"/>
            </w:tcBorders>
            <w:vAlign w:val="center"/>
          </w:tcPr>
          <w:p w14:paraId="057235FD" w14:textId="77777777" w:rsidR="008A515F" w:rsidRDefault="008A515F" w:rsidP="008A515F">
            <w:pPr>
              <w:rPr>
                <w:rFonts w:cs="Arial"/>
                <w:color w:val="808080"/>
                <w:sz w:val="20"/>
                <w:szCs w:val="20"/>
              </w:rPr>
            </w:pPr>
            <w:r>
              <w:rPr>
                <w:rFonts w:cs="Arial"/>
                <w:color w:val="808080"/>
                <w:sz w:val="20"/>
                <w:szCs w:val="20"/>
              </w:rPr>
              <w:t>228</w:t>
            </w:r>
          </w:p>
          <w:p w14:paraId="650B73AE" w14:textId="098DDFF7" w:rsidR="006D4551" w:rsidRPr="00B173B7" w:rsidRDefault="008A515F" w:rsidP="008A515F">
            <w:pPr>
              <w:jc w:val="center"/>
              <w:rPr>
                <w:rFonts w:ascii="Calibri" w:hAnsi="Calibri" w:cs="Calibri"/>
                <w:color w:val="808080" w:themeColor="background1" w:themeShade="80"/>
                <w:sz w:val="21"/>
                <w:szCs w:val="21"/>
              </w:rPr>
            </w:pPr>
            <w:r>
              <w:rPr>
                <w:rFonts w:ascii="Calibri" w:hAnsi="Calibri" w:cs="Calibri"/>
                <w:color w:val="808080" w:themeColor="background1" w:themeShade="80"/>
              </w:rPr>
              <w:t>Million</w:t>
            </w:r>
          </w:p>
        </w:tc>
        <w:tc>
          <w:tcPr>
            <w:tcW w:w="3544" w:type="dxa"/>
            <w:tcBorders>
              <w:top w:val="single" w:sz="4" w:space="0" w:color="548DD4" w:themeColor="text2" w:themeTint="99"/>
              <w:bottom w:val="single" w:sz="4" w:space="0" w:color="548DD4" w:themeColor="text2" w:themeTint="99"/>
            </w:tcBorders>
            <w:vAlign w:val="center"/>
          </w:tcPr>
          <w:p w14:paraId="58CBEB4C" w14:textId="7C9D1D59" w:rsidR="006D4551" w:rsidRPr="00FA55E8" w:rsidRDefault="006D4551" w:rsidP="00584BB7">
            <w:pPr>
              <w:jc w:val="both"/>
              <w:rPr>
                <w:rFonts w:ascii="Calibri" w:hAnsi="Calibri" w:cs="Calibri"/>
                <w:b/>
                <w:color w:val="808080" w:themeColor="background1" w:themeShade="80"/>
                <w:sz w:val="20"/>
                <w:szCs w:val="20"/>
              </w:rPr>
            </w:pPr>
            <w:r w:rsidRPr="00FA55E8">
              <w:rPr>
                <w:rFonts w:ascii="Calibri" w:hAnsi="Calibri" w:cs="Calibri"/>
                <w:color w:val="808080" w:themeColor="background1" w:themeShade="80"/>
                <w:sz w:val="20"/>
                <w:szCs w:val="20"/>
              </w:rPr>
              <w:t> </w:t>
            </w:r>
            <w:r w:rsidR="00036CE2" w:rsidRPr="00FA55E8">
              <w:rPr>
                <w:rFonts w:ascii="Calibri" w:hAnsi="Calibri" w:cs="Calibri"/>
                <w:color w:val="808080" w:themeColor="background1" w:themeShade="80"/>
                <w:sz w:val="20"/>
                <w:szCs w:val="20"/>
              </w:rPr>
              <w:t>These results continue the strong coverage trend of climate change and nature with similar but higher figures to Q1 (346m) and Q3 (361) but are down from Q2 (519m). This is line with expectations, as Q2 included all media coverage of the avian flu situation at its peak</w:t>
            </w:r>
          </w:p>
        </w:tc>
        <w:tc>
          <w:tcPr>
            <w:tcW w:w="3691" w:type="dxa"/>
            <w:tcBorders>
              <w:top w:val="single" w:sz="4" w:space="0" w:color="548DD4" w:themeColor="text2" w:themeTint="99"/>
              <w:bottom w:val="single" w:sz="4" w:space="0" w:color="548DD4" w:themeColor="text2" w:themeTint="99"/>
            </w:tcBorders>
            <w:vAlign w:val="center"/>
          </w:tcPr>
          <w:p w14:paraId="220E957B" w14:textId="0FD67E1E" w:rsidR="006D4551" w:rsidRPr="00441B0D" w:rsidRDefault="00441B0D" w:rsidP="00584BB7">
            <w:pPr>
              <w:jc w:val="both"/>
              <w:rPr>
                <w:rFonts w:ascii="Calibri" w:hAnsi="Calibri" w:cs="Calibri"/>
                <w:color w:val="808080" w:themeColor="background1" w:themeShade="80"/>
                <w:sz w:val="20"/>
                <w:szCs w:val="20"/>
              </w:rPr>
            </w:pPr>
            <w:r w:rsidRPr="00441B0D">
              <w:rPr>
                <w:rFonts w:ascii="Calibri" w:hAnsi="Calibri" w:cs="Calibri"/>
                <w:color w:val="808080" w:themeColor="background1" w:themeShade="80"/>
                <w:sz w:val="20"/>
                <w:szCs w:val="20"/>
              </w:rPr>
              <w:t>We will continue our work developing strong stories for the media, focussed particularly on biodiversity, marine and wildlife management and expect strong interest in climate change-related issues, HPMA, avian flu and deer management in part</w:t>
            </w:r>
            <w:r>
              <w:rPr>
                <w:rFonts w:ascii="Calibri" w:hAnsi="Calibri" w:cs="Calibri"/>
                <w:color w:val="808080" w:themeColor="background1" w:themeShade="80"/>
                <w:sz w:val="20"/>
                <w:szCs w:val="20"/>
              </w:rPr>
              <w:t>icular.</w:t>
            </w:r>
          </w:p>
        </w:tc>
      </w:tr>
      <w:tr w:rsidR="006D4551" w:rsidRPr="003A4D73" w14:paraId="12BE1F72" w14:textId="77777777" w:rsidTr="000C41B4">
        <w:trPr>
          <w:trHeight w:hRule="exact" w:val="1134"/>
          <w:jc w:val="center"/>
        </w:trPr>
        <w:tc>
          <w:tcPr>
            <w:tcW w:w="959" w:type="dxa"/>
            <w:tcBorders>
              <w:top w:val="single" w:sz="4" w:space="0" w:color="548DD4" w:themeColor="text2" w:themeTint="99"/>
              <w:bottom w:val="single" w:sz="4" w:space="0" w:color="548DD4" w:themeColor="text2" w:themeTint="99"/>
            </w:tcBorders>
            <w:vAlign w:val="center"/>
          </w:tcPr>
          <w:p w14:paraId="4606D256" w14:textId="77777777" w:rsidR="006D4551" w:rsidRPr="00520416" w:rsidRDefault="006D4551" w:rsidP="006D4551">
            <w:pPr>
              <w:jc w:val="center"/>
              <w:rPr>
                <w:rFonts w:ascii="Calibri" w:hAnsi="Calibri" w:cs="Calibri"/>
                <w:b/>
                <w:color w:val="808080" w:themeColor="background1" w:themeShade="80"/>
              </w:rPr>
            </w:pPr>
            <w:r w:rsidRPr="00851105">
              <w:rPr>
                <w:rFonts w:ascii="Calibri" w:hAnsi="Calibri" w:cs="Calibri"/>
                <w:b/>
                <w:color w:val="00B050"/>
              </w:rPr>
              <w:t>GREEN</w:t>
            </w:r>
          </w:p>
        </w:tc>
        <w:tc>
          <w:tcPr>
            <w:tcW w:w="2298" w:type="dxa"/>
            <w:tcBorders>
              <w:top w:val="single" w:sz="4" w:space="0" w:color="548DD4" w:themeColor="text2" w:themeTint="99"/>
              <w:bottom w:val="single" w:sz="4" w:space="0" w:color="548DD4" w:themeColor="text2" w:themeTint="99"/>
            </w:tcBorders>
            <w:vAlign w:val="center"/>
          </w:tcPr>
          <w:p w14:paraId="0EBFFEFE" w14:textId="77777777" w:rsidR="006D4551" w:rsidRPr="00675DB4" w:rsidRDefault="00D753F5" w:rsidP="006D4551">
            <w:pPr>
              <w:rPr>
                <w:rFonts w:ascii="Calibri" w:hAnsi="Calibri" w:cs="Calibri"/>
                <w:b/>
                <w:iCs/>
                <w:color w:val="808080" w:themeColor="background1" w:themeShade="80"/>
                <w:sz w:val="21"/>
                <w:szCs w:val="21"/>
              </w:rPr>
            </w:pPr>
            <w:hyperlink r:id="rId39" w:history="1">
              <w:r w:rsidR="006D4551" w:rsidRPr="00A0017B">
                <w:rPr>
                  <w:rStyle w:val="Hyperlink"/>
                  <w:rFonts w:ascii="Calibri" w:hAnsi="Calibri" w:cs="Calibri"/>
                  <w:b/>
                  <w:iCs/>
                  <w:color w:val="808080" w:themeColor="background1" w:themeShade="80"/>
                  <w:sz w:val="21"/>
                  <w:szCs w:val="21"/>
                </w:rPr>
                <w:t>Impact of public facing campaigns</w:t>
              </w:r>
            </w:hyperlink>
          </w:p>
        </w:tc>
        <w:tc>
          <w:tcPr>
            <w:tcW w:w="3118" w:type="dxa"/>
            <w:tcBorders>
              <w:top w:val="single" w:sz="4" w:space="0" w:color="548DD4" w:themeColor="text2" w:themeTint="99"/>
              <w:bottom w:val="single" w:sz="4" w:space="0" w:color="548DD4" w:themeColor="text2" w:themeTint="99"/>
            </w:tcBorders>
            <w:vAlign w:val="center"/>
          </w:tcPr>
          <w:p w14:paraId="76A61044" w14:textId="1BD946D2" w:rsidR="006D4551" w:rsidRPr="003A4D73" w:rsidRDefault="006D4551" w:rsidP="006D4551">
            <w:pPr>
              <w:jc w:val="center"/>
              <w:rPr>
                <w:rFonts w:ascii="Calibri" w:hAnsi="Calibri" w:cs="Calibri"/>
              </w:rPr>
            </w:pPr>
            <w:r>
              <w:rPr>
                <w:rFonts w:ascii="Calibri" w:hAnsi="Calibri" w:cs="Calibri"/>
                <w:noProof/>
                <w:lang w:eastAsia="en-GB"/>
              </w:rPr>
              <w:drawing>
                <wp:inline distT="0" distB="0" distL="0" distR="0" wp14:anchorId="2801F6E2" wp14:editId="42FDF196">
                  <wp:extent cx="1633220" cy="674370"/>
                  <wp:effectExtent l="0" t="0" r="5080" b="0"/>
                  <wp:docPr id="19" name="Picture 19" descr="graph" title="gra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663178" cy="686740"/>
                          </a:xfrm>
                          <a:prstGeom prst="rect">
                            <a:avLst/>
                          </a:prstGeom>
                          <a:noFill/>
                        </pic:spPr>
                      </pic:pic>
                    </a:graphicData>
                  </a:graphic>
                </wp:inline>
              </w:drawing>
            </w:r>
          </w:p>
        </w:tc>
        <w:tc>
          <w:tcPr>
            <w:tcW w:w="996" w:type="dxa"/>
            <w:tcBorders>
              <w:top w:val="single" w:sz="4" w:space="0" w:color="548DD4" w:themeColor="text2" w:themeTint="99"/>
              <w:bottom w:val="single" w:sz="4" w:space="0" w:color="548DD4" w:themeColor="text2" w:themeTint="99"/>
            </w:tcBorders>
            <w:vAlign w:val="center"/>
          </w:tcPr>
          <w:p w14:paraId="5BCAF12B" w14:textId="560344B4" w:rsidR="006D4551" w:rsidRPr="003D306D" w:rsidRDefault="00036CE2" w:rsidP="006D4551">
            <w:pPr>
              <w:jc w:val="center"/>
              <w:rPr>
                <w:rFonts w:ascii="Calibri" w:hAnsi="Calibri" w:cs="Calibri"/>
                <w:color w:val="808080" w:themeColor="background1" w:themeShade="80"/>
                <w:sz w:val="19"/>
                <w:szCs w:val="19"/>
              </w:rPr>
            </w:pPr>
            <w:r>
              <w:rPr>
                <w:rFonts w:ascii="Calibri" w:hAnsi="Calibri" w:cs="Calibri"/>
                <w:color w:val="808080" w:themeColor="background1" w:themeShade="80"/>
                <w:sz w:val="19"/>
                <w:szCs w:val="19"/>
              </w:rPr>
              <w:t>3.7 Million</w:t>
            </w:r>
          </w:p>
        </w:tc>
        <w:tc>
          <w:tcPr>
            <w:tcW w:w="3544" w:type="dxa"/>
            <w:tcBorders>
              <w:top w:val="single" w:sz="4" w:space="0" w:color="548DD4" w:themeColor="text2" w:themeTint="99"/>
              <w:bottom w:val="single" w:sz="4" w:space="0" w:color="548DD4" w:themeColor="text2" w:themeTint="99"/>
            </w:tcBorders>
            <w:vAlign w:val="center"/>
          </w:tcPr>
          <w:p w14:paraId="1392F131" w14:textId="77777777" w:rsidR="006D4551" w:rsidRPr="00FA55E8" w:rsidRDefault="006D4551" w:rsidP="006D4551">
            <w:pPr>
              <w:jc w:val="both"/>
              <w:rPr>
                <w:rFonts w:ascii="Calibri" w:hAnsi="Calibri" w:cs="Calibri"/>
                <w:color w:val="808080" w:themeColor="background1" w:themeShade="80"/>
                <w:sz w:val="20"/>
                <w:szCs w:val="20"/>
              </w:rPr>
            </w:pPr>
            <w:r w:rsidRPr="00FA55E8">
              <w:rPr>
                <w:rFonts w:ascii="Calibri" w:hAnsi="Calibri" w:cs="Calibri"/>
                <w:color w:val="808080" w:themeColor="background1" w:themeShade="80"/>
                <w:sz w:val="20"/>
                <w:szCs w:val="20"/>
              </w:rPr>
              <w:t>Summer campaign covered Q1&amp;2. Very strong dwell time on campaign web pages and social media Click Through Rate</w:t>
            </w:r>
          </w:p>
        </w:tc>
        <w:tc>
          <w:tcPr>
            <w:tcW w:w="3691" w:type="dxa"/>
            <w:tcBorders>
              <w:top w:val="single" w:sz="4" w:space="0" w:color="548DD4" w:themeColor="text2" w:themeTint="99"/>
              <w:bottom w:val="single" w:sz="4" w:space="0" w:color="548DD4" w:themeColor="text2" w:themeTint="99"/>
            </w:tcBorders>
            <w:vAlign w:val="center"/>
          </w:tcPr>
          <w:p w14:paraId="073B8DDE" w14:textId="77777777" w:rsidR="006D4551" w:rsidRPr="00FA55E8" w:rsidRDefault="006D4551" w:rsidP="00584BB7">
            <w:pPr>
              <w:jc w:val="both"/>
              <w:rPr>
                <w:rFonts w:ascii="Calibri" w:hAnsi="Calibri" w:cs="Calibri"/>
                <w:color w:val="808080" w:themeColor="background1" w:themeShade="80"/>
                <w:sz w:val="20"/>
                <w:szCs w:val="20"/>
              </w:rPr>
            </w:pPr>
            <w:r w:rsidRPr="00FA55E8">
              <w:rPr>
                <w:rFonts w:ascii="Calibri" w:hAnsi="Calibri" w:cs="Calibri"/>
                <w:color w:val="808080" w:themeColor="background1" w:themeShade="80"/>
                <w:sz w:val="20"/>
                <w:szCs w:val="20"/>
              </w:rPr>
              <w:t>Social media and radio boosts to Click Through Rate and web traffic with continued targeted campaigns</w:t>
            </w:r>
          </w:p>
        </w:tc>
      </w:tr>
    </w:tbl>
    <w:p w14:paraId="156420CE" w14:textId="48D7BFBC" w:rsidR="000419B1" w:rsidRDefault="000419B1" w:rsidP="000419B1">
      <w:pPr>
        <w:rPr>
          <w:rFonts w:ascii="Calibri" w:hAnsi="Calibri" w:cs="Calibri"/>
          <w:szCs w:val="24"/>
        </w:rPr>
      </w:pPr>
    </w:p>
    <w:p w14:paraId="426D0D38" w14:textId="77777777" w:rsidR="00F550D1" w:rsidRPr="00F550D1" w:rsidRDefault="00F550D1" w:rsidP="00F550D1">
      <w:pPr>
        <w:keepNext/>
        <w:keepLines/>
        <w:spacing w:before="40" w:after="0" w:line="259" w:lineRule="auto"/>
        <w:outlineLvl w:val="1"/>
        <w:rPr>
          <w:rFonts w:ascii="Calibri" w:eastAsiaTheme="majorEastAsia" w:hAnsi="Calibri" w:cs="Calibri"/>
          <w:b/>
          <w:color w:val="007DC3"/>
          <w:szCs w:val="26"/>
        </w:rPr>
      </w:pPr>
      <w:r w:rsidRPr="00F550D1">
        <w:rPr>
          <w:rFonts w:ascii="Calibri" w:eastAsiaTheme="majorEastAsia" w:hAnsi="Calibri" w:cs="Calibri"/>
          <w:b/>
          <w:color w:val="007DC3"/>
          <w:szCs w:val="26"/>
        </w:rPr>
        <w:t>PERFORMANCE REPORT</w:t>
      </w:r>
    </w:p>
    <w:p w14:paraId="6CA0F23C" w14:textId="77777777" w:rsidR="00F550D1" w:rsidRPr="00F550D1" w:rsidRDefault="00F550D1" w:rsidP="00F550D1">
      <w:pPr>
        <w:keepNext/>
        <w:keepLines/>
        <w:shd w:val="clear" w:color="auto" w:fill="007DC3"/>
        <w:spacing w:before="40" w:after="0" w:line="259" w:lineRule="auto"/>
        <w:jc w:val="center"/>
        <w:outlineLvl w:val="1"/>
        <w:rPr>
          <w:rFonts w:ascii="Calibri" w:eastAsiaTheme="majorEastAsia" w:hAnsi="Calibri" w:cs="Calibri"/>
          <w:b/>
          <w:szCs w:val="26"/>
        </w:rPr>
      </w:pPr>
      <w:r w:rsidRPr="00F550D1">
        <w:rPr>
          <w:rFonts w:ascii="Calibri" w:eastAsiaTheme="majorEastAsia" w:hAnsi="Calibri" w:cs="Calibri"/>
          <w:b/>
          <w:szCs w:val="26"/>
        </w:rPr>
        <w:t>WE HAVE PROTECTED NATURE</w:t>
      </w:r>
    </w:p>
    <w:tbl>
      <w:tblPr>
        <w:tblStyle w:val="PlainTable13"/>
        <w:tblW w:w="145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WE HAVE PROTECTED NATURE Q1 UPDATE"/>
      </w:tblPr>
      <w:tblGrid>
        <w:gridCol w:w="3544"/>
        <w:gridCol w:w="1559"/>
        <w:gridCol w:w="993"/>
        <w:gridCol w:w="8466"/>
      </w:tblGrid>
      <w:tr w:rsidR="00F550D1" w:rsidRPr="00F550D1" w14:paraId="58C27995" w14:textId="77777777" w:rsidTr="009E022E">
        <w:trPr>
          <w:cnfStyle w:val="100000000000" w:firstRow="1" w:lastRow="0" w:firstColumn="0" w:lastColumn="0" w:oddVBand="0" w:evenVBand="0" w:oddHBand="0" w:evenHBand="0" w:firstRowFirstColumn="0" w:firstRowLastColumn="0" w:lastRowFirstColumn="0" w:lastRowLastColumn="0"/>
          <w:cantSplit/>
          <w:tblHeader/>
          <w:jc w:val="center"/>
        </w:trPr>
        <w:tc>
          <w:tcPr>
            <w:cnfStyle w:val="001000000000" w:firstRow="0" w:lastRow="0" w:firstColumn="1" w:lastColumn="0" w:oddVBand="0" w:evenVBand="0" w:oddHBand="0" w:evenHBand="0" w:firstRowFirstColumn="0" w:firstRowLastColumn="0" w:lastRowFirstColumn="0" w:lastRowLastColumn="0"/>
            <w:tcW w:w="3544" w:type="dxa"/>
            <w:vAlign w:val="center"/>
          </w:tcPr>
          <w:p w14:paraId="7579E047" w14:textId="77777777" w:rsidR="00F550D1" w:rsidRPr="00F550D1" w:rsidRDefault="00F550D1" w:rsidP="00F550D1">
            <w:pPr>
              <w:jc w:val="center"/>
              <w:rPr>
                <w:rFonts w:ascii="Calibri" w:hAnsi="Calibri" w:cs="Calibri"/>
                <w:szCs w:val="26"/>
              </w:rPr>
            </w:pPr>
            <w:r w:rsidRPr="00F550D1">
              <w:rPr>
                <w:rFonts w:ascii="Calibri" w:hAnsi="Calibri" w:cs="Calibri"/>
                <w:szCs w:val="26"/>
              </w:rPr>
              <w:t>CORPORATE PLAN OBJECTIVE</w:t>
            </w:r>
          </w:p>
        </w:tc>
        <w:tc>
          <w:tcPr>
            <w:tcW w:w="1559" w:type="dxa"/>
            <w:vAlign w:val="center"/>
          </w:tcPr>
          <w:p w14:paraId="5F9E06FE" w14:textId="77777777" w:rsidR="00F550D1" w:rsidRPr="00F550D1" w:rsidRDefault="00F550D1" w:rsidP="00F550D1">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Cs w:val="26"/>
              </w:rPr>
            </w:pPr>
            <w:r w:rsidRPr="00F550D1">
              <w:rPr>
                <w:rFonts w:ascii="Calibri" w:hAnsi="Calibri" w:cs="Calibri"/>
                <w:szCs w:val="26"/>
              </w:rPr>
              <w:t>SLT LEAD</w:t>
            </w:r>
          </w:p>
        </w:tc>
        <w:tc>
          <w:tcPr>
            <w:tcW w:w="993" w:type="dxa"/>
            <w:vAlign w:val="center"/>
          </w:tcPr>
          <w:p w14:paraId="4C7F1A36" w14:textId="77777777" w:rsidR="00F550D1" w:rsidRPr="00F550D1" w:rsidRDefault="00F550D1" w:rsidP="00F550D1">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Cs w:val="26"/>
              </w:rPr>
            </w:pPr>
            <w:r w:rsidRPr="00F550D1">
              <w:rPr>
                <w:rFonts w:ascii="Calibri" w:hAnsi="Calibri" w:cs="Calibri"/>
                <w:szCs w:val="26"/>
              </w:rPr>
              <w:t>RAG SCORE</w:t>
            </w:r>
          </w:p>
        </w:tc>
        <w:tc>
          <w:tcPr>
            <w:tcW w:w="8466" w:type="dxa"/>
            <w:vAlign w:val="center"/>
          </w:tcPr>
          <w:p w14:paraId="431D5E96" w14:textId="44482881" w:rsidR="00F550D1" w:rsidRPr="00F550D1" w:rsidRDefault="00C531FB" w:rsidP="00F550D1">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Cs w:val="26"/>
              </w:rPr>
            </w:pPr>
            <w:r>
              <w:rPr>
                <w:rFonts w:ascii="Calibri" w:hAnsi="Calibri" w:cs="Calibri"/>
                <w:szCs w:val="26"/>
              </w:rPr>
              <w:t>Q4</w:t>
            </w:r>
            <w:r w:rsidR="00F550D1" w:rsidRPr="00F550D1">
              <w:rPr>
                <w:rFonts w:ascii="Calibri" w:hAnsi="Calibri" w:cs="Calibri"/>
                <w:szCs w:val="26"/>
              </w:rPr>
              <w:t xml:space="preserve"> UPDATE</w:t>
            </w:r>
          </w:p>
        </w:tc>
      </w:tr>
      <w:tr w:rsidR="00F550D1" w:rsidRPr="00F550D1" w14:paraId="7E87BB9C" w14:textId="77777777" w:rsidTr="009E022E">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3544" w:type="dxa"/>
            <w:vAlign w:val="center"/>
          </w:tcPr>
          <w:p w14:paraId="37BF21D8" w14:textId="77777777" w:rsidR="00F550D1" w:rsidRPr="00F550D1" w:rsidRDefault="00F550D1" w:rsidP="00F550D1">
            <w:pPr>
              <w:rPr>
                <w:rFonts w:ascii="Calibri" w:hAnsi="Calibri" w:cs="Calibri"/>
                <w:b w:val="0"/>
                <w:color w:val="000000"/>
              </w:rPr>
            </w:pPr>
            <w:r w:rsidRPr="00F550D1">
              <w:rPr>
                <w:rFonts w:ascii="Calibri" w:hAnsi="Calibri" w:cs="Calibri"/>
                <w:b w:val="0"/>
                <w:color w:val="000000"/>
              </w:rPr>
              <w:t>Lead the delivery of 30% of land and sea being protected by 2030</w:t>
            </w:r>
          </w:p>
        </w:tc>
        <w:tc>
          <w:tcPr>
            <w:tcW w:w="1559" w:type="dxa"/>
            <w:vAlign w:val="center"/>
          </w:tcPr>
          <w:p w14:paraId="3A8237B5" w14:textId="77777777" w:rsidR="00F550D1" w:rsidRPr="00F550D1" w:rsidRDefault="00F550D1" w:rsidP="00F550D1">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F550D1">
              <w:rPr>
                <w:rFonts w:ascii="Calibri" w:hAnsi="Calibri" w:cs="Calibri"/>
                <w:color w:val="000000"/>
              </w:rPr>
              <w:t>Nick Halfhide</w:t>
            </w:r>
          </w:p>
        </w:tc>
        <w:tc>
          <w:tcPr>
            <w:tcW w:w="993" w:type="dxa"/>
            <w:shd w:val="clear" w:color="auto" w:fill="9BBB59" w:themeFill="accent3"/>
            <w:vAlign w:val="center"/>
          </w:tcPr>
          <w:p w14:paraId="309FE53C" w14:textId="77777777" w:rsidR="00F550D1" w:rsidRPr="00F550D1" w:rsidRDefault="00F550D1" w:rsidP="00F550D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rPr>
            </w:pPr>
            <w:r w:rsidRPr="00F550D1">
              <w:rPr>
                <w:rFonts w:ascii="Calibri" w:hAnsi="Calibri" w:cs="Calibri"/>
                <w:b/>
              </w:rPr>
              <w:t>GREEN</w:t>
            </w:r>
          </w:p>
        </w:tc>
        <w:tc>
          <w:tcPr>
            <w:tcW w:w="8466" w:type="dxa"/>
            <w:vAlign w:val="center"/>
          </w:tcPr>
          <w:p w14:paraId="4EB527C7" w14:textId="77777777" w:rsidR="00393BD7" w:rsidRPr="00393BD7" w:rsidRDefault="00393BD7" w:rsidP="003E7B62">
            <w:pPr>
              <w:numPr>
                <w:ilvl w:val="0"/>
                <w:numId w:val="7"/>
              </w:numPr>
              <w:contextualSpacing/>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4"/>
              </w:rPr>
            </w:pPr>
            <w:r w:rsidRPr="00393BD7">
              <w:rPr>
                <w:rFonts w:ascii="Calibri" w:hAnsi="Calibri" w:cs="Calibri"/>
                <w:color w:val="000000"/>
                <w:szCs w:val="24"/>
              </w:rPr>
              <w:t>National Parks - advice finalised and published (target met) with support to Scottish Government in taking forward the next steps under way.</w:t>
            </w:r>
          </w:p>
          <w:p w14:paraId="16C3CA19" w14:textId="77777777" w:rsidR="00393BD7" w:rsidRPr="00393BD7" w:rsidRDefault="00393BD7" w:rsidP="003E7B62">
            <w:pPr>
              <w:numPr>
                <w:ilvl w:val="0"/>
                <w:numId w:val="7"/>
              </w:numPr>
              <w:contextualSpacing/>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4"/>
              </w:rPr>
            </w:pPr>
            <w:r w:rsidRPr="00393BD7">
              <w:rPr>
                <w:rFonts w:ascii="Calibri" w:hAnsi="Calibri" w:cs="Calibri"/>
                <w:color w:val="000000"/>
                <w:szCs w:val="24"/>
              </w:rPr>
              <w:t>30x30 and Nature Networks: Framework consultation planned for Q1 2023. On target to achieve this. Ready to move to next Phase of work (Policy development, Legislation, Systems, Approach).</w:t>
            </w:r>
          </w:p>
          <w:p w14:paraId="702CDB86" w14:textId="77777777" w:rsidR="00393BD7" w:rsidRPr="00393BD7" w:rsidRDefault="00393BD7" w:rsidP="003E7B62">
            <w:pPr>
              <w:numPr>
                <w:ilvl w:val="0"/>
                <w:numId w:val="7"/>
              </w:numPr>
              <w:contextualSpacing/>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4"/>
              </w:rPr>
            </w:pPr>
            <w:r w:rsidRPr="00393BD7">
              <w:rPr>
                <w:rFonts w:ascii="Calibri" w:hAnsi="Calibri" w:cs="Calibri"/>
                <w:color w:val="000000"/>
                <w:szCs w:val="24"/>
              </w:rPr>
              <w:t xml:space="preserve">Marine protection: Consultation on Highly Protected Marine Areas (HMPA) policy framework and site selection guidelines completed including online stakeholder events. </w:t>
            </w:r>
          </w:p>
          <w:p w14:paraId="03EE9799" w14:textId="77777777" w:rsidR="00393BD7" w:rsidRPr="00393BD7" w:rsidRDefault="00393BD7" w:rsidP="003E7B62">
            <w:pPr>
              <w:numPr>
                <w:ilvl w:val="0"/>
                <w:numId w:val="7"/>
              </w:numPr>
              <w:contextualSpacing/>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4"/>
              </w:rPr>
            </w:pPr>
            <w:r w:rsidRPr="00393BD7">
              <w:rPr>
                <w:rFonts w:ascii="Calibri" w:hAnsi="Calibri" w:cs="Calibri"/>
                <w:color w:val="000000"/>
                <w:szCs w:val="24"/>
              </w:rPr>
              <w:t xml:space="preserve">HPMA strategic group established between NatureScot and Marine Scotland (MS), to develop shared oversight and understanding of risks.  </w:t>
            </w:r>
          </w:p>
          <w:p w14:paraId="558F8900" w14:textId="733A7C0E" w:rsidR="00F550D1" w:rsidRPr="00F550D1" w:rsidRDefault="00393BD7" w:rsidP="003E7B62">
            <w:pPr>
              <w:numPr>
                <w:ilvl w:val="0"/>
                <w:numId w:val="7"/>
              </w:numPr>
              <w:contextualSpacing/>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4"/>
              </w:rPr>
            </w:pPr>
            <w:r w:rsidRPr="00393BD7">
              <w:rPr>
                <w:rFonts w:ascii="Calibri" w:hAnsi="Calibri" w:cs="Calibri"/>
                <w:color w:val="000000"/>
                <w:szCs w:val="24"/>
              </w:rPr>
              <w:t xml:space="preserve">Special Protected Areas management advice delayed.  Deadline for Marine Protected Areas &amp; Priority Marine Features work – revised from March 2024 to end 2024.  </w:t>
            </w:r>
          </w:p>
        </w:tc>
      </w:tr>
      <w:tr w:rsidR="00F550D1" w:rsidRPr="00F550D1" w14:paraId="729A5448" w14:textId="77777777" w:rsidTr="009E022E">
        <w:trPr>
          <w:cantSplit/>
          <w:jc w:val="center"/>
        </w:trPr>
        <w:tc>
          <w:tcPr>
            <w:cnfStyle w:val="001000000000" w:firstRow="0" w:lastRow="0" w:firstColumn="1" w:lastColumn="0" w:oddVBand="0" w:evenVBand="0" w:oddHBand="0" w:evenHBand="0" w:firstRowFirstColumn="0" w:firstRowLastColumn="0" w:lastRowFirstColumn="0" w:lastRowLastColumn="0"/>
            <w:tcW w:w="3544" w:type="dxa"/>
            <w:vAlign w:val="center"/>
          </w:tcPr>
          <w:p w14:paraId="38353E1E" w14:textId="77777777" w:rsidR="00F550D1" w:rsidRPr="00F550D1" w:rsidRDefault="00F550D1" w:rsidP="00F550D1">
            <w:pPr>
              <w:rPr>
                <w:rFonts w:ascii="Calibri" w:hAnsi="Calibri" w:cs="Calibri"/>
                <w:b w:val="0"/>
                <w:color w:val="000000"/>
              </w:rPr>
            </w:pPr>
            <w:r w:rsidRPr="00F550D1">
              <w:rPr>
                <w:rFonts w:ascii="Calibri" w:hAnsi="Calibri" w:cs="Calibri"/>
                <w:b w:val="0"/>
                <w:color w:val="000000"/>
              </w:rPr>
              <w:lastRenderedPageBreak/>
              <w:t>Build stronger collaboration reducing the impacts of deer and modernise our wildlife management and underpinning licencing functions to enable a net zero and nature positive future</w:t>
            </w:r>
          </w:p>
        </w:tc>
        <w:tc>
          <w:tcPr>
            <w:tcW w:w="1559" w:type="dxa"/>
            <w:vAlign w:val="center"/>
          </w:tcPr>
          <w:p w14:paraId="6D9CD4D8" w14:textId="77777777" w:rsidR="00F550D1" w:rsidRPr="00F550D1" w:rsidRDefault="00F550D1" w:rsidP="00F550D1">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F550D1">
              <w:rPr>
                <w:rFonts w:ascii="Calibri" w:hAnsi="Calibri" w:cs="Calibri"/>
                <w:color w:val="000000"/>
              </w:rPr>
              <w:t>Robbie Kernahan</w:t>
            </w:r>
          </w:p>
        </w:tc>
        <w:tc>
          <w:tcPr>
            <w:tcW w:w="993" w:type="dxa"/>
            <w:shd w:val="clear" w:color="auto" w:fill="9BBB59" w:themeFill="accent3"/>
            <w:vAlign w:val="center"/>
          </w:tcPr>
          <w:p w14:paraId="349E5B67" w14:textId="77777777" w:rsidR="00F550D1" w:rsidRPr="00F550D1" w:rsidRDefault="00F550D1" w:rsidP="00F550D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rPr>
            </w:pPr>
            <w:r w:rsidRPr="00F550D1">
              <w:rPr>
                <w:rFonts w:ascii="Calibri" w:hAnsi="Calibri" w:cs="Calibri"/>
                <w:b/>
              </w:rPr>
              <w:t>G</w:t>
            </w:r>
            <w:r w:rsidRPr="00F550D1">
              <w:rPr>
                <w:rFonts w:ascii="Calibri" w:hAnsi="Calibri" w:cs="Calibri"/>
                <w:b/>
                <w:shd w:val="clear" w:color="auto" w:fill="9BBB59" w:themeFill="accent3"/>
              </w:rPr>
              <w:t>REE</w:t>
            </w:r>
            <w:r w:rsidRPr="00F550D1">
              <w:rPr>
                <w:rFonts w:ascii="Calibri" w:hAnsi="Calibri" w:cs="Calibri"/>
                <w:b/>
              </w:rPr>
              <w:t>N</w:t>
            </w:r>
          </w:p>
        </w:tc>
        <w:tc>
          <w:tcPr>
            <w:tcW w:w="8466" w:type="dxa"/>
            <w:vAlign w:val="center"/>
          </w:tcPr>
          <w:p w14:paraId="40AAE6EC" w14:textId="289BCAAE" w:rsidR="002D216A" w:rsidRPr="00C531FB" w:rsidRDefault="002D216A" w:rsidP="003E7B62">
            <w:pPr>
              <w:numPr>
                <w:ilvl w:val="0"/>
                <w:numId w:val="3"/>
              </w:numPr>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rPr>
            </w:pPr>
            <w:r>
              <w:rPr>
                <w:rFonts w:ascii="Calibri" w:hAnsi="Calibri" w:cs="Calibri"/>
                <w:color w:val="000000"/>
                <w:szCs w:val="24"/>
              </w:rPr>
              <w:t>The</w:t>
            </w:r>
            <w:r w:rsidR="007F5150">
              <w:rPr>
                <w:rFonts w:ascii="Calibri" w:hAnsi="Calibri" w:cs="Calibri"/>
                <w:color w:val="000000"/>
                <w:szCs w:val="24"/>
              </w:rPr>
              <w:t xml:space="preserve"> </w:t>
            </w:r>
            <w:r w:rsidRPr="00C531FB">
              <w:rPr>
                <w:rFonts w:ascii="Calibri" w:hAnsi="Calibri" w:cs="Calibri"/>
                <w:color w:val="000000"/>
                <w:szCs w:val="24"/>
              </w:rPr>
              <w:t xml:space="preserve">Strategic </w:t>
            </w:r>
            <w:r>
              <w:rPr>
                <w:rFonts w:ascii="Calibri" w:hAnsi="Calibri" w:cs="Calibri"/>
                <w:color w:val="000000"/>
                <w:szCs w:val="24"/>
              </w:rPr>
              <w:t xml:space="preserve">Deer </w:t>
            </w:r>
            <w:r w:rsidRPr="00C531FB">
              <w:rPr>
                <w:rFonts w:ascii="Calibri" w:hAnsi="Calibri" w:cs="Calibri"/>
                <w:color w:val="000000"/>
                <w:szCs w:val="24"/>
              </w:rPr>
              <w:t xml:space="preserve">Board </w:t>
            </w:r>
            <w:r>
              <w:rPr>
                <w:rFonts w:ascii="Calibri" w:hAnsi="Calibri" w:cs="Calibri"/>
                <w:color w:val="000000"/>
                <w:szCs w:val="24"/>
              </w:rPr>
              <w:t>is now well established</w:t>
            </w:r>
            <w:r w:rsidR="007F5150">
              <w:rPr>
                <w:rFonts w:ascii="Calibri" w:hAnsi="Calibri" w:cs="Calibri"/>
                <w:color w:val="000000"/>
                <w:szCs w:val="24"/>
              </w:rPr>
              <w:t xml:space="preserve"> </w:t>
            </w:r>
            <w:r w:rsidRPr="00C531FB">
              <w:rPr>
                <w:rFonts w:ascii="Calibri" w:hAnsi="Calibri" w:cs="Calibri"/>
                <w:color w:val="000000"/>
                <w:szCs w:val="24"/>
              </w:rPr>
              <w:t xml:space="preserve">with </w:t>
            </w:r>
            <w:r>
              <w:rPr>
                <w:rFonts w:ascii="Calibri" w:hAnsi="Calibri" w:cs="Calibri"/>
                <w:color w:val="000000"/>
                <w:szCs w:val="24"/>
              </w:rPr>
              <w:t xml:space="preserve">follow up engagement with Deer Management Round Table. </w:t>
            </w:r>
            <w:r w:rsidRPr="00C531FB">
              <w:rPr>
                <w:rFonts w:ascii="Calibri" w:hAnsi="Calibri" w:cs="Calibri"/>
                <w:color w:val="000000"/>
                <w:szCs w:val="24"/>
              </w:rPr>
              <w:t>Legislati</w:t>
            </w:r>
            <w:r>
              <w:rPr>
                <w:rFonts w:ascii="Calibri" w:hAnsi="Calibri" w:cs="Calibri"/>
                <w:color w:val="000000"/>
                <w:szCs w:val="24"/>
              </w:rPr>
              <w:t>ve proposals and incentive options are progressing</w:t>
            </w:r>
            <w:r w:rsidRPr="00C531FB">
              <w:rPr>
                <w:rFonts w:ascii="Calibri" w:hAnsi="Calibri" w:cs="Calibri"/>
                <w:color w:val="000000"/>
                <w:szCs w:val="24"/>
              </w:rPr>
              <w:t xml:space="preserve"> </w:t>
            </w:r>
            <w:r>
              <w:rPr>
                <w:rFonts w:ascii="Calibri" w:hAnsi="Calibri" w:cs="Calibri"/>
                <w:color w:val="000000"/>
                <w:szCs w:val="24"/>
              </w:rPr>
              <w:t>for</w:t>
            </w:r>
            <w:r w:rsidRPr="00C531FB">
              <w:rPr>
                <w:rFonts w:ascii="Calibri" w:hAnsi="Calibri" w:cs="Calibri"/>
                <w:color w:val="000000"/>
                <w:szCs w:val="24"/>
              </w:rPr>
              <w:t xml:space="preserve"> Ministerial steer. Operational </w:t>
            </w:r>
            <w:r>
              <w:rPr>
                <w:rFonts w:ascii="Calibri" w:hAnsi="Calibri" w:cs="Calibri"/>
                <w:color w:val="000000"/>
                <w:szCs w:val="24"/>
              </w:rPr>
              <w:t xml:space="preserve">Priorities have been agreed </w:t>
            </w:r>
            <w:r w:rsidRPr="00C531FB">
              <w:rPr>
                <w:rFonts w:ascii="Calibri" w:hAnsi="Calibri" w:cs="Calibri"/>
                <w:color w:val="000000"/>
                <w:szCs w:val="24"/>
              </w:rPr>
              <w:t>to achieve 10 deer/ km in D</w:t>
            </w:r>
            <w:r>
              <w:rPr>
                <w:rFonts w:ascii="Calibri" w:hAnsi="Calibri" w:cs="Calibri"/>
                <w:color w:val="000000"/>
                <w:szCs w:val="24"/>
              </w:rPr>
              <w:t xml:space="preserve">eer </w:t>
            </w:r>
            <w:r w:rsidRPr="00C531FB">
              <w:rPr>
                <w:rFonts w:ascii="Calibri" w:hAnsi="Calibri" w:cs="Calibri"/>
                <w:color w:val="000000"/>
                <w:szCs w:val="24"/>
              </w:rPr>
              <w:t>M</w:t>
            </w:r>
            <w:r>
              <w:rPr>
                <w:rFonts w:ascii="Calibri" w:hAnsi="Calibri" w:cs="Calibri"/>
                <w:color w:val="000000"/>
                <w:szCs w:val="24"/>
              </w:rPr>
              <w:t xml:space="preserve">anagement </w:t>
            </w:r>
            <w:r w:rsidRPr="00C531FB">
              <w:rPr>
                <w:rFonts w:ascii="Calibri" w:hAnsi="Calibri" w:cs="Calibri"/>
                <w:color w:val="000000"/>
                <w:szCs w:val="24"/>
              </w:rPr>
              <w:t>G</w:t>
            </w:r>
            <w:r>
              <w:rPr>
                <w:rFonts w:ascii="Calibri" w:hAnsi="Calibri" w:cs="Calibri"/>
                <w:color w:val="000000"/>
                <w:szCs w:val="24"/>
              </w:rPr>
              <w:t>roup</w:t>
            </w:r>
            <w:r w:rsidRPr="00C531FB">
              <w:rPr>
                <w:rFonts w:ascii="Calibri" w:hAnsi="Calibri" w:cs="Calibri"/>
                <w:color w:val="000000"/>
                <w:szCs w:val="24"/>
              </w:rPr>
              <w:t xml:space="preserve">s </w:t>
            </w:r>
            <w:r>
              <w:rPr>
                <w:rFonts w:ascii="Calibri" w:hAnsi="Calibri" w:cs="Calibri"/>
                <w:color w:val="000000"/>
                <w:szCs w:val="24"/>
              </w:rPr>
              <w:t>with</w:t>
            </w:r>
            <w:r w:rsidRPr="00C531FB">
              <w:rPr>
                <w:rFonts w:ascii="Calibri" w:hAnsi="Calibri" w:cs="Calibri"/>
                <w:color w:val="000000"/>
                <w:szCs w:val="24"/>
              </w:rPr>
              <w:t xml:space="preserve"> highest densities. Regulatory measures utilised in Loch </w:t>
            </w:r>
            <w:proofErr w:type="spellStart"/>
            <w:r w:rsidRPr="00C531FB">
              <w:rPr>
                <w:rFonts w:ascii="Calibri" w:hAnsi="Calibri" w:cs="Calibri"/>
                <w:color w:val="000000"/>
                <w:szCs w:val="24"/>
              </w:rPr>
              <w:t>Choire</w:t>
            </w:r>
            <w:proofErr w:type="spellEnd"/>
            <w:r w:rsidRPr="00C531FB">
              <w:rPr>
                <w:rFonts w:ascii="Calibri" w:hAnsi="Calibri" w:cs="Calibri"/>
                <w:color w:val="000000"/>
                <w:szCs w:val="24"/>
              </w:rPr>
              <w:t xml:space="preserve"> and S7 agreement </w:t>
            </w:r>
            <w:r>
              <w:rPr>
                <w:rFonts w:ascii="Calibri" w:hAnsi="Calibri" w:cs="Calibri"/>
                <w:color w:val="000000"/>
                <w:szCs w:val="24"/>
              </w:rPr>
              <w:t xml:space="preserve">secured </w:t>
            </w:r>
            <w:r w:rsidRPr="00C531FB">
              <w:rPr>
                <w:rFonts w:ascii="Calibri" w:hAnsi="Calibri" w:cs="Calibri"/>
                <w:color w:val="000000"/>
                <w:szCs w:val="24"/>
              </w:rPr>
              <w:t xml:space="preserve">at </w:t>
            </w:r>
            <w:proofErr w:type="spellStart"/>
            <w:r w:rsidRPr="00C531FB">
              <w:rPr>
                <w:rFonts w:ascii="Calibri" w:hAnsi="Calibri" w:cs="Calibri"/>
                <w:color w:val="000000"/>
                <w:szCs w:val="24"/>
              </w:rPr>
              <w:t>Caenlochan</w:t>
            </w:r>
            <w:proofErr w:type="spellEnd"/>
            <w:r w:rsidRPr="00C531FB">
              <w:rPr>
                <w:rFonts w:ascii="Calibri" w:hAnsi="Calibri" w:cs="Calibri"/>
                <w:color w:val="000000"/>
                <w:szCs w:val="24"/>
              </w:rPr>
              <w:t>.</w:t>
            </w:r>
          </w:p>
          <w:p w14:paraId="7769B95B" w14:textId="77777777" w:rsidR="002D216A" w:rsidRPr="00C531FB" w:rsidRDefault="002D216A" w:rsidP="003E7B62">
            <w:pPr>
              <w:numPr>
                <w:ilvl w:val="0"/>
                <w:numId w:val="3"/>
              </w:numPr>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rPr>
            </w:pPr>
            <w:r>
              <w:rPr>
                <w:rFonts w:ascii="Calibri" w:hAnsi="Calibri" w:cs="Calibri"/>
                <w:color w:val="000000"/>
                <w:szCs w:val="24"/>
              </w:rPr>
              <w:t xml:space="preserve">The </w:t>
            </w:r>
            <w:r w:rsidRPr="00C531FB">
              <w:rPr>
                <w:rFonts w:ascii="Calibri" w:hAnsi="Calibri" w:cs="Calibri"/>
                <w:color w:val="000000"/>
                <w:szCs w:val="24"/>
              </w:rPr>
              <w:t>Huntin</w:t>
            </w:r>
            <w:r>
              <w:rPr>
                <w:rFonts w:ascii="Calibri" w:hAnsi="Calibri" w:cs="Calibri"/>
                <w:color w:val="000000"/>
                <w:szCs w:val="24"/>
              </w:rPr>
              <w:t xml:space="preserve">g with Dogs Bill has concluded and </w:t>
            </w:r>
            <w:r w:rsidRPr="00C531FB">
              <w:rPr>
                <w:rFonts w:ascii="Calibri" w:hAnsi="Calibri" w:cs="Calibri"/>
                <w:color w:val="000000"/>
                <w:szCs w:val="24"/>
              </w:rPr>
              <w:t>our licensing approach and guidance</w:t>
            </w:r>
            <w:r>
              <w:rPr>
                <w:rFonts w:ascii="Calibri" w:hAnsi="Calibri" w:cs="Calibri"/>
                <w:color w:val="000000"/>
                <w:szCs w:val="24"/>
              </w:rPr>
              <w:t xml:space="preserve"> is nearing completion</w:t>
            </w:r>
            <w:r w:rsidRPr="00C531FB">
              <w:rPr>
                <w:rFonts w:ascii="Calibri" w:hAnsi="Calibri" w:cs="Calibri"/>
                <w:color w:val="000000"/>
                <w:szCs w:val="24"/>
              </w:rPr>
              <w:t xml:space="preserve">. </w:t>
            </w:r>
          </w:p>
          <w:p w14:paraId="2DF8DF28" w14:textId="00F5373C" w:rsidR="002D216A" w:rsidRPr="00C531FB" w:rsidRDefault="007F5150" w:rsidP="003E7B62">
            <w:pPr>
              <w:numPr>
                <w:ilvl w:val="0"/>
                <w:numId w:val="3"/>
              </w:numPr>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rPr>
            </w:pPr>
            <w:r>
              <w:rPr>
                <w:rFonts w:ascii="Calibri" w:hAnsi="Calibri" w:cs="Calibri"/>
                <w:color w:val="000000"/>
                <w:szCs w:val="24"/>
              </w:rPr>
              <w:t>Online l</w:t>
            </w:r>
            <w:r w:rsidR="002D216A" w:rsidRPr="00C531FB">
              <w:rPr>
                <w:rFonts w:ascii="Calibri" w:hAnsi="Calibri" w:cs="Calibri"/>
                <w:color w:val="000000"/>
                <w:szCs w:val="24"/>
              </w:rPr>
              <w:t xml:space="preserve">icensing progressing but </w:t>
            </w:r>
            <w:r w:rsidR="002D216A">
              <w:rPr>
                <w:rFonts w:ascii="Calibri" w:hAnsi="Calibri" w:cs="Calibri"/>
                <w:color w:val="000000"/>
                <w:szCs w:val="24"/>
              </w:rPr>
              <w:t xml:space="preserve">competing demands for limited staff </w:t>
            </w:r>
            <w:r w:rsidR="002D216A" w:rsidRPr="00C531FB">
              <w:rPr>
                <w:rFonts w:ascii="Calibri" w:hAnsi="Calibri" w:cs="Calibri"/>
                <w:color w:val="000000"/>
                <w:szCs w:val="24"/>
              </w:rPr>
              <w:t>resourc</w:t>
            </w:r>
            <w:r w:rsidR="002D216A">
              <w:rPr>
                <w:rFonts w:ascii="Calibri" w:hAnsi="Calibri" w:cs="Calibri"/>
                <w:color w:val="000000"/>
                <w:szCs w:val="24"/>
              </w:rPr>
              <w:t>e</w:t>
            </w:r>
            <w:r w:rsidR="002D216A" w:rsidRPr="00C531FB">
              <w:rPr>
                <w:rFonts w:ascii="Calibri" w:hAnsi="Calibri" w:cs="Calibri"/>
                <w:color w:val="000000"/>
                <w:szCs w:val="24"/>
              </w:rPr>
              <w:t xml:space="preserve"> </w:t>
            </w:r>
            <w:r w:rsidR="002D216A">
              <w:rPr>
                <w:rFonts w:ascii="Calibri" w:hAnsi="Calibri" w:cs="Calibri"/>
                <w:color w:val="000000"/>
                <w:szCs w:val="24"/>
              </w:rPr>
              <w:t xml:space="preserve">has slowed </w:t>
            </w:r>
            <w:r w:rsidR="002D216A" w:rsidRPr="00C531FB">
              <w:rPr>
                <w:rFonts w:ascii="Calibri" w:hAnsi="Calibri" w:cs="Calibri"/>
                <w:color w:val="000000"/>
                <w:szCs w:val="24"/>
              </w:rPr>
              <w:t>progress. General licence restrictions have been put in place on 3 properties.</w:t>
            </w:r>
          </w:p>
          <w:p w14:paraId="3F95C830" w14:textId="1AA0EA8C" w:rsidR="002D216A" w:rsidRPr="00C531FB" w:rsidRDefault="002D216A" w:rsidP="003E7B62">
            <w:pPr>
              <w:numPr>
                <w:ilvl w:val="0"/>
                <w:numId w:val="3"/>
              </w:numPr>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rPr>
            </w:pPr>
            <w:r w:rsidRPr="00C531FB">
              <w:rPr>
                <w:rFonts w:ascii="Calibri" w:hAnsi="Calibri" w:cs="Calibri"/>
                <w:color w:val="000000"/>
                <w:szCs w:val="24"/>
              </w:rPr>
              <w:t xml:space="preserve">Scottish Beaver Advisory Group </w:t>
            </w:r>
            <w:r w:rsidR="007F5150">
              <w:rPr>
                <w:rFonts w:ascii="Calibri" w:hAnsi="Calibri" w:cs="Calibri"/>
                <w:color w:val="000000"/>
                <w:szCs w:val="24"/>
              </w:rPr>
              <w:t>has been established</w:t>
            </w:r>
            <w:r w:rsidRPr="00C531FB">
              <w:rPr>
                <w:rFonts w:ascii="Calibri" w:hAnsi="Calibri" w:cs="Calibri"/>
                <w:color w:val="000000"/>
                <w:szCs w:val="24"/>
              </w:rPr>
              <w:t xml:space="preserve"> and will meet</w:t>
            </w:r>
            <w:r>
              <w:rPr>
                <w:rFonts w:ascii="Calibri" w:hAnsi="Calibri" w:cs="Calibri"/>
                <w:color w:val="000000"/>
                <w:szCs w:val="24"/>
              </w:rPr>
              <w:t xml:space="preserve"> on a</w:t>
            </w:r>
            <w:r w:rsidR="007F5150">
              <w:rPr>
                <w:rFonts w:ascii="Calibri" w:hAnsi="Calibri" w:cs="Calibri"/>
                <w:color w:val="000000"/>
                <w:szCs w:val="24"/>
              </w:rPr>
              <w:t xml:space="preserve"> </w:t>
            </w:r>
            <w:r w:rsidRPr="00C531FB">
              <w:rPr>
                <w:rFonts w:ascii="Calibri" w:hAnsi="Calibri" w:cs="Calibri"/>
                <w:color w:val="000000"/>
                <w:szCs w:val="24"/>
              </w:rPr>
              <w:t>quarterly basis. Trapping and translocations hav</w:t>
            </w:r>
            <w:r>
              <w:rPr>
                <w:rFonts w:ascii="Calibri" w:hAnsi="Calibri" w:cs="Calibri"/>
                <w:color w:val="000000"/>
                <w:szCs w:val="24"/>
              </w:rPr>
              <w:t xml:space="preserve">e increased over the year, </w:t>
            </w:r>
            <w:r w:rsidRPr="00C531FB">
              <w:rPr>
                <w:rFonts w:ascii="Calibri" w:hAnsi="Calibri" w:cs="Calibri"/>
                <w:color w:val="000000"/>
                <w:szCs w:val="24"/>
              </w:rPr>
              <w:t xml:space="preserve">figures </w:t>
            </w:r>
            <w:r>
              <w:rPr>
                <w:rFonts w:ascii="Calibri" w:hAnsi="Calibri" w:cs="Calibri"/>
                <w:color w:val="000000"/>
                <w:szCs w:val="24"/>
              </w:rPr>
              <w:t>are due to be</w:t>
            </w:r>
            <w:r w:rsidR="007F5150">
              <w:rPr>
                <w:rFonts w:ascii="Calibri" w:hAnsi="Calibri" w:cs="Calibri"/>
                <w:color w:val="000000"/>
                <w:szCs w:val="24"/>
              </w:rPr>
              <w:t xml:space="preserve"> </w:t>
            </w:r>
            <w:r w:rsidRPr="00C531FB">
              <w:rPr>
                <w:rFonts w:ascii="Calibri" w:hAnsi="Calibri" w:cs="Calibri"/>
                <w:color w:val="000000"/>
                <w:szCs w:val="24"/>
              </w:rPr>
              <w:t>published end Q1.</w:t>
            </w:r>
          </w:p>
          <w:p w14:paraId="40C221E0" w14:textId="702DBE4A" w:rsidR="00F550D1" w:rsidRPr="00F550D1" w:rsidRDefault="002D216A" w:rsidP="003E7B62">
            <w:pPr>
              <w:numPr>
                <w:ilvl w:val="0"/>
                <w:numId w:val="3"/>
              </w:numPr>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rPr>
            </w:pPr>
            <w:r w:rsidRPr="00C531FB">
              <w:rPr>
                <w:rFonts w:ascii="Calibri" w:hAnsi="Calibri" w:cs="Calibri"/>
                <w:color w:val="000000"/>
                <w:szCs w:val="24"/>
              </w:rPr>
              <w:t>Ongoing work to support Scottish Task Force on HPAI with plans for monitoring impact and effects being taken forwar</w:t>
            </w:r>
            <w:r>
              <w:rPr>
                <w:rFonts w:ascii="Calibri" w:hAnsi="Calibri" w:cs="Calibri"/>
                <w:color w:val="000000"/>
                <w:szCs w:val="24"/>
              </w:rPr>
              <w:t>d.</w:t>
            </w:r>
          </w:p>
        </w:tc>
      </w:tr>
      <w:tr w:rsidR="00F550D1" w:rsidRPr="00F550D1" w14:paraId="5CAFD0A9" w14:textId="77777777" w:rsidTr="009E022E">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3544" w:type="dxa"/>
            <w:vAlign w:val="center"/>
          </w:tcPr>
          <w:p w14:paraId="25A03A0E" w14:textId="77777777" w:rsidR="00F550D1" w:rsidRPr="00F550D1" w:rsidRDefault="00F550D1" w:rsidP="00F550D1">
            <w:pPr>
              <w:rPr>
                <w:rFonts w:ascii="Calibri" w:hAnsi="Calibri" w:cs="Calibri"/>
                <w:b w:val="0"/>
                <w:color w:val="000000"/>
              </w:rPr>
            </w:pPr>
            <w:r w:rsidRPr="00F550D1">
              <w:rPr>
                <w:rFonts w:ascii="Calibri" w:hAnsi="Calibri" w:cs="Calibri"/>
                <w:b w:val="0"/>
                <w:color w:val="000000"/>
              </w:rPr>
              <w:lastRenderedPageBreak/>
              <w:t>Engage and influence planning and other regulatory systems to ensure they deliver for nature and climate</w:t>
            </w:r>
          </w:p>
        </w:tc>
        <w:tc>
          <w:tcPr>
            <w:tcW w:w="1559" w:type="dxa"/>
            <w:vAlign w:val="center"/>
          </w:tcPr>
          <w:p w14:paraId="0EDFF425" w14:textId="77777777" w:rsidR="00F550D1" w:rsidRPr="00F550D1" w:rsidRDefault="00F550D1" w:rsidP="00F550D1">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F550D1">
              <w:rPr>
                <w:rFonts w:ascii="Calibri" w:hAnsi="Calibri" w:cs="Calibri"/>
                <w:color w:val="000000"/>
              </w:rPr>
              <w:t>Robbie Kernahan</w:t>
            </w:r>
          </w:p>
        </w:tc>
        <w:tc>
          <w:tcPr>
            <w:tcW w:w="993" w:type="dxa"/>
            <w:shd w:val="clear" w:color="auto" w:fill="9BBB59" w:themeFill="accent3"/>
            <w:vAlign w:val="center"/>
          </w:tcPr>
          <w:p w14:paraId="40A5E6BD" w14:textId="77777777" w:rsidR="00F550D1" w:rsidRPr="00F550D1" w:rsidRDefault="00F550D1" w:rsidP="00F550D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F550D1">
              <w:rPr>
                <w:rFonts w:ascii="Calibri" w:hAnsi="Calibri" w:cs="Calibri"/>
                <w:b/>
              </w:rPr>
              <w:t>GREEN</w:t>
            </w:r>
          </w:p>
        </w:tc>
        <w:tc>
          <w:tcPr>
            <w:tcW w:w="8466" w:type="dxa"/>
            <w:vAlign w:val="center"/>
          </w:tcPr>
          <w:p w14:paraId="24E3B6B9" w14:textId="0C32FF51" w:rsidR="002D216A" w:rsidRDefault="002D216A" w:rsidP="003E7B62">
            <w:pPr>
              <w:numPr>
                <w:ilvl w:val="0"/>
                <w:numId w:val="4"/>
              </w:numPr>
              <w:contextualSpacing/>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531FB">
              <w:rPr>
                <w:rFonts w:ascii="Calibri" w:hAnsi="Calibri" w:cs="Calibri"/>
              </w:rPr>
              <w:t xml:space="preserve">The primary point of slippage is the </w:t>
            </w:r>
            <w:proofErr w:type="spellStart"/>
            <w:r w:rsidRPr="00C531FB">
              <w:rPr>
                <w:rFonts w:ascii="Calibri" w:hAnsi="Calibri" w:cs="Calibri"/>
              </w:rPr>
              <w:t>N</w:t>
            </w:r>
            <w:r>
              <w:rPr>
                <w:rFonts w:ascii="Calibri" w:hAnsi="Calibri" w:cs="Calibri"/>
              </w:rPr>
              <w:t>aturePlanner</w:t>
            </w:r>
            <w:proofErr w:type="spellEnd"/>
            <w:r>
              <w:rPr>
                <w:rFonts w:ascii="Calibri" w:hAnsi="Calibri" w:cs="Calibri"/>
              </w:rPr>
              <w:t xml:space="preserve">/Informed Decision </w:t>
            </w:r>
            <w:r w:rsidRPr="00C531FB">
              <w:rPr>
                <w:rFonts w:ascii="Calibri" w:hAnsi="Calibri" w:cs="Calibri"/>
              </w:rPr>
              <w:t>project pilot which has been delayed by a combination of NatureScot’s internal IT issues and time needed to encourage Scottish Forestry on board to participate.  Th</w:t>
            </w:r>
            <w:r>
              <w:rPr>
                <w:rFonts w:ascii="Calibri" w:hAnsi="Calibri" w:cs="Calibri"/>
              </w:rPr>
              <w:t>e</w:t>
            </w:r>
            <w:r w:rsidR="007F5150">
              <w:rPr>
                <w:rFonts w:ascii="Calibri" w:hAnsi="Calibri" w:cs="Calibri"/>
              </w:rPr>
              <w:t xml:space="preserve"> </w:t>
            </w:r>
            <w:r w:rsidRPr="00C531FB">
              <w:rPr>
                <w:rFonts w:ascii="Calibri" w:hAnsi="Calibri" w:cs="Calibri"/>
              </w:rPr>
              <w:t xml:space="preserve">scheduled timescale for the project now likely to extend to end of Q2 </w:t>
            </w:r>
            <w:r>
              <w:rPr>
                <w:rFonts w:ascii="Calibri" w:hAnsi="Calibri" w:cs="Calibri"/>
              </w:rPr>
              <w:t>2023/24.</w:t>
            </w:r>
          </w:p>
          <w:p w14:paraId="4EE5ABE0" w14:textId="77777777" w:rsidR="002D216A" w:rsidRDefault="002D216A" w:rsidP="003E7B62">
            <w:pPr>
              <w:numPr>
                <w:ilvl w:val="0"/>
                <w:numId w:val="4"/>
              </w:numPr>
              <w:contextualSpacing/>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531FB">
              <w:rPr>
                <w:rFonts w:ascii="Calibri" w:hAnsi="Calibri" w:cs="Calibri"/>
              </w:rPr>
              <w:t>Good progress has been made on working through the policy implications of N</w:t>
            </w:r>
            <w:r>
              <w:rPr>
                <w:rFonts w:ascii="Calibri" w:hAnsi="Calibri" w:cs="Calibri"/>
              </w:rPr>
              <w:t xml:space="preserve">ational </w:t>
            </w:r>
            <w:r w:rsidRPr="00C531FB">
              <w:rPr>
                <w:rFonts w:ascii="Calibri" w:hAnsi="Calibri" w:cs="Calibri"/>
              </w:rPr>
              <w:t>P</w:t>
            </w:r>
            <w:r>
              <w:rPr>
                <w:rFonts w:ascii="Calibri" w:hAnsi="Calibri" w:cs="Calibri"/>
              </w:rPr>
              <w:t xml:space="preserve">lanning </w:t>
            </w:r>
            <w:r w:rsidRPr="00C531FB">
              <w:rPr>
                <w:rFonts w:ascii="Calibri" w:hAnsi="Calibri" w:cs="Calibri"/>
              </w:rPr>
              <w:t>F</w:t>
            </w:r>
            <w:r>
              <w:rPr>
                <w:rFonts w:ascii="Calibri" w:hAnsi="Calibri" w:cs="Calibri"/>
              </w:rPr>
              <w:t xml:space="preserve">ramework </w:t>
            </w:r>
            <w:r w:rsidRPr="00C531FB">
              <w:rPr>
                <w:rFonts w:ascii="Calibri" w:hAnsi="Calibri" w:cs="Calibri"/>
              </w:rPr>
              <w:t xml:space="preserve">4 </w:t>
            </w:r>
            <w:r>
              <w:rPr>
                <w:rFonts w:ascii="Calibri" w:hAnsi="Calibri" w:cs="Calibri"/>
              </w:rPr>
              <w:t xml:space="preserve">(NPF4) </w:t>
            </w:r>
            <w:r w:rsidRPr="00C531FB">
              <w:rPr>
                <w:rFonts w:ascii="Calibri" w:hAnsi="Calibri" w:cs="Calibri"/>
              </w:rPr>
              <w:t>and what our approach to cas</w:t>
            </w:r>
            <w:r>
              <w:rPr>
                <w:rFonts w:ascii="Calibri" w:hAnsi="Calibri" w:cs="Calibri"/>
              </w:rPr>
              <w:t xml:space="preserve">ework in particular needs to be.  </w:t>
            </w:r>
            <w:r w:rsidRPr="00C531FB">
              <w:rPr>
                <w:rFonts w:ascii="Calibri" w:hAnsi="Calibri" w:cs="Calibri"/>
              </w:rPr>
              <w:t>Interim guida</w:t>
            </w:r>
            <w:r>
              <w:rPr>
                <w:rFonts w:ascii="Calibri" w:hAnsi="Calibri" w:cs="Calibri"/>
              </w:rPr>
              <w:t>nce on casework has been issued.</w:t>
            </w:r>
          </w:p>
          <w:p w14:paraId="5BFF93F4" w14:textId="77777777" w:rsidR="002D216A" w:rsidRDefault="002D216A" w:rsidP="003E7B62">
            <w:pPr>
              <w:numPr>
                <w:ilvl w:val="0"/>
                <w:numId w:val="4"/>
              </w:numPr>
              <w:contextualSpacing/>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531FB">
              <w:rPr>
                <w:rFonts w:ascii="Calibri" w:hAnsi="Calibri" w:cs="Calibri"/>
              </w:rPr>
              <w:t xml:space="preserve">We have formally withdrawn from a number of current or ongoing Inquiries on the basis of the change to policy on Wild Land and also withdrawn a number of objections.  Participation in </w:t>
            </w:r>
            <w:proofErr w:type="spellStart"/>
            <w:r w:rsidRPr="00C531FB">
              <w:rPr>
                <w:rFonts w:ascii="Calibri" w:hAnsi="Calibri" w:cs="Calibri"/>
              </w:rPr>
              <w:t>Narachan</w:t>
            </w:r>
            <w:proofErr w:type="spellEnd"/>
            <w:r w:rsidRPr="00C531FB">
              <w:rPr>
                <w:rFonts w:ascii="Calibri" w:hAnsi="Calibri" w:cs="Calibri"/>
              </w:rPr>
              <w:t xml:space="preserve"> windfarm inquiry affecting NSA resource should be co</w:t>
            </w:r>
            <w:r>
              <w:rPr>
                <w:rFonts w:ascii="Calibri" w:hAnsi="Calibri" w:cs="Calibri"/>
              </w:rPr>
              <w:t xml:space="preserve">mpleted by end of Q4.  </w:t>
            </w:r>
          </w:p>
          <w:p w14:paraId="76DBE0D6" w14:textId="6F329103" w:rsidR="002D216A" w:rsidRDefault="002D216A" w:rsidP="003E7B62">
            <w:pPr>
              <w:numPr>
                <w:ilvl w:val="0"/>
                <w:numId w:val="4"/>
              </w:numPr>
              <w:contextualSpacing/>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531FB">
              <w:rPr>
                <w:rFonts w:ascii="Calibri" w:hAnsi="Calibri" w:cs="Calibri"/>
              </w:rPr>
              <w:t xml:space="preserve">S36 applications – in principle discussions agreed that we </w:t>
            </w:r>
            <w:r>
              <w:rPr>
                <w:rFonts w:ascii="Calibri" w:hAnsi="Calibri" w:cs="Calibri"/>
              </w:rPr>
              <w:t>will</w:t>
            </w:r>
            <w:r w:rsidRPr="00C531FB">
              <w:rPr>
                <w:rFonts w:ascii="Calibri" w:hAnsi="Calibri" w:cs="Calibri"/>
              </w:rPr>
              <w:t xml:space="preserve"> streamline input an</w:t>
            </w:r>
            <w:r>
              <w:rPr>
                <w:rFonts w:ascii="Calibri" w:hAnsi="Calibri" w:cs="Calibri"/>
              </w:rPr>
              <w:t xml:space="preserve">d acknowledgement </w:t>
            </w:r>
            <w:r w:rsidR="007F5150">
              <w:rPr>
                <w:rFonts w:ascii="Calibri" w:hAnsi="Calibri" w:cs="Calibri"/>
              </w:rPr>
              <w:t>that we</w:t>
            </w:r>
            <w:r w:rsidRPr="00C531FB">
              <w:rPr>
                <w:rFonts w:ascii="Calibri" w:hAnsi="Calibri" w:cs="Calibri"/>
              </w:rPr>
              <w:t xml:space="preserve"> can’t supply the service E</w:t>
            </w:r>
            <w:r>
              <w:rPr>
                <w:rFonts w:ascii="Calibri" w:hAnsi="Calibri" w:cs="Calibri"/>
              </w:rPr>
              <w:t xml:space="preserve">nergy </w:t>
            </w:r>
            <w:r w:rsidRPr="00C531FB">
              <w:rPr>
                <w:rFonts w:ascii="Calibri" w:hAnsi="Calibri" w:cs="Calibri"/>
              </w:rPr>
              <w:t>C</w:t>
            </w:r>
            <w:r>
              <w:rPr>
                <w:rFonts w:ascii="Calibri" w:hAnsi="Calibri" w:cs="Calibri"/>
              </w:rPr>
              <w:t xml:space="preserve">onsents </w:t>
            </w:r>
            <w:r w:rsidRPr="00C531FB">
              <w:rPr>
                <w:rFonts w:ascii="Calibri" w:hAnsi="Calibri" w:cs="Calibri"/>
              </w:rPr>
              <w:t>U</w:t>
            </w:r>
            <w:r>
              <w:rPr>
                <w:rFonts w:ascii="Calibri" w:hAnsi="Calibri" w:cs="Calibri"/>
              </w:rPr>
              <w:t xml:space="preserve">nit (ECU) </w:t>
            </w:r>
            <w:r w:rsidR="007F5150">
              <w:rPr>
                <w:rFonts w:ascii="Calibri" w:hAnsi="Calibri" w:cs="Calibri"/>
              </w:rPr>
              <w:t>have relied on</w:t>
            </w:r>
            <w:r w:rsidRPr="00C531FB">
              <w:rPr>
                <w:rFonts w:ascii="Calibri" w:hAnsi="Calibri" w:cs="Calibri"/>
              </w:rPr>
              <w:t xml:space="preserve">.  Example letters for planning cases being collated to provide assurance </w:t>
            </w:r>
            <w:r>
              <w:rPr>
                <w:rFonts w:ascii="Calibri" w:hAnsi="Calibri" w:cs="Calibri"/>
              </w:rPr>
              <w:t xml:space="preserve">this </w:t>
            </w:r>
            <w:r w:rsidRPr="00C531FB">
              <w:rPr>
                <w:rFonts w:ascii="Calibri" w:hAnsi="Calibri" w:cs="Calibri"/>
              </w:rPr>
              <w:t xml:space="preserve">will deliver the value that ECU actually need.  </w:t>
            </w:r>
          </w:p>
          <w:p w14:paraId="6C4D72D7" w14:textId="77777777" w:rsidR="002D216A" w:rsidRDefault="002D216A" w:rsidP="003E7B62">
            <w:pPr>
              <w:numPr>
                <w:ilvl w:val="0"/>
                <w:numId w:val="4"/>
              </w:numPr>
              <w:contextualSpacing/>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531FB">
              <w:rPr>
                <w:rFonts w:ascii="Calibri" w:hAnsi="Calibri" w:cs="Calibri"/>
              </w:rPr>
              <w:t>Posit</w:t>
            </w:r>
            <w:r>
              <w:rPr>
                <w:rFonts w:ascii="Calibri" w:hAnsi="Calibri" w:cs="Calibri"/>
              </w:rPr>
              <w:t>ive Effects for Biodiversity - </w:t>
            </w:r>
            <w:r w:rsidRPr="00C531FB">
              <w:rPr>
                <w:rFonts w:ascii="Calibri" w:hAnsi="Calibri" w:cs="Calibri"/>
              </w:rPr>
              <w:t>Work needed to clearly manage expectations of others as to our engagement on individual propo</w:t>
            </w:r>
            <w:r>
              <w:rPr>
                <w:rFonts w:ascii="Calibri" w:hAnsi="Calibri" w:cs="Calibri"/>
              </w:rPr>
              <w:t>sals</w:t>
            </w:r>
            <w:r w:rsidRPr="00C531FB">
              <w:rPr>
                <w:rFonts w:ascii="Calibri" w:hAnsi="Calibri" w:cs="Calibri"/>
              </w:rPr>
              <w:t xml:space="preserve">.  We have had regular engagement and comment as part of the oversight of Scottish Government’s SRUC commission on biodiversity metric.  Ongoing risk associated with possible assumption by industry that positive effects represent business as usual.  </w:t>
            </w:r>
          </w:p>
          <w:p w14:paraId="52FA0572" w14:textId="723BA11B" w:rsidR="00F550D1" w:rsidRPr="00F550D1" w:rsidRDefault="002D216A" w:rsidP="003E7B62">
            <w:pPr>
              <w:numPr>
                <w:ilvl w:val="0"/>
                <w:numId w:val="4"/>
              </w:numPr>
              <w:contextualSpacing/>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531FB">
              <w:rPr>
                <w:rFonts w:ascii="Calibri" w:hAnsi="Calibri" w:cs="Calibri"/>
              </w:rPr>
              <w:t>Development Planning – discussions with L</w:t>
            </w:r>
            <w:r>
              <w:rPr>
                <w:rFonts w:ascii="Calibri" w:hAnsi="Calibri" w:cs="Calibri"/>
              </w:rPr>
              <w:t xml:space="preserve">ocal </w:t>
            </w:r>
            <w:r w:rsidRPr="00C531FB">
              <w:rPr>
                <w:rFonts w:ascii="Calibri" w:hAnsi="Calibri" w:cs="Calibri"/>
              </w:rPr>
              <w:t>A</w:t>
            </w:r>
            <w:r>
              <w:rPr>
                <w:rFonts w:ascii="Calibri" w:hAnsi="Calibri" w:cs="Calibri"/>
              </w:rPr>
              <w:t>uthoritie</w:t>
            </w:r>
            <w:r w:rsidRPr="00C531FB">
              <w:rPr>
                <w:rFonts w:ascii="Calibri" w:hAnsi="Calibri" w:cs="Calibri"/>
              </w:rPr>
              <w:t>s on nature network requirements and beginning of L</w:t>
            </w:r>
            <w:r>
              <w:rPr>
                <w:rFonts w:ascii="Calibri" w:hAnsi="Calibri" w:cs="Calibri"/>
              </w:rPr>
              <w:t xml:space="preserve">ocal </w:t>
            </w:r>
            <w:r w:rsidRPr="00C531FB">
              <w:rPr>
                <w:rFonts w:ascii="Calibri" w:hAnsi="Calibri" w:cs="Calibri"/>
              </w:rPr>
              <w:t>D</w:t>
            </w:r>
            <w:r>
              <w:rPr>
                <w:rFonts w:ascii="Calibri" w:hAnsi="Calibri" w:cs="Calibri"/>
              </w:rPr>
              <w:t xml:space="preserve">elivery </w:t>
            </w:r>
            <w:r w:rsidRPr="00C531FB">
              <w:rPr>
                <w:rFonts w:ascii="Calibri" w:hAnsi="Calibri" w:cs="Calibri"/>
              </w:rPr>
              <w:t>P</w:t>
            </w:r>
            <w:r>
              <w:rPr>
                <w:rFonts w:ascii="Calibri" w:hAnsi="Calibri" w:cs="Calibri"/>
              </w:rPr>
              <w:t>lan</w:t>
            </w:r>
            <w:r w:rsidRPr="00C531FB">
              <w:rPr>
                <w:rFonts w:ascii="Calibri" w:hAnsi="Calibri" w:cs="Calibri"/>
              </w:rPr>
              <w:t xml:space="preserve"> drafting process.</w:t>
            </w:r>
          </w:p>
        </w:tc>
      </w:tr>
      <w:tr w:rsidR="00F550D1" w:rsidRPr="00F550D1" w14:paraId="59E9E9B1" w14:textId="77777777" w:rsidTr="009E022E">
        <w:trPr>
          <w:cantSplit/>
          <w:jc w:val="center"/>
        </w:trPr>
        <w:tc>
          <w:tcPr>
            <w:cnfStyle w:val="001000000000" w:firstRow="0" w:lastRow="0" w:firstColumn="1" w:lastColumn="0" w:oddVBand="0" w:evenVBand="0" w:oddHBand="0" w:evenHBand="0" w:firstRowFirstColumn="0" w:firstRowLastColumn="0" w:lastRowFirstColumn="0" w:lastRowLastColumn="0"/>
            <w:tcW w:w="3544" w:type="dxa"/>
            <w:vAlign w:val="center"/>
          </w:tcPr>
          <w:p w14:paraId="5FE4D2F6" w14:textId="77777777" w:rsidR="00F550D1" w:rsidRPr="00F550D1" w:rsidRDefault="00F550D1" w:rsidP="00F550D1">
            <w:pPr>
              <w:rPr>
                <w:rFonts w:ascii="Calibri" w:hAnsi="Calibri" w:cs="Calibri"/>
                <w:b w:val="0"/>
                <w:color w:val="000000"/>
              </w:rPr>
            </w:pPr>
            <w:r w:rsidRPr="00F550D1">
              <w:rPr>
                <w:rFonts w:ascii="Calibri" w:hAnsi="Calibri" w:cs="Calibri"/>
                <w:b w:val="0"/>
                <w:color w:val="000000"/>
              </w:rPr>
              <w:lastRenderedPageBreak/>
              <w:t>Influence the transformation of marine management through new marine planning, protection and fisheries management frameworks, and working with the marine renewable energy sector</w:t>
            </w:r>
          </w:p>
        </w:tc>
        <w:tc>
          <w:tcPr>
            <w:tcW w:w="1559" w:type="dxa"/>
            <w:vAlign w:val="center"/>
          </w:tcPr>
          <w:p w14:paraId="687E12F6" w14:textId="77777777" w:rsidR="00F550D1" w:rsidRPr="00F550D1" w:rsidRDefault="00F550D1" w:rsidP="00F550D1">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F550D1">
              <w:rPr>
                <w:rFonts w:ascii="Calibri" w:hAnsi="Calibri" w:cs="Calibri"/>
                <w:color w:val="000000"/>
              </w:rPr>
              <w:t>Nick Halfhide</w:t>
            </w:r>
          </w:p>
        </w:tc>
        <w:tc>
          <w:tcPr>
            <w:tcW w:w="993" w:type="dxa"/>
            <w:shd w:val="clear" w:color="auto" w:fill="9BBB59" w:themeFill="accent3"/>
            <w:vAlign w:val="center"/>
          </w:tcPr>
          <w:p w14:paraId="47AA6146" w14:textId="77777777" w:rsidR="00F550D1" w:rsidRPr="00F550D1" w:rsidRDefault="00F550D1" w:rsidP="00F550D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550D1">
              <w:rPr>
                <w:rFonts w:ascii="Calibri" w:hAnsi="Calibri" w:cs="Calibri"/>
                <w:b/>
              </w:rPr>
              <w:t>GREEN</w:t>
            </w:r>
          </w:p>
        </w:tc>
        <w:tc>
          <w:tcPr>
            <w:tcW w:w="8466" w:type="dxa"/>
            <w:vAlign w:val="center"/>
          </w:tcPr>
          <w:p w14:paraId="6BE9ED57" w14:textId="77777777" w:rsidR="00393BD7" w:rsidRPr="00393BD7" w:rsidRDefault="00393BD7" w:rsidP="003E7B62">
            <w:pPr>
              <w:numPr>
                <w:ilvl w:val="0"/>
                <w:numId w:val="5"/>
              </w:numPr>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rPr>
            </w:pPr>
            <w:r w:rsidRPr="00393BD7">
              <w:rPr>
                <w:rFonts w:ascii="Calibri" w:hAnsi="Calibri" w:cs="Calibri"/>
                <w:color w:val="000000"/>
                <w:szCs w:val="24"/>
              </w:rPr>
              <w:t xml:space="preserve">Formal advice submitted on Berwick Bank Offshore Wind Farm application, including on the first marine derogation case in Scotland for seabird impacts. </w:t>
            </w:r>
          </w:p>
          <w:p w14:paraId="08432476" w14:textId="77777777" w:rsidR="00393BD7" w:rsidRPr="00393BD7" w:rsidRDefault="00393BD7" w:rsidP="003E7B62">
            <w:pPr>
              <w:numPr>
                <w:ilvl w:val="0"/>
                <w:numId w:val="5"/>
              </w:numPr>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rPr>
            </w:pPr>
            <w:r w:rsidRPr="00393BD7">
              <w:rPr>
                <w:rFonts w:ascii="Calibri" w:hAnsi="Calibri" w:cs="Calibri"/>
                <w:color w:val="000000"/>
                <w:szCs w:val="24"/>
              </w:rPr>
              <w:t xml:space="preserve">Wider marine energy casework load is escalating rapidly and we are discussing additional staff capacity and resourcing issues with Marine Scotland. </w:t>
            </w:r>
          </w:p>
          <w:p w14:paraId="12DA6E1B" w14:textId="77777777" w:rsidR="00393BD7" w:rsidRPr="00393BD7" w:rsidRDefault="00393BD7" w:rsidP="003E7B62">
            <w:pPr>
              <w:numPr>
                <w:ilvl w:val="0"/>
                <w:numId w:val="5"/>
              </w:numPr>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rPr>
            </w:pPr>
            <w:r w:rsidRPr="00393BD7">
              <w:rPr>
                <w:rFonts w:ascii="Calibri" w:hAnsi="Calibri" w:cs="Calibri"/>
                <w:color w:val="000000"/>
                <w:szCs w:val="24"/>
              </w:rPr>
              <w:t>Work has begun to scope the vision and objectives for National Marine Plan 2. We have provided Marine Scotland with advice to inform the vision &amp; objectives, use of marine natural capital approaches in Strategic Environmental Assessments and on assessing cumulative impacts.</w:t>
            </w:r>
          </w:p>
          <w:p w14:paraId="6E62A892" w14:textId="60BEADDD" w:rsidR="003C2E42" w:rsidRPr="003C2E42" w:rsidRDefault="00393BD7" w:rsidP="003E7B62">
            <w:pPr>
              <w:numPr>
                <w:ilvl w:val="0"/>
                <w:numId w:val="5"/>
              </w:numPr>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rPr>
            </w:pPr>
            <w:r w:rsidRPr="00393BD7">
              <w:rPr>
                <w:rFonts w:ascii="Calibri" w:hAnsi="Calibri" w:cs="Calibri"/>
                <w:color w:val="000000"/>
                <w:szCs w:val="24"/>
              </w:rPr>
              <w:t>We helped to shape a Blue Economy Vision and Delivery Plan which recognise that economy and wellbeing are embedded within nature.</w:t>
            </w:r>
          </w:p>
        </w:tc>
      </w:tr>
    </w:tbl>
    <w:p w14:paraId="7DB7007E" w14:textId="77777777" w:rsidR="00F550D1" w:rsidRPr="00F550D1" w:rsidRDefault="00F550D1" w:rsidP="00F550D1">
      <w:pPr>
        <w:keepNext/>
        <w:keepLines/>
        <w:spacing w:before="40" w:after="0" w:line="259" w:lineRule="auto"/>
        <w:jc w:val="center"/>
        <w:outlineLvl w:val="1"/>
        <w:rPr>
          <w:rFonts w:ascii="Calibri" w:eastAsiaTheme="majorEastAsia" w:hAnsi="Calibri" w:cs="Calibri"/>
          <w:b/>
          <w:szCs w:val="26"/>
        </w:rPr>
      </w:pPr>
    </w:p>
    <w:p w14:paraId="709ACFC4" w14:textId="77777777" w:rsidR="00F550D1" w:rsidRPr="00F550D1" w:rsidRDefault="00F550D1" w:rsidP="00F550D1">
      <w:pPr>
        <w:keepNext/>
        <w:keepLines/>
        <w:shd w:val="clear" w:color="auto" w:fill="007DC3"/>
        <w:spacing w:before="40" w:after="0" w:line="259" w:lineRule="auto"/>
        <w:jc w:val="center"/>
        <w:outlineLvl w:val="1"/>
        <w:rPr>
          <w:rFonts w:ascii="Calibri" w:eastAsiaTheme="majorEastAsia" w:hAnsi="Calibri" w:cs="Calibri"/>
          <w:b/>
          <w:szCs w:val="26"/>
        </w:rPr>
      </w:pPr>
      <w:r w:rsidRPr="00F550D1">
        <w:rPr>
          <w:rFonts w:ascii="Calibri" w:eastAsiaTheme="majorEastAsia" w:hAnsi="Calibri" w:cs="Calibri"/>
          <w:b/>
          <w:szCs w:val="26"/>
        </w:rPr>
        <w:t>WE HAVE RESTORED NATURE</w:t>
      </w:r>
    </w:p>
    <w:tbl>
      <w:tblPr>
        <w:tblStyle w:val="PlainTable13"/>
        <w:tblW w:w="145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WE HAVE RESTORED NATURE Q1 UPDATE"/>
      </w:tblPr>
      <w:tblGrid>
        <w:gridCol w:w="3544"/>
        <w:gridCol w:w="1559"/>
        <w:gridCol w:w="993"/>
        <w:gridCol w:w="8466"/>
      </w:tblGrid>
      <w:tr w:rsidR="00F550D1" w:rsidRPr="00F550D1" w14:paraId="251FF948" w14:textId="77777777" w:rsidTr="009E022E">
        <w:trPr>
          <w:cnfStyle w:val="100000000000" w:firstRow="1" w:lastRow="0" w:firstColumn="0" w:lastColumn="0" w:oddVBand="0" w:evenVBand="0" w:oddHBand="0" w:evenHBand="0" w:firstRowFirstColumn="0" w:firstRowLastColumn="0" w:lastRowFirstColumn="0" w:lastRowLastColumn="0"/>
          <w:cantSplit/>
          <w:tblHeader/>
          <w:jc w:val="center"/>
        </w:trPr>
        <w:tc>
          <w:tcPr>
            <w:cnfStyle w:val="001000000000" w:firstRow="0" w:lastRow="0" w:firstColumn="1" w:lastColumn="0" w:oddVBand="0" w:evenVBand="0" w:oddHBand="0" w:evenHBand="0" w:firstRowFirstColumn="0" w:firstRowLastColumn="0" w:lastRowFirstColumn="0" w:lastRowLastColumn="0"/>
            <w:tcW w:w="3544" w:type="dxa"/>
            <w:vAlign w:val="center"/>
          </w:tcPr>
          <w:p w14:paraId="7E2184EA" w14:textId="77777777" w:rsidR="00F550D1" w:rsidRPr="00F550D1" w:rsidRDefault="00F550D1" w:rsidP="00F550D1">
            <w:pPr>
              <w:jc w:val="center"/>
              <w:rPr>
                <w:rFonts w:ascii="Calibri" w:hAnsi="Calibri" w:cs="Calibri"/>
                <w:szCs w:val="26"/>
              </w:rPr>
            </w:pPr>
            <w:r w:rsidRPr="00F550D1">
              <w:rPr>
                <w:rFonts w:ascii="Calibri" w:hAnsi="Calibri" w:cs="Calibri"/>
                <w:szCs w:val="26"/>
              </w:rPr>
              <w:t>CORPORATE PLAN OBJECTIVE</w:t>
            </w:r>
          </w:p>
        </w:tc>
        <w:tc>
          <w:tcPr>
            <w:tcW w:w="1559" w:type="dxa"/>
            <w:vAlign w:val="center"/>
          </w:tcPr>
          <w:p w14:paraId="66F508CE" w14:textId="77777777" w:rsidR="00F550D1" w:rsidRPr="00F550D1" w:rsidRDefault="00F550D1" w:rsidP="00F550D1">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Cs w:val="26"/>
              </w:rPr>
            </w:pPr>
            <w:r w:rsidRPr="00F550D1">
              <w:rPr>
                <w:rFonts w:ascii="Calibri" w:hAnsi="Calibri" w:cs="Calibri"/>
                <w:szCs w:val="26"/>
              </w:rPr>
              <w:t>SLT LEAD</w:t>
            </w:r>
          </w:p>
        </w:tc>
        <w:tc>
          <w:tcPr>
            <w:tcW w:w="993" w:type="dxa"/>
            <w:vAlign w:val="center"/>
          </w:tcPr>
          <w:p w14:paraId="615FB428" w14:textId="77777777" w:rsidR="00F550D1" w:rsidRPr="00F550D1" w:rsidRDefault="00F550D1" w:rsidP="00F550D1">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Cs w:val="26"/>
              </w:rPr>
            </w:pPr>
            <w:r w:rsidRPr="00F550D1">
              <w:rPr>
                <w:rFonts w:ascii="Calibri" w:hAnsi="Calibri" w:cs="Calibri"/>
                <w:szCs w:val="26"/>
              </w:rPr>
              <w:t>RAG SCORE</w:t>
            </w:r>
          </w:p>
        </w:tc>
        <w:tc>
          <w:tcPr>
            <w:tcW w:w="8466" w:type="dxa"/>
            <w:vAlign w:val="center"/>
          </w:tcPr>
          <w:p w14:paraId="2F8F3CE5" w14:textId="6C9C79F5" w:rsidR="00F550D1" w:rsidRPr="00F550D1" w:rsidRDefault="00C531FB" w:rsidP="00F550D1">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Cs w:val="26"/>
              </w:rPr>
            </w:pPr>
            <w:r>
              <w:rPr>
                <w:rFonts w:ascii="Calibri" w:hAnsi="Calibri" w:cs="Calibri"/>
                <w:szCs w:val="26"/>
              </w:rPr>
              <w:t>Q4</w:t>
            </w:r>
            <w:r w:rsidR="00F550D1" w:rsidRPr="00F550D1">
              <w:rPr>
                <w:rFonts w:ascii="Calibri" w:hAnsi="Calibri" w:cs="Calibri"/>
                <w:szCs w:val="26"/>
              </w:rPr>
              <w:t xml:space="preserve"> UPDATE</w:t>
            </w:r>
          </w:p>
        </w:tc>
      </w:tr>
      <w:tr w:rsidR="00F550D1" w:rsidRPr="00F550D1" w14:paraId="20CF1E59" w14:textId="77777777" w:rsidTr="009E022E">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3544" w:type="dxa"/>
            <w:vAlign w:val="center"/>
          </w:tcPr>
          <w:p w14:paraId="56AAFBB2" w14:textId="77777777" w:rsidR="00F550D1" w:rsidRPr="00F550D1" w:rsidRDefault="00F550D1" w:rsidP="00F550D1">
            <w:pPr>
              <w:rPr>
                <w:rFonts w:ascii="Calibri" w:hAnsi="Calibri" w:cs="Calibri"/>
                <w:b w:val="0"/>
                <w:color w:val="000000"/>
                <w:szCs w:val="24"/>
              </w:rPr>
            </w:pPr>
            <w:r w:rsidRPr="00F550D1">
              <w:rPr>
                <w:rFonts w:ascii="Calibri" w:hAnsi="Calibri" w:cs="Calibri"/>
                <w:b w:val="0"/>
                <w:color w:val="000000"/>
                <w:szCs w:val="24"/>
              </w:rPr>
              <w:t>Co-lead the production of the new Scottish Biodiversity Strategy (SBS) and develop targets to include in a new Natural Environment Bill</w:t>
            </w:r>
          </w:p>
        </w:tc>
        <w:tc>
          <w:tcPr>
            <w:tcW w:w="1559" w:type="dxa"/>
            <w:vAlign w:val="center"/>
          </w:tcPr>
          <w:p w14:paraId="7886D2DF" w14:textId="77777777" w:rsidR="00F550D1" w:rsidRPr="00F550D1" w:rsidRDefault="00F550D1" w:rsidP="00F550D1">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4"/>
              </w:rPr>
            </w:pPr>
            <w:r w:rsidRPr="00F550D1">
              <w:rPr>
                <w:rFonts w:ascii="Calibri" w:hAnsi="Calibri" w:cs="Calibri"/>
                <w:color w:val="000000"/>
                <w:szCs w:val="24"/>
              </w:rPr>
              <w:t>Nick Halfhide</w:t>
            </w:r>
          </w:p>
        </w:tc>
        <w:tc>
          <w:tcPr>
            <w:tcW w:w="993" w:type="dxa"/>
            <w:shd w:val="clear" w:color="auto" w:fill="9BBB59" w:themeFill="accent3"/>
            <w:vAlign w:val="center"/>
          </w:tcPr>
          <w:p w14:paraId="6754B4D6" w14:textId="77777777" w:rsidR="00F550D1" w:rsidRPr="00F550D1" w:rsidRDefault="00F550D1" w:rsidP="00F550D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szCs w:val="24"/>
              </w:rPr>
            </w:pPr>
            <w:r w:rsidRPr="00F550D1">
              <w:rPr>
                <w:rFonts w:ascii="Calibri" w:hAnsi="Calibri" w:cs="Calibri"/>
                <w:b/>
                <w:szCs w:val="24"/>
              </w:rPr>
              <w:t>GREEN</w:t>
            </w:r>
          </w:p>
        </w:tc>
        <w:tc>
          <w:tcPr>
            <w:tcW w:w="8466" w:type="dxa"/>
            <w:vAlign w:val="center"/>
          </w:tcPr>
          <w:p w14:paraId="1177E3B2" w14:textId="77777777" w:rsidR="00393BD7" w:rsidRPr="00393BD7" w:rsidRDefault="00393BD7" w:rsidP="003E7B62">
            <w:pPr>
              <w:numPr>
                <w:ilvl w:val="0"/>
                <w:numId w:val="5"/>
              </w:numPr>
              <w:contextualSpacing/>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4"/>
              </w:rPr>
            </w:pPr>
            <w:r w:rsidRPr="00393BD7">
              <w:rPr>
                <w:rFonts w:ascii="Calibri" w:hAnsi="Calibri" w:cs="Calibri"/>
                <w:color w:val="000000"/>
                <w:szCs w:val="24"/>
              </w:rPr>
              <w:t xml:space="preserve">On schedule to consult on the Delivery Plan in Q1 of 23/24.  Plans have been developed through close working with Scottish Government Policy leads and Rural and Environment Science and Analytical Services Division (RESAS).  </w:t>
            </w:r>
          </w:p>
          <w:p w14:paraId="3F66DAA9" w14:textId="77777777" w:rsidR="00393BD7" w:rsidRPr="00393BD7" w:rsidRDefault="00393BD7" w:rsidP="003E7B62">
            <w:pPr>
              <w:numPr>
                <w:ilvl w:val="0"/>
                <w:numId w:val="5"/>
              </w:numPr>
              <w:contextualSpacing/>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4"/>
              </w:rPr>
            </w:pPr>
            <w:r w:rsidRPr="00393BD7">
              <w:rPr>
                <w:rFonts w:ascii="Calibri" w:hAnsi="Calibri" w:cs="Calibri"/>
                <w:color w:val="000000"/>
                <w:szCs w:val="24"/>
              </w:rPr>
              <w:t xml:space="preserve">Work on-going with SG colleagues to develop the timeline for the timing of the </w:t>
            </w:r>
            <w:proofErr w:type="spellStart"/>
            <w:r w:rsidRPr="00393BD7">
              <w:rPr>
                <w:rFonts w:ascii="Calibri" w:hAnsi="Calibri" w:cs="Calibri"/>
                <w:color w:val="000000"/>
                <w:szCs w:val="24"/>
              </w:rPr>
              <w:t>the</w:t>
            </w:r>
            <w:proofErr w:type="spellEnd"/>
            <w:r w:rsidRPr="00393BD7">
              <w:rPr>
                <w:rFonts w:ascii="Calibri" w:hAnsi="Calibri" w:cs="Calibri"/>
                <w:color w:val="000000"/>
                <w:szCs w:val="24"/>
              </w:rPr>
              <w:t xml:space="preserve"> Natural Environment Bill. </w:t>
            </w:r>
          </w:p>
          <w:p w14:paraId="37AA7173" w14:textId="67DF6BAB" w:rsidR="00F550D1" w:rsidRPr="00F550D1" w:rsidRDefault="00393BD7" w:rsidP="003E7B62">
            <w:pPr>
              <w:numPr>
                <w:ilvl w:val="0"/>
                <w:numId w:val="5"/>
              </w:numPr>
              <w:contextualSpacing/>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4"/>
              </w:rPr>
            </w:pPr>
            <w:r w:rsidRPr="00393BD7">
              <w:rPr>
                <w:rFonts w:ascii="Calibri" w:hAnsi="Calibri" w:cs="Calibri"/>
                <w:color w:val="000000"/>
                <w:szCs w:val="24"/>
              </w:rPr>
              <w:t xml:space="preserve">Publication of the final Biodiversity </w:t>
            </w:r>
            <w:proofErr w:type="spellStart"/>
            <w:r w:rsidRPr="00393BD7">
              <w:rPr>
                <w:rFonts w:ascii="Calibri" w:hAnsi="Calibri" w:cs="Calibri"/>
                <w:color w:val="000000"/>
                <w:szCs w:val="24"/>
              </w:rPr>
              <w:t>RouteMap</w:t>
            </w:r>
            <w:proofErr w:type="spellEnd"/>
            <w:r w:rsidRPr="00393BD7">
              <w:rPr>
                <w:rFonts w:ascii="Calibri" w:hAnsi="Calibri" w:cs="Calibri"/>
                <w:color w:val="000000"/>
                <w:szCs w:val="24"/>
              </w:rPr>
              <w:t xml:space="preserve"> report detailing more than 70 projects for the previous Biodiversity Strategy.</w:t>
            </w:r>
          </w:p>
        </w:tc>
      </w:tr>
      <w:tr w:rsidR="00F550D1" w:rsidRPr="00F550D1" w14:paraId="487D0F87" w14:textId="77777777" w:rsidTr="009E022E">
        <w:trPr>
          <w:cantSplit/>
          <w:jc w:val="center"/>
        </w:trPr>
        <w:tc>
          <w:tcPr>
            <w:cnfStyle w:val="001000000000" w:firstRow="0" w:lastRow="0" w:firstColumn="1" w:lastColumn="0" w:oddVBand="0" w:evenVBand="0" w:oddHBand="0" w:evenHBand="0" w:firstRowFirstColumn="0" w:firstRowLastColumn="0" w:lastRowFirstColumn="0" w:lastRowLastColumn="0"/>
            <w:tcW w:w="3544" w:type="dxa"/>
            <w:vAlign w:val="center"/>
          </w:tcPr>
          <w:p w14:paraId="44CC0071" w14:textId="77777777" w:rsidR="00F550D1" w:rsidRPr="00F550D1" w:rsidRDefault="00F550D1" w:rsidP="00F550D1">
            <w:pPr>
              <w:rPr>
                <w:rFonts w:ascii="Calibri" w:hAnsi="Calibri" w:cs="Calibri"/>
                <w:b w:val="0"/>
                <w:color w:val="000000"/>
                <w:szCs w:val="24"/>
              </w:rPr>
            </w:pPr>
            <w:r w:rsidRPr="00F550D1">
              <w:rPr>
                <w:rFonts w:ascii="Calibri" w:hAnsi="Calibri" w:cs="Calibri"/>
                <w:b w:val="0"/>
                <w:color w:val="000000"/>
                <w:szCs w:val="24"/>
              </w:rPr>
              <w:lastRenderedPageBreak/>
              <w:t>Scale up Peatland Restoration by delivering Peatland ACTION funding to projects</w:t>
            </w:r>
          </w:p>
        </w:tc>
        <w:tc>
          <w:tcPr>
            <w:tcW w:w="1559" w:type="dxa"/>
            <w:vAlign w:val="center"/>
          </w:tcPr>
          <w:p w14:paraId="6139CD29" w14:textId="77777777" w:rsidR="00F550D1" w:rsidRPr="00F550D1" w:rsidRDefault="00F550D1" w:rsidP="00F550D1">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rPr>
            </w:pPr>
            <w:r w:rsidRPr="00F550D1">
              <w:rPr>
                <w:rFonts w:ascii="Calibri" w:hAnsi="Calibri" w:cs="Calibri"/>
                <w:color w:val="000000"/>
                <w:szCs w:val="24"/>
              </w:rPr>
              <w:t>Robbie Kernahan</w:t>
            </w:r>
          </w:p>
        </w:tc>
        <w:tc>
          <w:tcPr>
            <w:tcW w:w="993" w:type="dxa"/>
            <w:shd w:val="clear" w:color="auto" w:fill="F79646" w:themeFill="accent6"/>
            <w:vAlign w:val="center"/>
          </w:tcPr>
          <w:p w14:paraId="01807D22" w14:textId="2B5B6F39" w:rsidR="00F550D1" w:rsidRPr="00F550D1" w:rsidRDefault="009E022E" w:rsidP="00F550D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4"/>
              </w:rPr>
            </w:pPr>
            <w:r>
              <w:rPr>
                <w:rFonts w:ascii="Calibri" w:hAnsi="Calibri" w:cs="Calibri"/>
                <w:b/>
              </w:rPr>
              <w:t>AMBER</w:t>
            </w:r>
          </w:p>
          <w:p w14:paraId="394D2FA8" w14:textId="77777777" w:rsidR="00F550D1" w:rsidRPr="00F550D1" w:rsidRDefault="00F550D1" w:rsidP="00F550D1">
            <w:pPr>
              <w:cnfStyle w:val="000000000000" w:firstRow="0" w:lastRow="0" w:firstColumn="0" w:lastColumn="0" w:oddVBand="0" w:evenVBand="0" w:oddHBand="0" w:evenHBand="0" w:firstRowFirstColumn="0" w:firstRowLastColumn="0" w:lastRowFirstColumn="0" w:lastRowLastColumn="0"/>
              <w:rPr>
                <w:rFonts w:ascii="Calibri" w:hAnsi="Calibri" w:cs="Calibri"/>
                <w:szCs w:val="24"/>
              </w:rPr>
            </w:pPr>
          </w:p>
        </w:tc>
        <w:tc>
          <w:tcPr>
            <w:tcW w:w="8466" w:type="dxa"/>
            <w:vAlign w:val="center"/>
          </w:tcPr>
          <w:p w14:paraId="3AD676AC" w14:textId="3CDDFF8B" w:rsidR="002D216A" w:rsidRPr="002D216A" w:rsidRDefault="002D216A" w:rsidP="003E7B62">
            <w:pPr>
              <w:numPr>
                <w:ilvl w:val="0"/>
                <w:numId w:val="5"/>
              </w:numPr>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rPr>
            </w:pPr>
            <w:r w:rsidRPr="002D216A">
              <w:rPr>
                <w:rFonts w:ascii="Calibri" w:hAnsi="Calibri" w:cs="Calibri"/>
                <w:color w:val="000000"/>
                <w:szCs w:val="24"/>
              </w:rPr>
              <w:t>Work continues to dr</w:t>
            </w:r>
            <w:r>
              <w:rPr>
                <w:rFonts w:ascii="Calibri" w:hAnsi="Calibri" w:cs="Calibri"/>
                <w:color w:val="000000"/>
                <w:szCs w:val="24"/>
              </w:rPr>
              <w:t xml:space="preserve">ive up demand for restoration, </w:t>
            </w:r>
            <w:r w:rsidRPr="002D216A">
              <w:rPr>
                <w:rFonts w:ascii="Calibri" w:hAnsi="Calibri" w:cs="Calibri"/>
                <w:color w:val="000000"/>
                <w:szCs w:val="24"/>
              </w:rPr>
              <w:t>raising awareness through a variety of conferences, publications and workshops.</w:t>
            </w:r>
          </w:p>
          <w:p w14:paraId="509370E9" w14:textId="576BA7DB" w:rsidR="002D216A" w:rsidRPr="002D216A" w:rsidRDefault="002D216A" w:rsidP="003E7B62">
            <w:pPr>
              <w:numPr>
                <w:ilvl w:val="0"/>
                <w:numId w:val="5"/>
              </w:numPr>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rPr>
            </w:pPr>
            <w:r w:rsidRPr="002D216A">
              <w:rPr>
                <w:rFonts w:ascii="Calibri" w:hAnsi="Calibri" w:cs="Calibri"/>
                <w:color w:val="000000"/>
                <w:szCs w:val="24"/>
              </w:rPr>
              <w:t>We have</w:t>
            </w:r>
            <w:r>
              <w:rPr>
                <w:rFonts w:ascii="Calibri" w:hAnsi="Calibri" w:cs="Calibri"/>
                <w:color w:val="000000"/>
                <w:szCs w:val="24"/>
              </w:rPr>
              <w:t xml:space="preserve"> </w:t>
            </w:r>
            <w:r w:rsidRPr="002D216A">
              <w:rPr>
                <w:rFonts w:ascii="Calibri" w:hAnsi="Calibri" w:cs="Calibri"/>
                <w:color w:val="000000"/>
                <w:szCs w:val="24"/>
              </w:rPr>
              <w:t>commissioned an expanded programme of feasibility studies; rolled out of new entrants scheme, supported new Scottish Rural College (SRUC) training course and published a new technical compendium;</w:t>
            </w:r>
          </w:p>
          <w:p w14:paraId="435F7EF9" w14:textId="16961398" w:rsidR="002D216A" w:rsidRPr="002D216A" w:rsidRDefault="002D216A" w:rsidP="003E7B62">
            <w:pPr>
              <w:numPr>
                <w:ilvl w:val="0"/>
                <w:numId w:val="5"/>
              </w:numPr>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rPr>
            </w:pPr>
            <w:r w:rsidRPr="002D216A">
              <w:rPr>
                <w:rFonts w:ascii="Calibri" w:hAnsi="Calibri" w:cs="Calibri"/>
                <w:color w:val="000000"/>
                <w:szCs w:val="24"/>
              </w:rPr>
              <w:t>We have</w:t>
            </w:r>
            <w:r>
              <w:rPr>
                <w:rFonts w:ascii="Calibri" w:hAnsi="Calibri" w:cs="Calibri"/>
                <w:color w:val="000000"/>
                <w:szCs w:val="24"/>
              </w:rPr>
              <w:t xml:space="preserve"> </w:t>
            </w:r>
            <w:r w:rsidRPr="002D216A">
              <w:rPr>
                <w:rFonts w:ascii="Calibri" w:hAnsi="Calibri" w:cs="Calibri"/>
                <w:color w:val="000000"/>
                <w:szCs w:val="24"/>
              </w:rPr>
              <w:t>conclude</w:t>
            </w:r>
            <w:r>
              <w:rPr>
                <w:rFonts w:ascii="Calibri" w:hAnsi="Calibri" w:cs="Calibri"/>
                <w:color w:val="000000"/>
                <w:szCs w:val="24"/>
              </w:rPr>
              <w:t>d</w:t>
            </w:r>
            <w:r w:rsidRPr="002D216A">
              <w:rPr>
                <w:rFonts w:ascii="Calibri" w:hAnsi="Calibri" w:cs="Calibri"/>
                <w:color w:val="000000"/>
                <w:szCs w:val="24"/>
              </w:rPr>
              <w:t xml:space="preserve"> delivery of restoration on 51 projects putting over 4700 ha on road to recovery; </w:t>
            </w:r>
          </w:p>
          <w:p w14:paraId="4196F89D" w14:textId="77777777" w:rsidR="002D216A" w:rsidRPr="002D216A" w:rsidRDefault="002D216A" w:rsidP="003E7B62">
            <w:pPr>
              <w:numPr>
                <w:ilvl w:val="0"/>
                <w:numId w:val="5"/>
              </w:numPr>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rPr>
            </w:pPr>
            <w:r w:rsidRPr="002D216A">
              <w:rPr>
                <w:rFonts w:ascii="Calibri" w:hAnsi="Calibri" w:cs="Calibri"/>
                <w:color w:val="000000"/>
                <w:szCs w:val="24"/>
              </w:rPr>
              <w:t xml:space="preserve"> helped with revisions/guidance on new version of Peatland Code </w:t>
            </w:r>
          </w:p>
          <w:p w14:paraId="2AF65DE6" w14:textId="57CC76ED" w:rsidR="00F550D1" w:rsidRPr="00F550D1" w:rsidRDefault="002D216A" w:rsidP="003E7B62">
            <w:pPr>
              <w:numPr>
                <w:ilvl w:val="0"/>
                <w:numId w:val="5"/>
              </w:numPr>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rPr>
            </w:pPr>
            <w:r w:rsidRPr="002D216A">
              <w:rPr>
                <w:rFonts w:ascii="Calibri" w:hAnsi="Calibri" w:cs="Calibri"/>
                <w:color w:val="000000"/>
                <w:szCs w:val="24"/>
              </w:rPr>
              <w:t xml:space="preserve"> Budgets have been submitted for 2023/24 to 25/26; and we have initiated recruitment of additional posts to support acceleration of restoration.</w:t>
            </w:r>
          </w:p>
        </w:tc>
      </w:tr>
      <w:tr w:rsidR="00F550D1" w:rsidRPr="00F550D1" w14:paraId="6E017749" w14:textId="77777777" w:rsidTr="009E022E">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3544" w:type="dxa"/>
            <w:vAlign w:val="center"/>
          </w:tcPr>
          <w:p w14:paraId="00C9991F" w14:textId="77777777" w:rsidR="00F550D1" w:rsidRPr="00F550D1" w:rsidRDefault="00F550D1" w:rsidP="00F550D1">
            <w:pPr>
              <w:rPr>
                <w:rFonts w:ascii="Calibri" w:hAnsi="Calibri" w:cs="Calibri"/>
                <w:b w:val="0"/>
                <w:color w:val="000000"/>
                <w:szCs w:val="24"/>
              </w:rPr>
            </w:pPr>
            <w:r w:rsidRPr="00F550D1">
              <w:rPr>
                <w:rFonts w:ascii="Calibri" w:hAnsi="Calibri" w:cs="Calibri"/>
                <w:b w:val="0"/>
                <w:color w:val="000000"/>
                <w:szCs w:val="24"/>
              </w:rPr>
              <w:t>Lead, enable and convene others around the development of ambitious and coherent actions to restore nature.  Deliver a major Nature Restoration Fund (NRF) targeted at high impact nature recovery projects and seeding greater investment from the private sector</w:t>
            </w:r>
          </w:p>
        </w:tc>
        <w:tc>
          <w:tcPr>
            <w:tcW w:w="1559" w:type="dxa"/>
            <w:vAlign w:val="center"/>
          </w:tcPr>
          <w:p w14:paraId="5103DD07" w14:textId="77777777" w:rsidR="00F550D1" w:rsidRPr="00F550D1" w:rsidRDefault="00F550D1" w:rsidP="00F550D1">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4"/>
              </w:rPr>
            </w:pPr>
            <w:r w:rsidRPr="00F550D1">
              <w:rPr>
                <w:rFonts w:ascii="Calibri" w:hAnsi="Calibri" w:cs="Calibri"/>
                <w:color w:val="000000"/>
                <w:szCs w:val="24"/>
              </w:rPr>
              <w:t>Nick Halfhide</w:t>
            </w:r>
          </w:p>
        </w:tc>
        <w:tc>
          <w:tcPr>
            <w:tcW w:w="993" w:type="dxa"/>
            <w:shd w:val="clear" w:color="auto" w:fill="9BBB59" w:themeFill="accent3"/>
            <w:vAlign w:val="center"/>
          </w:tcPr>
          <w:p w14:paraId="1C433A2D" w14:textId="77777777" w:rsidR="00F550D1" w:rsidRPr="00F550D1" w:rsidRDefault="00F550D1" w:rsidP="00F550D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szCs w:val="24"/>
              </w:rPr>
            </w:pPr>
            <w:r w:rsidRPr="00F550D1">
              <w:rPr>
                <w:rFonts w:ascii="Calibri" w:hAnsi="Calibri" w:cs="Calibri"/>
                <w:b/>
              </w:rPr>
              <w:t>GREEN</w:t>
            </w:r>
            <w:r w:rsidRPr="00F550D1">
              <w:rPr>
                <w:rFonts w:ascii="Calibri" w:hAnsi="Calibri" w:cs="Calibri"/>
                <w:b/>
                <w:szCs w:val="24"/>
              </w:rPr>
              <w:t xml:space="preserve"> </w:t>
            </w:r>
          </w:p>
        </w:tc>
        <w:tc>
          <w:tcPr>
            <w:tcW w:w="8466" w:type="dxa"/>
            <w:vAlign w:val="center"/>
          </w:tcPr>
          <w:p w14:paraId="0CC082CF" w14:textId="77777777" w:rsidR="00485D76" w:rsidRDefault="009E022E" w:rsidP="003E7B62">
            <w:pPr>
              <w:numPr>
                <w:ilvl w:val="0"/>
                <w:numId w:val="6"/>
              </w:numPr>
              <w:contextualSpacing/>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4"/>
              </w:rPr>
            </w:pPr>
            <w:r w:rsidRPr="009E022E">
              <w:rPr>
                <w:rFonts w:ascii="Calibri" w:hAnsi="Calibri" w:cs="Calibri"/>
                <w:color w:val="000000"/>
                <w:szCs w:val="24"/>
              </w:rPr>
              <w:t>Grant offers from the Transforming Nature round have been sent to successful applicants and signed by them. The award of money</w:t>
            </w:r>
            <w:r>
              <w:rPr>
                <w:rFonts w:ascii="Calibri" w:hAnsi="Calibri" w:cs="Calibri"/>
                <w:color w:val="000000"/>
                <w:szCs w:val="24"/>
              </w:rPr>
              <w:t xml:space="preserve"> </w:t>
            </w:r>
            <w:r w:rsidRPr="009E022E">
              <w:rPr>
                <w:rFonts w:ascii="Calibri" w:hAnsi="Calibri" w:cs="Calibri"/>
                <w:color w:val="000000"/>
                <w:szCs w:val="24"/>
              </w:rPr>
              <w:t xml:space="preserve">to successful applicants was announced by the Minister on 24th Feb.  </w:t>
            </w:r>
          </w:p>
          <w:p w14:paraId="3919DE93" w14:textId="25D5BB6C" w:rsidR="00485D76" w:rsidRDefault="009E022E" w:rsidP="003E7B62">
            <w:pPr>
              <w:numPr>
                <w:ilvl w:val="0"/>
                <w:numId w:val="6"/>
              </w:numPr>
              <w:contextualSpacing/>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4"/>
              </w:rPr>
            </w:pPr>
            <w:r w:rsidRPr="009E022E">
              <w:rPr>
                <w:rFonts w:ascii="Calibri" w:hAnsi="Calibri" w:cs="Calibri"/>
                <w:color w:val="000000"/>
                <w:szCs w:val="24"/>
              </w:rPr>
              <w:t>The first meeting of the N</w:t>
            </w:r>
            <w:r w:rsidR="00230933">
              <w:rPr>
                <w:rFonts w:ascii="Calibri" w:hAnsi="Calibri" w:cs="Calibri"/>
                <w:color w:val="000000"/>
                <w:szCs w:val="24"/>
              </w:rPr>
              <w:t xml:space="preserve">ature </w:t>
            </w:r>
            <w:r w:rsidRPr="009E022E">
              <w:rPr>
                <w:rFonts w:ascii="Calibri" w:hAnsi="Calibri" w:cs="Calibri"/>
                <w:color w:val="000000"/>
                <w:szCs w:val="24"/>
              </w:rPr>
              <w:t>R</w:t>
            </w:r>
            <w:r w:rsidR="00230933">
              <w:rPr>
                <w:rFonts w:ascii="Calibri" w:hAnsi="Calibri" w:cs="Calibri"/>
                <w:color w:val="000000"/>
                <w:szCs w:val="24"/>
              </w:rPr>
              <w:t xml:space="preserve">estoration </w:t>
            </w:r>
            <w:r w:rsidRPr="009E022E">
              <w:rPr>
                <w:rFonts w:ascii="Calibri" w:hAnsi="Calibri" w:cs="Calibri"/>
                <w:color w:val="000000"/>
                <w:szCs w:val="24"/>
              </w:rPr>
              <w:t>F</w:t>
            </w:r>
            <w:r w:rsidR="00230933">
              <w:rPr>
                <w:rFonts w:ascii="Calibri" w:hAnsi="Calibri" w:cs="Calibri"/>
                <w:color w:val="000000"/>
                <w:szCs w:val="24"/>
              </w:rPr>
              <w:t>und</w:t>
            </w:r>
            <w:r w:rsidRPr="009E022E">
              <w:rPr>
                <w:rFonts w:ascii="Calibri" w:hAnsi="Calibri" w:cs="Calibri"/>
                <w:color w:val="000000"/>
                <w:szCs w:val="24"/>
              </w:rPr>
              <w:t xml:space="preserve"> oversight b</w:t>
            </w:r>
            <w:r w:rsidR="00485D76">
              <w:rPr>
                <w:rFonts w:ascii="Calibri" w:hAnsi="Calibri" w:cs="Calibri"/>
                <w:color w:val="000000"/>
                <w:szCs w:val="24"/>
              </w:rPr>
              <w:t xml:space="preserve">oard will be held on 9th March. </w:t>
            </w:r>
          </w:p>
          <w:p w14:paraId="5A1B8D1D" w14:textId="23A62D05" w:rsidR="00F550D1" w:rsidRPr="00F550D1" w:rsidRDefault="009E022E" w:rsidP="003E7B62">
            <w:pPr>
              <w:numPr>
                <w:ilvl w:val="0"/>
                <w:numId w:val="6"/>
              </w:numPr>
              <w:contextualSpacing/>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4"/>
              </w:rPr>
            </w:pPr>
            <w:r w:rsidRPr="009E022E">
              <w:rPr>
                <w:rFonts w:ascii="Calibri" w:hAnsi="Calibri" w:cs="Calibri"/>
                <w:color w:val="000000"/>
                <w:szCs w:val="24"/>
              </w:rPr>
              <w:t xml:space="preserve">The next round of Expressions of interest for the Helping Nature fund has been launched.  </w:t>
            </w:r>
          </w:p>
        </w:tc>
      </w:tr>
      <w:tr w:rsidR="00F550D1" w:rsidRPr="00F550D1" w14:paraId="52446F10" w14:textId="77777777" w:rsidTr="009E022E">
        <w:trPr>
          <w:cantSplit/>
          <w:jc w:val="center"/>
        </w:trPr>
        <w:tc>
          <w:tcPr>
            <w:cnfStyle w:val="001000000000" w:firstRow="0" w:lastRow="0" w:firstColumn="1" w:lastColumn="0" w:oddVBand="0" w:evenVBand="0" w:oddHBand="0" w:evenHBand="0" w:firstRowFirstColumn="0" w:firstRowLastColumn="0" w:lastRowFirstColumn="0" w:lastRowLastColumn="0"/>
            <w:tcW w:w="3544" w:type="dxa"/>
            <w:vAlign w:val="center"/>
          </w:tcPr>
          <w:p w14:paraId="494A1EFC" w14:textId="77777777" w:rsidR="00F550D1" w:rsidRPr="00F550D1" w:rsidRDefault="00F550D1" w:rsidP="00F550D1">
            <w:pPr>
              <w:rPr>
                <w:rFonts w:ascii="Calibri" w:hAnsi="Calibri" w:cs="Calibri"/>
                <w:b w:val="0"/>
                <w:color w:val="000000"/>
                <w:szCs w:val="24"/>
              </w:rPr>
            </w:pPr>
            <w:r w:rsidRPr="00F550D1">
              <w:rPr>
                <w:rFonts w:ascii="Calibri" w:hAnsi="Calibri" w:cs="Calibri"/>
                <w:b w:val="0"/>
                <w:color w:val="000000"/>
                <w:szCs w:val="24"/>
              </w:rPr>
              <w:t>Demonstrate how agriculture can be transformed with new approaches to deliver targeted outcomes for nature and climate</w:t>
            </w:r>
          </w:p>
        </w:tc>
        <w:tc>
          <w:tcPr>
            <w:tcW w:w="1559" w:type="dxa"/>
            <w:vAlign w:val="center"/>
          </w:tcPr>
          <w:p w14:paraId="3B937FF1" w14:textId="77777777" w:rsidR="00F550D1" w:rsidRPr="00F550D1" w:rsidRDefault="00F550D1" w:rsidP="00F550D1">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rPr>
            </w:pPr>
            <w:r w:rsidRPr="00F550D1">
              <w:rPr>
                <w:rFonts w:ascii="Calibri" w:hAnsi="Calibri" w:cs="Calibri"/>
                <w:color w:val="000000"/>
                <w:szCs w:val="24"/>
              </w:rPr>
              <w:t>Robbie Kernahan</w:t>
            </w:r>
          </w:p>
        </w:tc>
        <w:tc>
          <w:tcPr>
            <w:tcW w:w="993" w:type="dxa"/>
            <w:shd w:val="clear" w:color="auto" w:fill="9BBB59" w:themeFill="accent3"/>
            <w:vAlign w:val="center"/>
          </w:tcPr>
          <w:p w14:paraId="24A00496" w14:textId="77777777" w:rsidR="00F550D1" w:rsidRPr="00F550D1" w:rsidRDefault="00F550D1" w:rsidP="00F550D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szCs w:val="24"/>
              </w:rPr>
            </w:pPr>
            <w:r w:rsidRPr="00F550D1">
              <w:rPr>
                <w:rFonts w:ascii="Calibri" w:hAnsi="Calibri" w:cs="Calibri"/>
                <w:b/>
                <w:szCs w:val="24"/>
              </w:rPr>
              <w:t>GREEN</w:t>
            </w:r>
          </w:p>
        </w:tc>
        <w:tc>
          <w:tcPr>
            <w:tcW w:w="8466" w:type="dxa"/>
            <w:vAlign w:val="center"/>
          </w:tcPr>
          <w:p w14:paraId="3BC8B649" w14:textId="42B9C45E" w:rsidR="002D216A" w:rsidRPr="002D216A" w:rsidRDefault="002D216A" w:rsidP="003E7B62">
            <w:pPr>
              <w:numPr>
                <w:ilvl w:val="0"/>
                <w:numId w:val="6"/>
              </w:numPr>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rPr>
            </w:pPr>
            <w:r w:rsidRPr="002D216A">
              <w:rPr>
                <w:rFonts w:ascii="Calibri" w:hAnsi="Calibri" w:cs="Calibri"/>
                <w:color w:val="000000"/>
                <w:szCs w:val="24"/>
              </w:rPr>
              <w:t>Biodiversity App tender progressing to accommodate an additional SG governance requirement (discovery phase) before SG approve capacity for App to engage with their Land Parcel Information System (LPIS).</w:t>
            </w:r>
          </w:p>
          <w:p w14:paraId="60AFC5CF" w14:textId="1E05EB5C" w:rsidR="00F550D1" w:rsidRPr="00F550D1" w:rsidRDefault="002D216A" w:rsidP="003E7B62">
            <w:pPr>
              <w:numPr>
                <w:ilvl w:val="0"/>
                <w:numId w:val="6"/>
              </w:numPr>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rPr>
            </w:pPr>
            <w:r w:rsidRPr="002D216A">
              <w:rPr>
                <w:rFonts w:ascii="Calibri" w:hAnsi="Calibri" w:cs="Calibri"/>
                <w:color w:val="000000"/>
                <w:szCs w:val="24"/>
              </w:rPr>
              <w:t>Piloting Outcome Based Approach Scheme (POBAS) score card farmer testing completed and project reports are being compiled.</w:t>
            </w:r>
          </w:p>
        </w:tc>
      </w:tr>
    </w:tbl>
    <w:p w14:paraId="2665A2FD" w14:textId="77777777" w:rsidR="00F550D1" w:rsidRPr="00F550D1" w:rsidRDefault="00F550D1" w:rsidP="00F550D1">
      <w:pPr>
        <w:keepNext/>
        <w:keepLines/>
        <w:spacing w:before="40" w:after="0" w:line="259" w:lineRule="auto"/>
        <w:outlineLvl w:val="1"/>
        <w:rPr>
          <w:rFonts w:ascii="Calibri" w:eastAsiaTheme="majorEastAsia" w:hAnsi="Calibri" w:cs="Calibri"/>
          <w:b/>
          <w:szCs w:val="26"/>
        </w:rPr>
      </w:pPr>
    </w:p>
    <w:p w14:paraId="242A8626" w14:textId="77777777" w:rsidR="00F550D1" w:rsidRPr="00F550D1" w:rsidRDefault="00F550D1" w:rsidP="00F550D1">
      <w:pPr>
        <w:keepNext/>
        <w:keepLines/>
        <w:shd w:val="clear" w:color="auto" w:fill="007DC3"/>
        <w:spacing w:before="40" w:after="0" w:line="259" w:lineRule="auto"/>
        <w:jc w:val="center"/>
        <w:outlineLvl w:val="1"/>
        <w:rPr>
          <w:rFonts w:ascii="Calibri" w:eastAsiaTheme="majorEastAsia" w:hAnsi="Calibri" w:cs="Calibri"/>
          <w:b/>
          <w:szCs w:val="26"/>
        </w:rPr>
      </w:pPr>
      <w:r w:rsidRPr="00F550D1">
        <w:rPr>
          <w:rFonts w:ascii="Calibri" w:eastAsiaTheme="majorEastAsia" w:hAnsi="Calibri" w:cs="Calibri"/>
          <w:b/>
          <w:szCs w:val="26"/>
        </w:rPr>
        <w:t>THE VALUE OF NATURE IS RECOGNISED</w:t>
      </w:r>
    </w:p>
    <w:tbl>
      <w:tblPr>
        <w:tblStyle w:val="PlainTable13"/>
        <w:tblW w:w="145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THE VALUE OF NATURE IS RECOGNISED Q1 UPDATE"/>
      </w:tblPr>
      <w:tblGrid>
        <w:gridCol w:w="3544"/>
        <w:gridCol w:w="1559"/>
        <w:gridCol w:w="993"/>
        <w:gridCol w:w="8466"/>
      </w:tblGrid>
      <w:tr w:rsidR="00F550D1" w:rsidRPr="00F550D1" w14:paraId="07578C1A" w14:textId="77777777" w:rsidTr="00485D76">
        <w:trPr>
          <w:cnfStyle w:val="100000000000" w:firstRow="1" w:lastRow="0" w:firstColumn="0" w:lastColumn="0" w:oddVBand="0" w:evenVBand="0" w:oddHBand="0" w:evenHBand="0" w:firstRowFirstColumn="0" w:firstRowLastColumn="0" w:lastRowFirstColumn="0" w:lastRowLastColumn="0"/>
          <w:cantSplit/>
          <w:tblHeader/>
          <w:jc w:val="center"/>
        </w:trPr>
        <w:tc>
          <w:tcPr>
            <w:cnfStyle w:val="001000000000" w:firstRow="0" w:lastRow="0" w:firstColumn="1" w:lastColumn="0" w:oddVBand="0" w:evenVBand="0" w:oddHBand="0" w:evenHBand="0" w:firstRowFirstColumn="0" w:firstRowLastColumn="0" w:lastRowFirstColumn="0" w:lastRowLastColumn="0"/>
            <w:tcW w:w="3544" w:type="dxa"/>
            <w:vAlign w:val="center"/>
          </w:tcPr>
          <w:p w14:paraId="0E69292A" w14:textId="77777777" w:rsidR="00F550D1" w:rsidRPr="00F550D1" w:rsidRDefault="00F550D1" w:rsidP="00F550D1">
            <w:pPr>
              <w:jc w:val="center"/>
              <w:rPr>
                <w:rFonts w:ascii="Calibri" w:hAnsi="Calibri" w:cs="Calibri"/>
                <w:szCs w:val="26"/>
              </w:rPr>
            </w:pPr>
            <w:r w:rsidRPr="00F550D1">
              <w:rPr>
                <w:rFonts w:ascii="Calibri" w:hAnsi="Calibri" w:cs="Calibri"/>
                <w:szCs w:val="26"/>
              </w:rPr>
              <w:t>CORPORATE PLAN OBJECTIVE</w:t>
            </w:r>
          </w:p>
        </w:tc>
        <w:tc>
          <w:tcPr>
            <w:tcW w:w="1559" w:type="dxa"/>
            <w:vAlign w:val="center"/>
          </w:tcPr>
          <w:p w14:paraId="735CDD10" w14:textId="77777777" w:rsidR="00F550D1" w:rsidRPr="00F550D1" w:rsidRDefault="00F550D1" w:rsidP="00F550D1">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Cs w:val="26"/>
              </w:rPr>
            </w:pPr>
            <w:r w:rsidRPr="00F550D1">
              <w:rPr>
                <w:rFonts w:ascii="Calibri" w:hAnsi="Calibri" w:cs="Calibri"/>
                <w:szCs w:val="26"/>
              </w:rPr>
              <w:t>SLT LEAD</w:t>
            </w:r>
          </w:p>
        </w:tc>
        <w:tc>
          <w:tcPr>
            <w:tcW w:w="993" w:type="dxa"/>
            <w:vAlign w:val="center"/>
          </w:tcPr>
          <w:p w14:paraId="4C99A07A" w14:textId="77777777" w:rsidR="00F550D1" w:rsidRPr="00F550D1" w:rsidRDefault="00F550D1" w:rsidP="00F550D1">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Cs w:val="26"/>
              </w:rPr>
            </w:pPr>
            <w:r w:rsidRPr="00F550D1">
              <w:rPr>
                <w:rFonts w:ascii="Calibri" w:hAnsi="Calibri" w:cs="Calibri"/>
                <w:szCs w:val="26"/>
              </w:rPr>
              <w:t>RAG SCORE</w:t>
            </w:r>
          </w:p>
        </w:tc>
        <w:tc>
          <w:tcPr>
            <w:tcW w:w="8466" w:type="dxa"/>
            <w:vAlign w:val="center"/>
          </w:tcPr>
          <w:p w14:paraId="3CAE574A" w14:textId="11F6525A" w:rsidR="00F550D1" w:rsidRPr="00F550D1" w:rsidRDefault="00C531FB" w:rsidP="00F550D1">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Cs w:val="26"/>
              </w:rPr>
            </w:pPr>
            <w:r>
              <w:rPr>
                <w:rFonts w:ascii="Calibri" w:hAnsi="Calibri" w:cs="Calibri"/>
                <w:szCs w:val="26"/>
              </w:rPr>
              <w:t>Q4</w:t>
            </w:r>
            <w:r w:rsidR="00F550D1" w:rsidRPr="00F550D1">
              <w:rPr>
                <w:rFonts w:ascii="Calibri" w:hAnsi="Calibri" w:cs="Calibri"/>
                <w:szCs w:val="26"/>
              </w:rPr>
              <w:t xml:space="preserve"> UPDATE</w:t>
            </w:r>
          </w:p>
        </w:tc>
      </w:tr>
      <w:tr w:rsidR="00F550D1" w:rsidRPr="00F550D1" w14:paraId="344DC0C5" w14:textId="77777777" w:rsidTr="00485D76">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3544" w:type="dxa"/>
            <w:vAlign w:val="center"/>
          </w:tcPr>
          <w:p w14:paraId="44A6693B" w14:textId="77777777" w:rsidR="00F550D1" w:rsidRPr="00F550D1" w:rsidRDefault="00F550D1" w:rsidP="00F550D1">
            <w:pPr>
              <w:rPr>
                <w:rFonts w:ascii="Calibri" w:hAnsi="Calibri" w:cs="Calibri"/>
                <w:b w:val="0"/>
                <w:color w:val="000000"/>
                <w:szCs w:val="24"/>
              </w:rPr>
            </w:pPr>
            <w:r w:rsidRPr="00F550D1">
              <w:rPr>
                <w:rFonts w:ascii="Calibri" w:hAnsi="Calibri" w:cs="Calibri"/>
                <w:b w:val="0"/>
                <w:color w:val="000000"/>
                <w:szCs w:val="24"/>
              </w:rPr>
              <w:t>Inspire people to connect with nature, increasing appreciation of nature’s value through impactful delivery and communication of our work</w:t>
            </w:r>
          </w:p>
        </w:tc>
        <w:tc>
          <w:tcPr>
            <w:tcW w:w="1559" w:type="dxa"/>
            <w:vAlign w:val="center"/>
          </w:tcPr>
          <w:p w14:paraId="3F1FE795" w14:textId="35A749E3" w:rsidR="00F550D1" w:rsidRPr="00F550D1" w:rsidRDefault="00482BAA" w:rsidP="00F550D1">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4"/>
              </w:rPr>
            </w:pPr>
            <w:r>
              <w:rPr>
                <w:rFonts w:ascii="Calibri" w:hAnsi="Calibri" w:cs="Calibri"/>
                <w:color w:val="000000"/>
                <w:szCs w:val="24"/>
              </w:rPr>
              <w:t>Nick Halfhide</w:t>
            </w:r>
          </w:p>
        </w:tc>
        <w:tc>
          <w:tcPr>
            <w:tcW w:w="993" w:type="dxa"/>
            <w:shd w:val="clear" w:color="auto" w:fill="9BBB59" w:themeFill="accent3"/>
            <w:vAlign w:val="center"/>
          </w:tcPr>
          <w:p w14:paraId="46040F3A" w14:textId="77777777" w:rsidR="00F550D1" w:rsidRPr="00F550D1" w:rsidRDefault="00F550D1" w:rsidP="00F550D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szCs w:val="24"/>
              </w:rPr>
            </w:pPr>
            <w:r w:rsidRPr="00F550D1">
              <w:rPr>
                <w:rFonts w:ascii="Calibri" w:hAnsi="Calibri" w:cs="Calibri"/>
                <w:b/>
                <w:szCs w:val="24"/>
              </w:rPr>
              <w:t>GREEN</w:t>
            </w:r>
          </w:p>
        </w:tc>
        <w:tc>
          <w:tcPr>
            <w:tcW w:w="8466" w:type="dxa"/>
            <w:vAlign w:val="center"/>
          </w:tcPr>
          <w:p w14:paraId="6892ACAE" w14:textId="77777777" w:rsidR="00393BD7" w:rsidRPr="00393BD7" w:rsidRDefault="00393BD7" w:rsidP="003E7B62">
            <w:pPr>
              <w:numPr>
                <w:ilvl w:val="0"/>
                <w:numId w:val="8"/>
              </w:numPr>
              <w:contextualSpacing/>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4"/>
              </w:rPr>
            </w:pPr>
            <w:r w:rsidRPr="00393BD7">
              <w:rPr>
                <w:rFonts w:ascii="Calibri" w:hAnsi="Calibri" w:cs="Calibri"/>
                <w:color w:val="000000"/>
                <w:szCs w:val="24"/>
              </w:rPr>
              <w:t xml:space="preserve">Make Space </w:t>
            </w:r>
            <w:proofErr w:type="gramStart"/>
            <w:r w:rsidRPr="00393BD7">
              <w:rPr>
                <w:rFonts w:ascii="Calibri" w:hAnsi="Calibri" w:cs="Calibri"/>
                <w:color w:val="000000"/>
                <w:szCs w:val="24"/>
              </w:rPr>
              <w:t>For</w:t>
            </w:r>
            <w:proofErr w:type="gramEnd"/>
            <w:r w:rsidRPr="00393BD7">
              <w:rPr>
                <w:rFonts w:ascii="Calibri" w:hAnsi="Calibri" w:cs="Calibri"/>
                <w:color w:val="000000"/>
                <w:szCs w:val="24"/>
              </w:rPr>
              <w:t xml:space="preserve"> Nature (MSFN) campaign delivered, consistently exceeding the NatureScot campaign KPIs and delivering 104,840 website visits over the year and 8.5k downloads of the 25 podcast library. </w:t>
            </w:r>
          </w:p>
          <w:p w14:paraId="5DF778A2" w14:textId="77777777" w:rsidR="00393BD7" w:rsidRPr="00393BD7" w:rsidRDefault="00393BD7" w:rsidP="003E7B62">
            <w:pPr>
              <w:numPr>
                <w:ilvl w:val="0"/>
                <w:numId w:val="8"/>
              </w:numPr>
              <w:contextualSpacing/>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4"/>
              </w:rPr>
            </w:pPr>
            <w:r w:rsidRPr="00393BD7">
              <w:rPr>
                <w:rFonts w:ascii="Calibri" w:hAnsi="Calibri" w:cs="Calibri"/>
                <w:color w:val="000000"/>
                <w:szCs w:val="24"/>
              </w:rPr>
              <w:t>Better Places Fund 2022 delivered support to circa 150 seasonal rangers across Scotland contributing to a successful visitor management season, with 2023 fund launched with further funding from SG</w:t>
            </w:r>
          </w:p>
          <w:p w14:paraId="79DBCE7E" w14:textId="77777777" w:rsidR="00393BD7" w:rsidRPr="00393BD7" w:rsidRDefault="00393BD7" w:rsidP="003E7B62">
            <w:pPr>
              <w:numPr>
                <w:ilvl w:val="0"/>
                <w:numId w:val="8"/>
              </w:numPr>
              <w:contextualSpacing/>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4"/>
              </w:rPr>
            </w:pPr>
            <w:r w:rsidRPr="00393BD7">
              <w:rPr>
                <w:rFonts w:ascii="Calibri" w:hAnsi="Calibri" w:cs="Calibri"/>
                <w:color w:val="000000"/>
                <w:szCs w:val="24"/>
              </w:rPr>
              <w:t>National Access Forum Guidance on wildlife disturbance finalised and key messages developed for promotion throughout 2023</w:t>
            </w:r>
          </w:p>
          <w:p w14:paraId="604E3B81" w14:textId="008DAA58" w:rsidR="00F550D1" w:rsidRPr="00F550D1" w:rsidRDefault="00393BD7" w:rsidP="003E7B62">
            <w:pPr>
              <w:numPr>
                <w:ilvl w:val="0"/>
                <w:numId w:val="8"/>
              </w:numPr>
              <w:contextualSpacing/>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4"/>
              </w:rPr>
            </w:pPr>
            <w:r w:rsidRPr="00393BD7">
              <w:rPr>
                <w:rFonts w:ascii="Calibri" w:hAnsi="Calibri" w:cs="Calibri"/>
                <w:color w:val="000000"/>
                <w:szCs w:val="24"/>
              </w:rPr>
              <w:t>SOAC spring campaign (paid social media and radio) underway, work with social media influencers in progress, communications plan for 2023/24 drafted.  SOAC highlights for 2022/3 include: a refreshed resources for schools launched: SOAC on-line education pack; Phase 2 summer radio activity reached over 1.3m adults and social media (paid-for) delivered over 1.8m impressions; and continuing work with partners to increase impact and reach – e.g. Ramblers Scotland’s video campaigns targeting late teens and young adults aged 16-24.</w:t>
            </w:r>
          </w:p>
        </w:tc>
      </w:tr>
      <w:tr w:rsidR="00F550D1" w:rsidRPr="00F550D1" w14:paraId="16D902E0" w14:textId="77777777" w:rsidTr="00485D76">
        <w:trPr>
          <w:cantSplit/>
          <w:jc w:val="center"/>
        </w:trPr>
        <w:tc>
          <w:tcPr>
            <w:cnfStyle w:val="001000000000" w:firstRow="0" w:lastRow="0" w:firstColumn="1" w:lastColumn="0" w:oddVBand="0" w:evenVBand="0" w:oddHBand="0" w:evenHBand="0" w:firstRowFirstColumn="0" w:firstRowLastColumn="0" w:lastRowFirstColumn="0" w:lastRowLastColumn="0"/>
            <w:tcW w:w="3544" w:type="dxa"/>
            <w:vAlign w:val="center"/>
          </w:tcPr>
          <w:p w14:paraId="25E9178A" w14:textId="77777777" w:rsidR="00F550D1" w:rsidRPr="00F550D1" w:rsidRDefault="00F550D1" w:rsidP="00F550D1">
            <w:pPr>
              <w:rPr>
                <w:rFonts w:ascii="Calibri" w:hAnsi="Calibri" w:cs="Calibri"/>
                <w:b w:val="0"/>
                <w:color w:val="000000"/>
                <w:szCs w:val="24"/>
              </w:rPr>
            </w:pPr>
            <w:r w:rsidRPr="00F550D1">
              <w:rPr>
                <w:rFonts w:ascii="Calibri" w:hAnsi="Calibri" w:cs="Calibri"/>
                <w:b w:val="0"/>
                <w:color w:val="000000"/>
                <w:szCs w:val="24"/>
              </w:rPr>
              <w:lastRenderedPageBreak/>
              <w:t>Influence the regulatory, policy, market and institutional infrastructure needed to stimulate private sector investment into nature</w:t>
            </w:r>
          </w:p>
        </w:tc>
        <w:tc>
          <w:tcPr>
            <w:tcW w:w="1559" w:type="dxa"/>
            <w:vAlign w:val="center"/>
          </w:tcPr>
          <w:p w14:paraId="7A38D807" w14:textId="77777777" w:rsidR="00F550D1" w:rsidRPr="00F550D1" w:rsidRDefault="00F550D1" w:rsidP="00F550D1">
            <w:pPr>
              <w:cnfStyle w:val="000000000000" w:firstRow="0" w:lastRow="0" w:firstColumn="0" w:lastColumn="0" w:oddVBand="0" w:evenVBand="0" w:oddHBand="0" w:evenHBand="0" w:firstRowFirstColumn="0" w:firstRowLastColumn="0" w:lastRowFirstColumn="0" w:lastRowLastColumn="0"/>
              <w:rPr>
                <w:rFonts w:ascii="Calibri" w:hAnsi="Calibri" w:cs="Calibri"/>
                <w:szCs w:val="24"/>
              </w:rPr>
            </w:pPr>
            <w:r w:rsidRPr="00F550D1">
              <w:rPr>
                <w:rFonts w:ascii="Calibri" w:hAnsi="Calibri" w:cs="Calibri"/>
                <w:color w:val="000000"/>
                <w:szCs w:val="24"/>
              </w:rPr>
              <w:t>Robbie Kernahan</w:t>
            </w:r>
          </w:p>
        </w:tc>
        <w:tc>
          <w:tcPr>
            <w:tcW w:w="993" w:type="dxa"/>
            <w:shd w:val="clear" w:color="auto" w:fill="9BBB59" w:themeFill="accent3"/>
            <w:vAlign w:val="center"/>
          </w:tcPr>
          <w:p w14:paraId="71C48F02" w14:textId="77777777" w:rsidR="00F550D1" w:rsidRPr="00F550D1" w:rsidRDefault="00F550D1" w:rsidP="00F550D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szCs w:val="24"/>
              </w:rPr>
            </w:pPr>
            <w:r w:rsidRPr="00F550D1">
              <w:rPr>
                <w:rFonts w:ascii="Calibri" w:hAnsi="Calibri" w:cs="Calibri"/>
                <w:b/>
                <w:szCs w:val="24"/>
              </w:rPr>
              <w:t>GREEN</w:t>
            </w:r>
          </w:p>
        </w:tc>
        <w:tc>
          <w:tcPr>
            <w:tcW w:w="8466" w:type="dxa"/>
            <w:vAlign w:val="center"/>
          </w:tcPr>
          <w:p w14:paraId="12DBA7AD" w14:textId="77777777" w:rsidR="002D216A" w:rsidRPr="002D216A" w:rsidRDefault="002D216A" w:rsidP="003E7B62">
            <w:pPr>
              <w:numPr>
                <w:ilvl w:val="0"/>
                <w:numId w:val="8"/>
              </w:numPr>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rPr>
            </w:pPr>
            <w:r w:rsidRPr="002D216A">
              <w:rPr>
                <w:rFonts w:ascii="Calibri" w:hAnsi="Calibri" w:cs="Calibri"/>
                <w:color w:val="000000"/>
                <w:szCs w:val="24"/>
              </w:rPr>
              <w:t xml:space="preserve">Investment Ready Nature Scotland (IRNS) - Claims concluded. We will bring the projects together and begin to establish Community of Practice to learn from progress made and challenges faced. </w:t>
            </w:r>
          </w:p>
          <w:p w14:paraId="0FBC5704" w14:textId="77777777" w:rsidR="002D216A" w:rsidRPr="002D216A" w:rsidRDefault="002D216A" w:rsidP="003E7B62">
            <w:pPr>
              <w:numPr>
                <w:ilvl w:val="0"/>
                <w:numId w:val="8"/>
              </w:numPr>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rPr>
            </w:pPr>
            <w:r w:rsidRPr="002D216A">
              <w:rPr>
                <w:rFonts w:ascii="Calibri" w:hAnsi="Calibri" w:cs="Calibri"/>
                <w:color w:val="000000"/>
                <w:szCs w:val="24"/>
              </w:rPr>
              <w:t xml:space="preserve">Hampden &amp; Co - Ministerial announcement in January. The Upper Tweed scoping report completed. </w:t>
            </w:r>
          </w:p>
          <w:p w14:paraId="4762ECA6" w14:textId="77777777" w:rsidR="002D216A" w:rsidRPr="002D216A" w:rsidRDefault="002D216A" w:rsidP="003E7B62">
            <w:pPr>
              <w:numPr>
                <w:ilvl w:val="0"/>
                <w:numId w:val="8"/>
              </w:numPr>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rPr>
            </w:pPr>
            <w:r w:rsidRPr="002D216A">
              <w:rPr>
                <w:rFonts w:ascii="Calibri" w:hAnsi="Calibri" w:cs="Calibri"/>
                <w:color w:val="000000"/>
                <w:szCs w:val="24"/>
              </w:rPr>
              <w:t xml:space="preserve">Scottish Marine Environmental Enhancement Fund (SMEEF) - Project development/baseline survey grant round successfully completed with £245k of private finance distributed to 10 projects. Web developers working on presentation. Reputational risk associated with contributions from oil and gas industry is being addressed in a ministerial submission. </w:t>
            </w:r>
          </w:p>
          <w:p w14:paraId="391D7EFC" w14:textId="77777777" w:rsidR="002D216A" w:rsidRPr="002D216A" w:rsidRDefault="002D216A" w:rsidP="003E7B62">
            <w:pPr>
              <w:numPr>
                <w:ilvl w:val="0"/>
                <w:numId w:val="8"/>
              </w:numPr>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rPr>
            </w:pPr>
            <w:r w:rsidRPr="002D216A">
              <w:rPr>
                <w:rFonts w:ascii="Calibri" w:hAnsi="Calibri" w:cs="Calibri"/>
                <w:color w:val="000000"/>
                <w:szCs w:val="24"/>
              </w:rPr>
              <w:t xml:space="preserve">FIRNS </w:t>
            </w:r>
            <w:proofErr w:type="gramStart"/>
            <w:r w:rsidRPr="002D216A">
              <w:rPr>
                <w:rFonts w:ascii="Calibri" w:hAnsi="Calibri" w:cs="Calibri"/>
                <w:color w:val="000000"/>
                <w:szCs w:val="24"/>
              </w:rPr>
              <w:t>-  Launched</w:t>
            </w:r>
            <w:proofErr w:type="gramEnd"/>
            <w:r w:rsidRPr="002D216A">
              <w:rPr>
                <w:rFonts w:ascii="Calibri" w:hAnsi="Calibri" w:cs="Calibri"/>
                <w:color w:val="000000"/>
                <w:szCs w:val="24"/>
              </w:rPr>
              <w:t xml:space="preserve"> by Ministerial announcement in January. Gateway activity begun - raising awareness and understanding and encouraging/preparing potential grant applicants. Grant scheme ready for first expressions of interest in April 2023. Recruitment to Funding Team underway. </w:t>
            </w:r>
          </w:p>
          <w:p w14:paraId="3E4FCF85" w14:textId="3B9D6BDA" w:rsidR="00F550D1" w:rsidRPr="00F550D1" w:rsidRDefault="002D216A" w:rsidP="003E7B62">
            <w:pPr>
              <w:numPr>
                <w:ilvl w:val="0"/>
                <w:numId w:val="8"/>
              </w:numPr>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rPr>
            </w:pPr>
            <w:r w:rsidRPr="002D216A">
              <w:rPr>
                <w:rFonts w:ascii="Calibri" w:hAnsi="Calibri" w:cs="Calibri"/>
                <w:color w:val="000000"/>
                <w:szCs w:val="24"/>
              </w:rPr>
              <w:t>It is not yet clear what milestones will be set for the 'landscape scale private investment in peatland pilot' but we are working, with SG, to develop criteria for candidate restoration projects and the design of the blended finance mechanism. New Peatland Investment Manager post will take this on once in post. We will develop our thinking on the resources (FTE, skills and knowledge) that we require to progress this objective. Work underway.</w:t>
            </w:r>
          </w:p>
        </w:tc>
      </w:tr>
      <w:tr w:rsidR="00F550D1" w:rsidRPr="00F550D1" w14:paraId="2934394A" w14:textId="77777777" w:rsidTr="00485D76">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3544" w:type="dxa"/>
            <w:vAlign w:val="center"/>
          </w:tcPr>
          <w:p w14:paraId="1E5011E3" w14:textId="77777777" w:rsidR="00F550D1" w:rsidRPr="00F550D1" w:rsidRDefault="00F550D1" w:rsidP="00F550D1">
            <w:pPr>
              <w:rPr>
                <w:rFonts w:ascii="Calibri" w:hAnsi="Calibri" w:cs="Calibri"/>
                <w:b w:val="0"/>
                <w:color w:val="000000"/>
                <w:szCs w:val="24"/>
              </w:rPr>
            </w:pPr>
            <w:r w:rsidRPr="00F550D1">
              <w:rPr>
                <w:rFonts w:ascii="Calibri" w:hAnsi="Calibri" w:cs="Calibri"/>
                <w:b w:val="0"/>
                <w:color w:val="000000"/>
                <w:szCs w:val="24"/>
              </w:rPr>
              <w:t>Drive the establishment of Natural Capital as an integral part of public and private business planning and investment decisions at national, landscape and landholding/business scales</w:t>
            </w:r>
          </w:p>
        </w:tc>
        <w:tc>
          <w:tcPr>
            <w:tcW w:w="1559" w:type="dxa"/>
            <w:vAlign w:val="center"/>
          </w:tcPr>
          <w:p w14:paraId="00CAE206" w14:textId="77777777" w:rsidR="00F550D1" w:rsidRPr="00F550D1" w:rsidRDefault="00F550D1" w:rsidP="00F550D1">
            <w:pPr>
              <w:cnfStyle w:val="000000100000" w:firstRow="0" w:lastRow="0" w:firstColumn="0" w:lastColumn="0" w:oddVBand="0" w:evenVBand="0" w:oddHBand="1" w:evenHBand="0" w:firstRowFirstColumn="0" w:firstRowLastColumn="0" w:lastRowFirstColumn="0" w:lastRowLastColumn="0"/>
              <w:rPr>
                <w:rFonts w:ascii="Calibri" w:hAnsi="Calibri" w:cs="Calibri"/>
                <w:szCs w:val="24"/>
              </w:rPr>
            </w:pPr>
            <w:r w:rsidRPr="00F550D1">
              <w:rPr>
                <w:rFonts w:ascii="Calibri" w:hAnsi="Calibri" w:cs="Calibri"/>
                <w:color w:val="000000"/>
                <w:szCs w:val="24"/>
              </w:rPr>
              <w:t>Robbie Kernahan</w:t>
            </w:r>
          </w:p>
        </w:tc>
        <w:tc>
          <w:tcPr>
            <w:tcW w:w="993" w:type="dxa"/>
            <w:shd w:val="clear" w:color="auto" w:fill="9BBB59" w:themeFill="accent3"/>
            <w:vAlign w:val="center"/>
          </w:tcPr>
          <w:p w14:paraId="024DA845" w14:textId="77777777" w:rsidR="00F550D1" w:rsidRPr="00F550D1" w:rsidRDefault="00F550D1" w:rsidP="00F550D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szCs w:val="24"/>
              </w:rPr>
            </w:pPr>
            <w:r w:rsidRPr="00F550D1">
              <w:rPr>
                <w:rFonts w:ascii="Calibri" w:hAnsi="Calibri" w:cs="Calibri"/>
                <w:b/>
                <w:szCs w:val="24"/>
              </w:rPr>
              <w:t>GREEN</w:t>
            </w:r>
          </w:p>
        </w:tc>
        <w:tc>
          <w:tcPr>
            <w:tcW w:w="8466" w:type="dxa"/>
            <w:vAlign w:val="center"/>
          </w:tcPr>
          <w:p w14:paraId="5E47A4EE" w14:textId="77777777" w:rsidR="002D216A" w:rsidRPr="002D216A" w:rsidRDefault="002D216A" w:rsidP="003E7B62">
            <w:pPr>
              <w:numPr>
                <w:ilvl w:val="0"/>
                <w:numId w:val="9"/>
              </w:numPr>
              <w:contextualSpacing/>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4"/>
              </w:rPr>
            </w:pPr>
            <w:r w:rsidRPr="002D216A">
              <w:rPr>
                <w:rFonts w:ascii="Calibri" w:hAnsi="Calibri" w:cs="Calibri"/>
                <w:color w:val="000000"/>
                <w:szCs w:val="24"/>
              </w:rPr>
              <w:t xml:space="preserve">Priority public land hotspots were agreed early in Q4, and work groups set up to progress these. Next step is to agree future governance, priority and aims. </w:t>
            </w:r>
          </w:p>
          <w:p w14:paraId="7D8F160C" w14:textId="77777777" w:rsidR="002D216A" w:rsidRPr="002D216A" w:rsidRDefault="002D216A" w:rsidP="003E7B62">
            <w:pPr>
              <w:numPr>
                <w:ilvl w:val="0"/>
                <w:numId w:val="9"/>
              </w:numPr>
              <w:contextualSpacing/>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4"/>
              </w:rPr>
            </w:pPr>
            <w:r w:rsidRPr="002D216A">
              <w:rPr>
                <w:rFonts w:ascii="Calibri" w:hAnsi="Calibri" w:cs="Calibri"/>
                <w:color w:val="000000"/>
                <w:szCs w:val="24"/>
              </w:rPr>
              <w:t xml:space="preserve">We have advised the Borderlands natural capital programme which includes 5 </w:t>
            </w:r>
            <w:proofErr w:type="gramStart"/>
            <w:r w:rsidRPr="002D216A">
              <w:rPr>
                <w:rFonts w:ascii="Calibri" w:hAnsi="Calibri" w:cs="Calibri"/>
                <w:color w:val="000000"/>
                <w:szCs w:val="24"/>
              </w:rPr>
              <w:t>projects(</w:t>
            </w:r>
            <w:proofErr w:type="gramEnd"/>
            <w:r w:rsidRPr="002D216A">
              <w:rPr>
                <w:rFonts w:ascii="Calibri" w:hAnsi="Calibri" w:cs="Calibri"/>
                <w:color w:val="000000"/>
                <w:szCs w:val="24"/>
              </w:rPr>
              <w:t xml:space="preserve"> testing treasury Green book NC guidance) and helped steer the </w:t>
            </w:r>
            <w:proofErr w:type="spellStart"/>
            <w:r w:rsidRPr="002D216A">
              <w:rPr>
                <w:rFonts w:ascii="Calibri" w:hAnsi="Calibri" w:cs="Calibri"/>
                <w:color w:val="000000"/>
                <w:szCs w:val="24"/>
              </w:rPr>
              <w:t>Hunterston</w:t>
            </w:r>
            <w:proofErr w:type="spellEnd"/>
            <w:r w:rsidRPr="002D216A">
              <w:rPr>
                <w:rFonts w:ascii="Calibri" w:hAnsi="Calibri" w:cs="Calibri"/>
                <w:color w:val="000000"/>
                <w:szCs w:val="24"/>
              </w:rPr>
              <w:t xml:space="preserve"> Strategic Development on their recent Natural Capital Assessment. Scottish Water are also progressing a number of natural capital based initiatives </w:t>
            </w:r>
          </w:p>
          <w:p w14:paraId="6FEB193D" w14:textId="754DD785" w:rsidR="00F550D1" w:rsidRPr="00F550D1" w:rsidRDefault="002D216A" w:rsidP="003E7B62">
            <w:pPr>
              <w:numPr>
                <w:ilvl w:val="0"/>
                <w:numId w:val="9"/>
              </w:numPr>
              <w:contextualSpacing/>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4"/>
              </w:rPr>
            </w:pPr>
            <w:r w:rsidRPr="002D216A">
              <w:rPr>
                <w:rFonts w:ascii="Calibri" w:hAnsi="Calibri" w:cs="Calibri"/>
                <w:color w:val="000000"/>
                <w:szCs w:val="24"/>
              </w:rPr>
              <w:t>Further stakeholder workshops on Landscape Tool development - stakeholder group engagement on going sufficient to test tool once developed.</w:t>
            </w:r>
          </w:p>
        </w:tc>
      </w:tr>
      <w:tr w:rsidR="00F550D1" w:rsidRPr="00F550D1" w14:paraId="43B95BFD" w14:textId="77777777" w:rsidTr="00485D76">
        <w:trPr>
          <w:cantSplit/>
          <w:jc w:val="center"/>
        </w:trPr>
        <w:tc>
          <w:tcPr>
            <w:cnfStyle w:val="001000000000" w:firstRow="0" w:lastRow="0" w:firstColumn="1" w:lastColumn="0" w:oddVBand="0" w:evenVBand="0" w:oddHBand="0" w:evenHBand="0" w:firstRowFirstColumn="0" w:firstRowLastColumn="0" w:lastRowFirstColumn="0" w:lastRowLastColumn="0"/>
            <w:tcW w:w="3544" w:type="dxa"/>
            <w:vAlign w:val="center"/>
          </w:tcPr>
          <w:p w14:paraId="538696BC" w14:textId="77777777" w:rsidR="00F550D1" w:rsidRPr="00F550D1" w:rsidRDefault="00F550D1" w:rsidP="00F550D1">
            <w:pPr>
              <w:rPr>
                <w:rFonts w:ascii="Calibri" w:hAnsi="Calibri" w:cs="Calibri"/>
                <w:b w:val="0"/>
                <w:color w:val="000000"/>
                <w:szCs w:val="24"/>
              </w:rPr>
            </w:pPr>
            <w:r w:rsidRPr="00F550D1">
              <w:rPr>
                <w:rFonts w:ascii="Calibri" w:hAnsi="Calibri" w:cs="Calibri"/>
                <w:b w:val="0"/>
                <w:color w:val="000000"/>
                <w:szCs w:val="24"/>
              </w:rPr>
              <w:lastRenderedPageBreak/>
              <w:t>Promote understanding and awareness of skills and capacity needs for the nature based sector</w:t>
            </w:r>
          </w:p>
        </w:tc>
        <w:tc>
          <w:tcPr>
            <w:tcW w:w="1559" w:type="dxa"/>
            <w:vAlign w:val="center"/>
          </w:tcPr>
          <w:p w14:paraId="6D5195BE" w14:textId="77777777" w:rsidR="00F550D1" w:rsidRPr="00F550D1" w:rsidRDefault="00F550D1" w:rsidP="00F550D1">
            <w:pPr>
              <w:cnfStyle w:val="000000000000" w:firstRow="0" w:lastRow="0" w:firstColumn="0" w:lastColumn="0" w:oddVBand="0" w:evenVBand="0" w:oddHBand="0" w:evenHBand="0" w:firstRowFirstColumn="0" w:firstRowLastColumn="0" w:lastRowFirstColumn="0" w:lastRowLastColumn="0"/>
              <w:rPr>
                <w:rFonts w:ascii="Calibri" w:hAnsi="Calibri" w:cs="Calibri"/>
                <w:szCs w:val="24"/>
              </w:rPr>
            </w:pPr>
            <w:r w:rsidRPr="00F550D1">
              <w:rPr>
                <w:rFonts w:ascii="Calibri" w:hAnsi="Calibri" w:cs="Calibri"/>
                <w:color w:val="000000"/>
                <w:szCs w:val="24"/>
              </w:rPr>
              <w:t>Nick Halfhide</w:t>
            </w:r>
          </w:p>
        </w:tc>
        <w:tc>
          <w:tcPr>
            <w:tcW w:w="993" w:type="dxa"/>
            <w:shd w:val="clear" w:color="auto" w:fill="9BBB59" w:themeFill="accent3"/>
            <w:vAlign w:val="center"/>
          </w:tcPr>
          <w:p w14:paraId="6DEA85FE" w14:textId="77777777" w:rsidR="00F550D1" w:rsidRPr="00F550D1" w:rsidRDefault="00F550D1" w:rsidP="00F550D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szCs w:val="24"/>
              </w:rPr>
            </w:pPr>
            <w:r w:rsidRPr="00F550D1">
              <w:rPr>
                <w:rFonts w:ascii="Calibri" w:hAnsi="Calibri" w:cs="Calibri"/>
                <w:b/>
                <w:szCs w:val="24"/>
              </w:rPr>
              <w:t>GREEN</w:t>
            </w:r>
          </w:p>
        </w:tc>
        <w:tc>
          <w:tcPr>
            <w:tcW w:w="8466" w:type="dxa"/>
            <w:vAlign w:val="center"/>
          </w:tcPr>
          <w:p w14:paraId="210ABAAB" w14:textId="77777777" w:rsidR="00393BD7" w:rsidRPr="00393BD7" w:rsidRDefault="00393BD7" w:rsidP="003E7B62">
            <w:pPr>
              <w:numPr>
                <w:ilvl w:val="0"/>
                <w:numId w:val="10"/>
              </w:numPr>
              <w:contextualSpacing/>
              <w:cnfStyle w:val="000000000000" w:firstRow="0" w:lastRow="0" w:firstColumn="0" w:lastColumn="0" w:oddVBand="0" w:evenVBand="0" w:oddHBand="0" w:evenHBand="0" w:firstRowFirstColumn="0" w:firstRowLastColumn="0" w:lastRowFirstColumn="0" w:lastRowLastColumn="0"/>
              <w:rPr>
                <w:rFonts w:ascii="Calibri" w:hAnsi="Calibri" w:cs="Calibri"/>
                <w:szCs w:val="24"/>
              </w:rPr>
            </w:pPr>
            <w:r w:rsidRPr="00393BD7">
              <w:rPr>
                <w:rFonts w:ascii="Calibri" w:hAnsi="Calibri" w:cs="Calibri"/>
                <w:szCs w:val="24"/>
              </w:rPr>
              <w:t>Nature Restoration Jobs and Skills Conference held with 350 registrations, 8 External Speakers, Ministerial attendance.</w:t>
            </w:r>
          </w:p>
          <w:p w14:paraId="33A8006C" w14:textId="77777777" w:rsidR="00393BD7" w:rsidRPr="00393BD7" w:rsidRDefault="00393BD7" w:rsidP="003E7B62">
            <w:pPr>
              <w:numPr>
                <w:ilvl w:val="0"/>
                <w:numId w:val="10"/>
              </w:numPr>
              <w:contextualSpacing/>
              <w:cnfStyle w:val="000000000000" w:firstRow="0" w:lastRow="0" w:firstColumn="0" w:lastColumn="0" w:oddVBand="0" w:evenVBand="0" w:oddHBand="0" w:evenHBand="0" w:firstRowFirstColumn="0" w:firstRowLastColumn="0" w:lastRowFirstColumn="0" w:lastRowLastColumn="0"/>
              <w:rPr>
                <w:rFonts w:ascii="Calibri" w:hAnsi="Calibri" w:cs="Calibri"/>
                <w:szCs w:val="24"/>
              </w:rPr>
            </w:pPr>
            <w:r w:rsidRPr="00393BD7">
              <w:rPr>
                <w:rFonts w:ascii="Calibri" w:hAnsi="Calibri" w:cs="Calibri"/>
                <w:szCs w:val="24"/>
              </w:rPr>
              <w:t>Nature Restoration Skills Week –23 Training Events delivered, including 12 in person events. Total of 350 people trained.</w:t>
            </w:r>
          </w:p>
          <w:p w14:paraId="4F2501F4" w14:textId="77777777" w:rsidR="00393BD7" w:rsidRPr="00393BD7" w:rsidRDefault="00393BD7" w:rsidP="003E7B62">
            <w:pPr>
              <w:numPr>
                <w:ilvl w:val="0"/>
                <w:numId w:val="10"/>
              </w:numPr>
              <w:contextualSpacing/>
              <w:cnfStyle w:val="000000000000" w:firstRow="0" w:lastRow="0" w:firstColumn="0" w:lastColumn="0" w:oddVBand="0" w:evenVBand="0" w:oddHBand="0" w:evenHBand="0" w:firstRowFirstColumn="0" w:firstRowLastColumn="0" w:lastRowFirstColumn="0" w:lastRowLastColumn="0"/>
              <w:rPr>
                <w:rFonts w:ascii="Calibri" w:hAnsi="Calibri" w:cs="Calibri"/>
                <w:szCs w:val="24"/>
              </w:rPr>
            </w:pPr>
            <w:r w:rsidRPr="00393BD7">
              <w:rPr>
                <w:rFonts w:ascii="Calibri" w:hAnsi="Calibri" w:cs="Calibri"/>
                <w:szCs w:val="24"/>
              </w:rPr>
              <w:t>Nature-based Jobs Showcase – 6 schools attended online event.</w:t>
            </w:r>
          </w:p>
          <w:p w14:paraId="59C8DBDC" w14:textId="77777777" w:rsidR="00393BD7" w:rsidRPr="00393BD7" w:rsidRDefault="00393BD7" w:rsidP="003E7B62">
            <w:pPr>
              <w:numPr>
                <w:ilvl w:val="0"/>
                <w:numId w:val="10"/>
              </w:numPr>
              <w:contextualSpacing/>
              <w:cnfStyle w:val="000000000000" w:firstRow="0" w:lastRow="0" w:firstColumn="0" w:lastColumn="0" w:oddVBand="0" w:evenVBand="0" w:oddHBand="0" w:evenHBand="0" w:firstRowFirstColumn="0" w:firstRowLastColumn="0" w:lastRowFirstColumn="0" w:lastRowLastColumn="0"/>
              <w:rPr>
                <w:rFonts w:ascii="Calibri" w:hAnsi="Calibri" w:cs="Calibri"/>
                <w:szCs w:val="24"/>
              </w:rPr>
            </w:pPr>
            <w:r w:rsidRPr="00393BD7">
              <w:rPr>
                <w:rFonts w:ascii="Calibri" w:hAnsi="Calibri" w:cs="Calibri"/>
                <w:szCs w:val="24"/>
              </w:rPr>
              <w:t>Working with Rivers Project - 12 placements recruited for 6 months with 11 employers each funded through Graduate Career Advantage Scotland (GCAS).</w:t>
            </w:r>
          </w:p>
          <w:p w14:paraId="09A7682F" w14:textId="1817ED51" w:rsidR="00393BD7" w:rsidRPr="00393BD7" w:rsidRDefault="00393BD7" w:rsidP="003E7B62">
            <w:pPr>
              <w:numPr>
                <w:ilvl w:val="0"/>
                <w:numId w:val="10"/>
              </w:numPr>
              <w:contextualSpacing/>
              <w:cnfStyle w:val="000000000000" w:firstRow="0" w:lastRow="0" w:firstColumn="0" w:lastColumn="0" w:oddVBand="0" w:evenVBand="0" w:oddHBand="0" w:evenHBand="0" w:firstRowFirstColumn="0" w:firstRowLastColumn="0" w:lastRowFirstColumn="0" w:lastRowLastColumn="0"/>
              <w:rPr>
                <w:rFonts w:ascii="Calibri" w:hAnsi="Calibri" w:cs="Calibri"/>
                <w:szCs w:val="24"/>
              </w:rPr>
            </w:pPr>
            <w:r w:rsidRPr="00393BD7">
              <w:rPr>
                <w:rFonts w:ascii="Calibri" w:hAnsi="Calibri" w:cs="Calibri"/>
                <w:szCs w:val="24"/>
              </w:rPr>
              <w:t>Make Your Mark volunteer campaign refreshed and nature-branded.</w:t>
            </w:r>
          </w:p>
          <w:p w14:paraId="76547DB5" w14:textId="52F8EF8E" w:rsidR="00393BD7" w:rsidRPr="00393BD7" w:rsidRDefault="00393BD7" w:rsidP="003E7B62">
            <w:pPr>
              <w:numPr>
                <w:ilvl w:val="0"/>
                <w:numId w:val="10"/>
              </w:numPr>
              <w:contextualSpacing/>
              <w:cnfStyle w:val="000000000000" w:firstRow="0" w:lastRow="0" w:firstColumn="0" w:lastColumn="0" w:oddVBand="0" w:evenVBand="0" w:oddHBand="0" w:evenHBand="0" w:firstRowFirstColumn="0" w:firstRowLastColumn="0" w:lastRowFirstColumn="0" w:lastRowLastColumn="0"/>
              <w:rPr>
                <w:rFonts w:ascii="Calibri" w:hAnsi="Calibri" w:cs="Calibri"/>
                <w:szCs w:val="24"/>
              </w:rPr>
            </w:pPr>
            <w:r w:rsidRPr="00393BD7">
              <w:rPr>
                <w:rFonts w:ascii="Calibri" w:hAnsi="Calibri" w:cs="Calibri"/>
                <w:szCs w:val="24"/>
              </w:rPr>
              <w:t xml:space="preserve">Over 20,000 volunteers supported through NatureScot funding for TCV, </w:t>
            </w:r>
            <w:proofErr w:type="spellStart"/>
            <w:r w:rsidRPr="00393BD7">
              <w:rPr>
                <w:rFonts w:ascii="Calibri" w:hAnsi="Calibri" w:cs="Calibri"/>
                <w:szCs w:val="24"/>
              </w:rPr>
              <w:t>YoungScot</w:t>
            </w:r>
            <w:proofErr w:type="spellEnd"/>
            <w:r w:rsidRPr="00393BD7">
              <w:rPr>
                <w:rFonts w:ascii="Calibri" w:hAnsi="Calibri" w:cs="Calibri"/>
                <w:szCs w:val="24"/>
              </w:rPr>
              <w:t xml:space="preserve">, John Muir Trust and Volunteer Matters and other </w:t>
            </w:r>
            <w:proofErr w:type="spellStart"/>
            <w:r w:rsidRPr="00393BD7">
              <w:rPr>
                <w:rFonts w:ascii="Calibri" w:hAnsi="Calibri" w:cs="Calibri"/>
                <w:szCs w:val="24"/>
              </w:rPr>
              <w:t>eNGOs</w:t>
            </w:r>
            <w:proofErr w:type="spellEnd"/>
            <w:r w:rsidRPr="00393BD7">
              <w:rPr>
                <w:rFonts w:ascii="Calibri" w:hAnsi="Calibri" w:cs="Calibri"/>
                <w:szCs w:val="24"/>
              </w:rPr>
              <w:t>.</w:t>
            </w:r>
          </w:p>
          <w:p w14:paraId="5C51A87B" w14:textId="418150B8" w:rsidR="00F550D1" w:rsidRPr="00F550D1" w:rsidRDefault="00F550D1" w:rsidP="001332B9">
            <w:pPr>
              <w:ind w:left="360"/>
              <w:contextualSpacing/>
              <w:cnfStyle w:val="000000000000" w:firstRow="0" w:lastRow="0" w:firstColumn="0" w:lastColumn="0" w:oddVBand="0" w:evenVBand="0" w:oddHBand="0" w:evenHBand="0" w:firstRowFirstColumn="0" w:firstRowLastColumn="0" w:lastRowFirstColumn="0" w:lastRowLastColumn="0"/>
              <w:rPr>
                <w:rFonts w:ascii="Calibri" w:hAnsi="Calibri" w:cs="Calibri"/>
                <w:szCs w:val="24"/>
              </w:rPr>
            </w:pPr>
          </w:p>
        </w:tc>
      </w:tr>
    </w:tbl>
    <w:p w14:paraId="6CD6FD5B" w14:textId="301D9A4A" w:rsidR="00F550D1" w:rsidRPr="00F550D1" w:rsidRDefault="00F550D1" w:rsidP="00F550D1">
      <w:pPr>
        <w:spacing w:after="160" w:line="259" w:lineRule="auto"/>
        <w:rPr>
          <w:rFonts w:ascii="Calibri" w:eastAsiaTheme="majorEastAsia" w:hAnsi="Calibri" w:cs="Calibri"/>
          <w:b/>
          <w:szCs w:val="26"/>
        </w:rPr>
      </w:pPr>
    </w:p>
    <w:p w14:paraId="0EC26D3E" w14:textId="77777777" w:rsidR="00F550D1" w:rsidRPr="00F550D1" w:rsidRDefault="00F550D1" w:rsidP="00F550D1">
      <w:pPr>
        <w:keepNext/>
        <w:keepLines/>
        <w:shd w:val="clear" w:color="auto" w:fill="007DC3"/>
        <w:spacing w:before="40" w:after="0" w:line="259" w:lineRule="auto"/>
        <w:jc w:val="center"/>
        <w:outlineLvl w:val="1"/>
        <w:rPr>
          <w:rFonts w:ascii="Calibri" w:eastAsiaTheme="majorEastAsia" w:hAnsi="Calibri" w:cs="Calibri"/>
          <w:b/>
          <w:szCs w:val="26"/>
        </w:rPr>
      </w:pPr>
      <w:r w:rsidRPr="00F550D1">
        <w:rPr>
          <w:rFonts w:ascii="Calibri" w:eastAsiaTheme="majorEastAsia" w:hAnsi="Calibri" w:cs="Calibri"/>
          <w:b/>
          <w:szCs w:val="26"/>
        </w:rPr>
        <w:lastRenderedPageBreak/>
        <w:t>WE HAVE TRANSFORMED HOW WE WORK</w:t>
      </w:r>
    </w:p>
    <w:tbl>
      <w:tblPr>
        <w:tblStyle w:val="PlainTable1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WE HAVE TRANSFORMED HOW WE WORK Q1 UPDATE"/>
      </w:tblPr>
      <w:tblGrid>
        <w:gridCol w:w="3402"/>
        <w:gridCol w:w="1701"/>
        <w:gridCol w:w="993"/>
        <w:gridCol w:w="8309"/>
      </w:tblGrid>
      <w:tr w:rsidR="00F550D1" w:rsidRPr="00F550D1" w14:paraId="3043A749" w14:textId="77777777" w:rsidTr="001332B9">
        <w:trPr>
          <w:cnfStyle w:val="100000000000" w:firstRow="1" w:lastRow="0" w:firstColumn="0" w:lastColumn="0" w:oddVBand="0" w:evenVBand="0" w:oddHBand="0" w:evenHBand="0" w:firstRowFirstColumn="0" w:firstRowLastColumn="0" w:lastRowFirstColumn="0" w:lastRowLastColumn="0"/>
          <w:cantSplit/>
          <w:tblHeader/>
          <w:jc w:val="center"/>
        </w:trPr>
        <w:tc>
          <w:tcPr>
            <w:cnfStyle w:val="001000000000" w:firstRow="0" w:lastRow="0" w:firstColumn="1" w:lastColumn="0" w:oddVBand="0" w:evenVBand="0" w:oddHBand="0" w:evenHBand="0" w:firstRowFirstColumn="0" w:firstRowLastColumn="0" w:lastRowFirstColumn="0" w:lastRowLastColumn="0"/>
            <w:tcW w:w="3402" w:type="dxa"/>
            <w:vAlign w:val="center"/>
          </w:tcPr>
          <w:p w14:paraId="53E5ADA0" w14:textId="2E9A761A" w:rsidR="00F550D1" w:rsidRPr="00F550D1" w:rsidRDefault="00034B4C" w:rsidP="00034B4C">
            <w:pPr>
              <w:rPr>
                <w:rFonts w:ascii="Calibri" w:hAnsi="Calibri" w:cs="Calibri"/>
                <w:szCs w:val="26"/>
              </w:rPr>
            </w:pPr>
            <w:r>
              <w:rPr>
                <w:rFonts w:ascii="Calibri" w:hAnsi="Calibri" w:cs="Calibri"/>
                <w:szCs w:val="26"/>
              </w:rPr>
              <w:t xml:space="preserve"> </w:t>
            </w:r>
            <w:r w:rsidR="00F550D1" w:rsidRPr="00F550D1">
              <w:rPr>
                <w:rFonts w:ascii="Calibri" w:hAnsi="Calibri" w:cs="Calibri"/>
                <w:szCs w:val="26"/>
              </w:rPr>
              <w:t>CORPORATE PLAN OBJECTIVE</w:t>
            </w:r>
          </w:p>
        </w:tc>
        <w:tc>
          <w:tcPr>
            <w:tcW w:w="1701" w:type="dxa"/>
            <w:vAlign w:val="center"/>
          </w:tcPr>
          <w:p w14:paraId="2D42C59E" w14:textId="77777777" w:rsidR="00F550D1" w:rsidRPr="00F550D1" w:rsidRDefault="00F550D1" w:rsidP="00F550D1">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Cs w:val="26"/>
              </w:rPr>
            </w:pPr>
            <w:r w:rsidRPr="00F550D1">
              <w:rPr>
                <w:rFonts w:ascii="Calibri" w:hAnsi="Calibri" w:cs="Calibri"/>
                <w:szCs w:val="26"/>
              </w:rPr>
              <w:t>SLT LEAD</w:t>
            </w:r>
          </w:p>
        </w:tc>
        <w:tc>
          <w:tcPr>
            <w:tcW w:w="993" w:type="dxa"/>
            <w:vAlign w:val="center"/>
          </w:tcPr>
          <w:p w14:paraId="75A406DA" w14:textId="77777777" w:rsidR="00F550D1" w:rsidRPr="00F550D1" w:rsidRDefault="00F550D1" w:rsidP="00F550D1">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Cs w:val="26"/>
              </w:rPr>
            </w:pPr>
            <w:r w:rsidRPr="00F550D1">
              <w:rPr>
                <w:rFonts w:ascii="Calibri" w:hAnsi="Calibri" w:cs="Calibri"/>
                <w:szCs w:val="26"/>
              </w:rPr>
              <w:t>RAG SCORE</w:t>
            </w:r>
          </w:p>
        </w:tc>
        <w:tc>
          <w:tcPr>
            <w:tcW w:w="8309" w:type="dxa"/>
            <w:vAlign w:val="center"/>
          </w:tcPr>
          <w:p w14:paraId="30A7CBD6" w14:textId="66B143CE" w:rsidR="00F550D1" w:rsidRPr="00F550D1" w:rsidRDefault="007420DE" w:rsidP="00F550D1">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Cs w:val="26"/>
              </w:rPr>
            </w:pPr>
            <w:r>
              <w:rPr>
                <w:rFonts w:ascii="Calibri" w:hAnsi="Calibri" w:cs="Calibri"/>
                <w:szCs w:val="26"/>
              </w:rPr>
              <w:t>Q4</w:t>
            </w:r>
            <w:r w:rsidR="00F550D1" w:rsidRPr="00F550D1">
              <w:rPr>
                <w:rFonts w:ascii="Calibri" w:hAnsi="Calibri" w:cs="Calibri"/>
                <w:szCs w:val="26"/>
              </w:rPr>
              <w:t xml:space="preserve"> UPDATE</w:t>
            </w:r>
          </w:p>
        </w:tc>
      </w:tr>
      <w:tr w:rsidR="00F550D1" w:rsidRPr="00F550D1" w14:paraId="360DA9D1" w14:textId="77777777" w:rsidTr="001332B9">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3402" w:type="dxa"/>
            <w:vAlign w:val="center"/>
          </w:tcPr>
          <w:p w14:paraId="2E756D7E" w14:textId="77777777" w:rsidR="00F550D1" w:rsidRPr="00F550D1" w:rsidRDefault="00F550D1" w:rsidP="00F550D1">
            <w:pPr>
              <w:rPr>
                <w:rFonts w:ascii="Calibri" w:hAnsi="Calibri" w:cs="Calibri"/>
                <w:b w:val="0"/>
                <w:color w:val="000000"/>
                <w:szCs w:val="24"/>
              </w:rPr>
            </w:pPr>
            <w:r w:rsidRPr="00F550D1">
              <w:rPr>
                <w:rFonts w:ascii="Calibri" w:hAnsi="Calibri" w:cs="Calibri"/>
                <w:b w:val="0"/>
                <w:color w:val="000000"/>
                <w:szCs w:val="24"/>
              </w:rPr>
              <w:t>Deliver new ways of working to stimulate achievement of our ambitions</w:t>
            </w:r>
          </w:p>
        </w:tc>
        <w:tc>
          <w:tcPr>
            <w:tcW w:w="1701" w:type="dxa"/>
            <w:vAlign w:val="center"/>
          </w:tcPr>
          <w:p w14:paraId="69F649AC" w14:textId="77777777" w:rsidR="00F550D1" w:rsidRPr="00F550D1" w:rsidRDefault="00F550D1" w:rsidP="00F550D1">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4"/>
              </w:rPr>
            </w:pPr>
            <w:r w:rsidRPr="00F550D1">
              <w:rPr>
                <w:rFonts w:ascii="Calibri" w:hAnsi="Calibri" w:cs="Calibri"/>
                <w:color w:val="000000"/>
                <w:szCs w:val="24"/>
              </w:rPr>
              <w:t xml:space="preserve">Jane Macdonald </w:t>
            </w:r>
          </w:p>
        </w:tc>
        <w:tc>
          <w:tcPr>
            <w:tcW w:w="993" w:type="dxa"/>
            <w:shd w:val="clear" w:color="auto" w:fill="9BBB59" w:themeFill="accent3"/>
            <w:vAlign w:val="center"/>
          </w:tcPr>
          <w:p w14:paraId="28752F97" w14:textId="77777777" w:rsidR="00F550D1" w:rsidRPr="00F550D1" w:rsidRDefault="00F550D1" w:rsidP="00F550D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szCs w:val="24"/>
              </w:rPr>
            </w:pPr>
            <w:r w:rsidRPr="00F550D1">
              <w:rPr>
                <w:rFonts w:ascii="Calibri" w:hAnsi="Calibri" w:cs="Calibri"/>
                <w:b/>
                <w:szCs w:val="24"/>
              </w:rPr>
              <w:t>GREEN</w:t>
            </w:r>
          </w:p>
        </w:tc>
        <w:tc>
          <w:tcPr>
            <w:tcW w:w="8309" w:type="dxa"/>
            <w:vAlign w:val="center"/>
          </w:tcPr>
          <w:p w14:paraId="75A23000" w14:textId="77777777" w:rsidR="007420DE" w:rsidRPr="007420DE" w:rsidRDefault="007420DE" w:rsidP="003E7B62">
            <w:pPr>
              <w:numPr>
                <w:ilvl w:val="0"/>
                <w:numId w:val="11"/>
              </w:numPr>
              <w:contextualSpacing/>
              <w:cnfStyle w:val="000000100000" w:firstRow="0" w:lastRow="0" w:firstColumn="0" w:lastColumn="0" w:oddVBand="0" w:evenVBand="0" w:oddHBand="1" w:evenHBand="0" w:firstRowFirstColumn="0" w:firstRowLastColumn="0" w:lastRowFirstColumn="0" w:lastRowLastColumn="0"/>
              <w:rPr>
                <w:rFonts w:ascii="Calibri" w:hAnsi="Calibri" w:cs="Calibri"/>
                <w:szCs w:val="24"/>
              </w:rPr>
            </w:pPr>
            <w:r w:rsidRPr="007420DE">
              <w:rPr>
                <w:rFonts w:ascii="Calibri" w:hAnsi="Calibri" w:cs="Calibri"/>
                <w:szCs w:val="24"/>
              </w:rPr>
              <w:t>A strong quarter, and overall very good progress this year across all the programmes of work to enable new ways of working, despite resource &amp; capacity challenges.</w:t>
            </w:r>
          </w:p>
          <w:p w14:paraId="6A186F73" w14:textId="33A889A4" w:rsidR="007420DE" w:rsidRPr="007420DE" w:rsidRDefault="007420DE" w:rsidP="003E7B62">
            <w:pPr>
              <w:numPr>
                <w:ilvl w:val="0"/>
                <w:numId w:val="11"/>
              </w:numPr>
              <w:contextualSpacing/>
              <w:cnfStyle w:val="000000100000" w:firstRow="0" w:lastRow="0" w:firstColumn="0" w:lastColumn="0" w:oddVBand="0" w:evenVBand="0" w:oddHBand="1" w:evenHBand="0" w:firstRowFirstColumn="0" w:firstRowLastColumn="0" w:lastRowFirstColumn="0" w:lastRowLastColumn="0"/>
              <w:rPr>
                <w:rFonts w:ascii="Calibri" w:hAnsi="Calibri" w:cs="Calibri"/>
                <w:szCs w:val="24"/>
              </w:rPr>
            </w:pPr>
            <w:r w:rsidRPr="007420DE">
              <w:rPr>
                <w:rFonts w:ascii="Calibri" w:hAnsi="Calibri" w:cs="Calibri"/>
                <w:szCs w:val="24"/>
              </w:rPr>
              <w:t xml:space="preserve">Workplaces – Edinburgh business case completed and submitted to SG. Recommendation to move to Meadowbank House is the focus of staff engagement and we are now moving to the implementation phase. Work on </w:t>
            </w:r>
            <w:r w:rsidR="00F240B0">
              <w:rPr>
                <w:rFonts w:ascii="Calibri" w:hAnsi="Calibri" w:cs="Calibri"/>
                <w:szCs w:val="24"/>
              </w:rPr>
              <w:t xml:space="preserve">Perth and Inverness </w:t>
            </w:r>
            <w:r w:rsidRPr="007420DE">
              <w:rPr>
                <w:rFonts w:ascii="Calibri" w:hAnsi="Calibri" w:cs="Calibri"/>
                <w:szCs w:val="24"/>
              </w:rPr>
              <w:t>business case</w:t>
            </w:r>
            <w:r w:rsidR="00F240B0">
              <w:rPr>
                <w:rFonts w:ascii="Calibri" w:hAnsi="Calibri" w:cs="Calibri"/>
                <w:szCs w:val="24"/>
              </w:rPr>
              <w:t>s has</w:t>
            </w:r>
            <w:r w:rsidRPr="007420DE">
              <w:rPr>
                <w:rFonts w:ascii="Calibri" w:hAnsi="Calibri" w:cs="Calibri"/>
                <w:szCs w:val="24"/>
              </w:rPr>
              <w:t xml:space="preserve"> been delayed due to this, however recruitment of a Programme Manager should mitigate further delays.</w:t>
            </w:r>
          </w:p>
          <w:p w14:paraId="46788DEE" w14:textId="77777777" w:rsidR="007420DE" w:rsidRPr="007420DE" w:rsidRDefault="007420DE" w:rsidP="003E7B62">
            <w:pPr>
              <w:numPr>
                <w:ilvl w:val="0"/>
                <w:numId w:val="11"/>
              </w:numPr>
              <w:contextualSpacing/>
              <w:cnfStyle w:val="000000100000" w:firstRow="0" w:lastRow="0" w:firstColumn="0" w:lastColumn="0" w:oddVBand="0" w:evenVBand="0" w:oddHBand="1" w:evenHBand="0" w:firstRowFirstColumn="0" w:firstRowLastColumn="0" w:lastRowFirstColumn="0" w:lastRowLastColumn="0"/>
              <w:rPr>
                <w:rFonts w:ascii="Calibri" w:hAnsi="Calibri" w:cs="Calibri"/>
                <w:szCs w:val="24"/>
              </w:rPr>
            </w:pPr>
            <w:r w:rsidRPr="007420DE">
              <w:rPr>
                <w:rFonts w:ascii="Calibri" w:hAnsi="Calibri" w:cs="Calibri"/>
                <w:szCs w:val="24"/>
              </w:rPr>
              <w:t xml:space="preserve">Network security – all 888 windows laptops are now being protected, filtered and monitored by the new </w:t>
            </w:r>
            <w:proofErr w:type="spellStart"/>
            <w:r w:rsidRPr="007420DE">
              <w:rPr>
                <w:rFonts w:ascii="Calibri" w:hAnsi="Calibri" w:cs="Calibri"/>
                <w:szCs w:val="24"/>
              </w:rPr>
              <w:t>Zscaler</w:t>
            </w:r>
            <w:proofErr w:type="spellEnd"/>
            <w:r w:rsidRPr="007420DE">
              <w:rPr>
                <w:rFonts w:ascii="Calibri" w:hAnsi="Calibri" w:cs="Calibri"/>
                <w:szCs w:val="24"/>
              </w:rPr>
              <w:t xml:space="preserve"> service. Rollout of the ZPA service has now been deferred to 23/24, as the recent network problems and investigations have significantly impacted progress.</w:t>
            </w:r>
          </w:p>
          <w:p w14:paraId="19E9C6AB" w14:textId="77777777" w:rsidR="007420DE" w:rsidRPr="007420DE" w:rsidRDefault="007420DE" w:rsidP="003E7B62">
            <w:pPr>
              <w:numPr>
                <w:ilvl w:val="0"/>
                <w:numId w:val="11"/>
              </w:numPr>
              <w:contextualSpacing/>
              <w:cnfStyle w:val="000000100000" w:firstRow="0" w:lastRow="0" w:firstColumn="0" w:lastColumn="0" w:oddVBand="0" w:evenVBand="0" w:oddHBand="1" w:evenHBand="0" w:firstRowFirstColumn="0" w:firstRowLastColumn="0" w:lastRowFirstColumn="0" w:lastRowLastColumn="0"/>
              <w:rPr>
                <w:rFonts w:ascii="Calibri" w:hAnsi="Calibri" w:cs="Calibri"/>
                <w:szCs w:val="24"/>
              </w:rPr>
            </w:pPr>
            <w:r w:rsidRPr="007420DE">
              <w:rPr>
                <w:rFonts w:ascii="Calibri" w:hAnsi="Calibri" w:cs="Calibri"/>
                <w:szCs w:val="24"/>
              </w:rPr>
              <w:t xml:space="preserve">Cloud Migration - We have renewed our license with Oracle, saving £82.8k. We are also making good progress with enabling our single sign-on/multifactor authentication for Fusion. Work is ongoing on designing the move of our GIS provision to a Cloud Service. We anticipate saving c£25k through decommissioning kit and licence rationalisation as a result. </w:t>
            </w:r>
          </w:p>
          <w:p w14:paraId="3877547B" w14:textId="77777777" w:rsidR="007420DE" w:rsidRPr="007420DE" w:rsidRDefault="007420DE" w:rsidP="003E7B62">
            <w:pPr>
              <w:numPr>
                <w:ilvl w:val="0"/>
                <w:numId w:val="11"/>
              </w:numPr>
              <w:contextualSpacing/>
              <w:cnfStyle w:val="000000100000" w:firstRow="0" w:lastRow="0" w:firstColumn="0" w:lastColumn="0" w:oddVBand="0" w:evenVBand="0" w:oddHBand="1" w:evenHBand="0" w:firstRowFirstColumn="0" w:firstRowLastColumn="0" w:lastRowFirstColumn="0" w:lastRowLastColumn="0"/>
              <w:rPr>
                <w:rFonts w:ascii="Calibri" w:hAnsi="Calibri" w:cs="Calibri"/>
                <w:szCs w:val="24"/>
              </w:rPr>
            </w:pPr>
            <w:r w:rsidRPr="007420DE">
              <w:rPr>
                <w:rFonts w:ascii="Calibri" w:hAnsi="Calibri" w:cs="Calibri"/>
                <w:szCs w:val="24"/>
              </w:rPr>
              <w:t xml:space="preserve">We have implemented our unified </w:t>
            </w:r>
            <w:proofErr w:type="spellStart"/>
            <w:r w:rsidRPr="007420DE">
              <w:rPr>
                <w:rFonts w:ascii="Calibri" w:hAnsi="Calibri" w:cs="Calibri"/>
                <w:szCs w:val="24"/>
              </w:rPr>
              <w:t>comms</w:t>
            </w:r>
            <w:proofErr w:type="spellEnd"/>
            <w:r w:rsidRPr="007420DE">
              <w:rPr>
                <w:rFonts w:ascii="Calibri" w:hAnsi="Calibri" w:cs="Calibri"/>
                <w:szCs w:val="24"/>
              </w:rPr>
              <w:t xml:space="preserve"> approach, moving </w:t>
            </w:r>
            <w:proofErr w:type="spellStart"/>
            <w:r w:rsidRPr="007420DE">
              <w:rPr>
                <w:rFonts w:ascii="Calibri" w:hAnsi="Calibri" w:cs="Calibri"/>
                <w:szCs w:val="24"/>
              </w:rPr>
              <w:t>eMail</w:t>
            </w:r>
            <w:proofErr w:type="spellEnd"/>
            <w:r w:rsidRPr="007420DE">
              <w:rPr>
                <w:rFonts w:ascii="Calibri" w:hAnsi="Calibri" w:cs="Calibri"/>
                <w:szCs w:val="24"/>
              </w:rPr>
              <w:t xml:space="preserve"> to the cloud, rolling out soft phones and new handsets.</w:t>
            </w:r>
          </w:p>
          <w:p w14:paraId="54F0BBAA" w14:textId="77777777" w:rsidR="007420DE" w:rsidRPr="007420DE" w:rsidRDefault="007420DE" w:rsidP="003E7B62">
            <w:pPr>
              <w:numPr>
                <w:ilvl w:val="0"/>
                <w:numId w:val="11"/>
              </w:numPr>
              <w:contextualSpacing/>
              <w:cnfStyle w:val="000000100000" w:firstRow="0" w:lastRow="0" w:firstColumn="0" w:lastColumn="0" w:oddVBand="0" w:evenVBand="0" w:oddHBand="1" w:evenHBand="0" w:firstRowFirstColumn="0" w:firstRowLastColumn="0" w:lastRowFirstColumn="0" w:lastRowLastColumn="0"/>
              <w:rPr>
                <w:rFonts w:ascii="Calibri" w:hAnsi="Calibri" w:cs="Calibri"/>
                <w:szCs w:val="24"/>
              </w:rPr>
            </w:pPr>
            <w:r w:rsidRPr="007420DE">
              <w:rPr>
                <w:rFonts w:ascii="Calibri" w:hAnsi="Calibri" w:cs="Calibri"/>
                <w:szCs w:val="24"/>
              </w:rPr>
              <w:t>We are making good progress on moving our Objective document and records management system to the cloud. Implementation is on track for Q1.</w:t>
            </w:r>
          </w:p>
          <w:p w14:paraId="325C3F73" w14:textId="77777777" w:rsidR="007420DE" w:rsidRPr="007420DE" w:rsidRDefault="007420DE" w:rsidP="003E7B62">
            <w:pPr>
              <w:numPr>
                <w:ilvl w:val="0"/>
                <w:numId w:val="11"/>
              </w:numPr>
              <w:contextualSpacing/>
              <w:cnfStyle w:val="000000100000" w:firstRow="0" w:lastRow="0" w:firstColumn="0" w:lastColumn="0" w:oddVBand="0" w:evenVBand="0" w:oddHBand="1" w:evenHBand="0" w:firstRowFirstColumn="0" w:firstRowLastColumn="0" w:lastRowFirstColumn="0" w:lastRowLastColumn="0"/>
              <w:rPr>
                <w:rFonts w:ascii="Calibri" w:hAnsi="Calibri" w:cs="Calibri"/>
                <w:szCs w:val="24"/>
              </w:rPr>
            </w:pPr>
            <w:r w:rsidRPr="007420DE">
              <w:rPr>
                <w:rFonts w:ascii="Calibri" w:hAnsi="Calibri" w:cs="Calibri"/>
                <w:szCs w:val="24"/>
              </w:rPr>
              <w:t xml:space="preserve">Net-zero - further electrification of our fleet and installation of photovoltaic panels at Golspie. This now has an A+ energy certificate rating and a negative score making it officially our first net-zero office. </w:t>
            </w:r>
          </w:p>
          <w:p w14:paraId="71F7448C" w14:textId="17FAFEB0" w:rsidR="001332B9" w:rsidRPr="00F550D1" w:rsidRDefault="007420DE" w:rsidP="003E7B62">
            <w:pPr>
              <w:numPr>
                <w:ilvl w:val="0"/>
                <w:numId w:val="11"/>
              </w:numPr>
              <w:contextualSpacing/>
              <w:cnfStyle w:val="000000100000" w:firstRow="0" w:lastRow="0" w:firstColumn="0" w:lastColumn="0" w:oddVBand="0" w:evenVBand="0" w:oddHBand="1" w:evenHBand="0" w:firstRowFirstColumn="0" w:firstRowLastColumn="0" w:lastRowFirstColumn="0" w:lastRowLastColumn="0"/>
              <w:rPr>
                <w:rFonts w:ascii="Calibri" w:hAnsi="Calibri" w:cs="Calibri"/>
                <w:szCs w:val="24"/>
              </w:rPr>
            </w:pPr>
            <w:r w:rsidRPr="007420DE">
              <w:rPr>
                <w:rFonts w:ascii="Calibri" w:hAnsi="Calibri" w:cs="Calibri"/>
                <w:szCs w:val="24"/>
              </w:rPr>
              <w:t>We achieved sign-off the 21/22 Annual Report and Accounts in December. We commenced our Business Intelligence project bringing a new skill set to aid our strategic decision making.</w:t>
            </w:r>
          </w:p>
        </w:tc>
      </w:tr>
      <w:tr w:rsidR="00F550D1" w:rsidRPr="00F550D1" w14:paraId="0EE0F142" w14:textId="77777777" w:rsidTr="001332B9">
        <w:trPr>
          <w:cantSplit/>
          <w:jc w:val="center"/>
        </w:trPr>
        <w:tc>
          <w:tcPr>
            <w:cnfStyle w:val="001000000000" w:firstRow="0" w:lastRow="0" w:firstColumn="1" w:lastColumn="0" w:oddVBand="0" w:evenVBand="0" w:oddHBand="0" w:evenHBand="0" w:firstRowFirstColumn="0" w:firstRowLastColumn="0" w:lastRowFirstColumn="0" w:lastRowLastColumn="0"/>
            <w:tcW w:w="3402" w:type="dxa"/>
            <w:vAlign w:val="center"/>
          </w:tcPr>
          <w:p w14:paraId="4538939D" w14:textId="77777777" w:rsidR="00F550D1" w:rsidRPr="00F550D1" w:rsidRDefault="00F550D1" w:rsidP="00F550D1">
            <w:pPr>
              <w:rPr>
                <w:rFonts w:ascii="Calibri" w:hAnsi="Calibri" w:cs="Calibri"/>
                <w:b w:val="0"/>
                <w:color w:val="000000"/>
                <w:szCs w:val="24"/>
              </w:rPr>
            </w:pPr>
            <w:r w:rsidRPr="00F550D1">
              <w:rPr>
                <w:rFonts w:ascii="Calibri" w:hAnsi="Calibri" w:cs="Calibri"/>
                <w:b w:val="0"/>
                <w:color w:val="000000"/>
                <w:szCs w:val="24"/>
              </w:rPr>
              <w:lastRenderedPageBreak/>
              <w:t>Transform our individual and collective leadership capability</w:t>
            </w:r>
          </w:p>
        </w:tc>
        <w:tc>
          <w:tcPr>
            <w:tcW w:w="1701" w:type="dxa"/>
            <w:vAlign w:val="center"/>
          </w:tcPr>
          <w:p w14:paraId="2683BBF6" w14:textId="77777777" w:rsidR="00F550D1" w:rsidRPr="00F550D1" w:rsidRDefault="00F550D1" w:rsidP="00F550D1">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rPr>
            </w:pPr>
            <w:r w:rsidRPr="00F550D1">
              <w:rPr>
                <w:rFonts w:ascii="Calibri" w:hAnsi="Calibri" w:cs="Calibri"/>
                <w:color w:val="000000"/>
                <w:szCs w:val="24"/>
              </w:rPr>
              <w:t xml:space="preserve">Jane Macdonald </w:t>
            </w:r>
          </w:p>
        </w:tc>
        <w:tc>
          <w:tcPr>
            <w:tcW w:w="993" w:type="dxa"/>
            <w:shd w:val="clear" w:color="auto" w:fill="9BBB59" w:themeFill="accent3"/>
            <w:vAlign w:val="center"/>
          </w:tcPr>
          <w:p w14:paraId="26CEA29D" w14:textId="77777777" w:rsidR="00F550D1" w:rsidRPr="00F550D1" w:rsidRDefault="00F550D1" w:rsidP="00F550D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4"/>
              </w:rPr>
            </w:pPr>
            <w:r w:rsidRPr="00F550D1">
              <w:rPr>
                <w:rFonts w:ascii="Calibri" w:hAnsi="Calibri" w:cs="Calibri"/>
                <w:b/>
                <w:szCs w:val="24"/>
              </w:rPr>
              <w:t>GREEN</w:t>
            </w:r>
          </w:p>
        </w:tc>
        <w:tc>
          <w:tcPr>
            <w:tcW w:w="8309" w:type="dxa"/>
            <w:vAlign w:val="center"/>
          </w:tcPr>
          <w:p w14:paraId="1F35C988" w14:textId="77777777" w:rsidR="007420DE" w:rsidRPr="007420DE" w:rsidRDefault="007420DE" w:rsidP="003E7B62">
            <w:pPr>
              <w:numPr>
                <w:ilvl w:val="0"/>
                <w:numId w:val="12"/>
              </w:numPr>
              <w:contextualSpacing/>
              <w:cnfStyle w:val="000000000000" w:firstRow="0" w:lastRow="0" w:firstColumn="0" w:lastColumn="0" w:oddVBand="0" w:evenVBand="0" w:oddHBand="0" w:evenHBand="0" w:firstRowFirstColumn="0" w:firstRowLastColumn="0" w:lastRowFirstColumn="0" w:lastRowLastColumn="0"/>
              <w:rPr>
                <w:rFonts w:ascii="Calibri" w:hAnsi="Calibri" w:cs="Calibri"/>
                <w:szCs w:val="24"/>
              </w:rPr>
            </w:pPr>
            <w:r w:rsidRPr="007420DE">
              <w:rPr>
                <w:rFonts w:ascii="Calibri" w:hAnsi="Calibri" w:cs="Calibri"/>
                <w:szCs w:val="24"/>
              </w:rPr>
              <w:t>People Strategy and delivery programme due to be finalised in early Q1. Minor slippage.</w:t>
            </w:r>
          </w:p>
          <w:p w14:paraId="6D8125B8" w14:textId="05391C9F" w:rsidR="007420DE" w:rsidRPr="007420DE" w:rsidRDefault="007420DE" w:rsidP="003E7B62">
            <w:pPr>
              <w:numPr>
                <w:ilvl w:val="0"/>
                <w:numId w:val="12"/>
              </w:numPr>
              <w:contextualSpacing/>
              <w:cnfStyle w:val="000000000000" w:firstRow="0" w:lastRow="0" w:firstColumn="0" w:lastColumn="0" w:oddVBand="0" w:evenVBand="0" w:oddHBand="0" w:evenHBand="0" w:firstRowFirstColumn="0" w:firstRowLastColumn="0" w:lastRowFirstColumn="0" w:lastRowLastColumn="0"/>
              <w:rPr>
                <w:rFonts w:ascii="Calibri" w:hAnsi="Calibri" w:cs="Calibri"/>
                <w:szCs w:val="24"/>
              </w:rPr>
            </w:pPr>
            <w:r w:rsidRPr="007420DE">
              <w:rPr>
                <w:rFonts w:ascii="Calibri" w:hAnsi="Calibri" w:cs="Calibri"/>
                <w:szCs w:val="24"/>
              </w:rPr>
              <w:t>Learning framework publicised and also new learning packs created for managers and employees.</w:t>
            </w:r>
          </w:p>
          <w:p w14:paraId="0E90F058" w14:textId="77777777" w:rsidR="007420DE" w:rsidRPr="007420DE" w:rsidRDefault="007420DE" w:rsidP="003E7B62">
            <w:pPr>
              <w:numPr>
                <w:ilvl w:val="0"/>
                <w:numId w:val="12"/>
              </w:numPr>
              <w:contextualSpacing/>
              <w:cnfStyle w:val="000000000000" w:firstRow="0" w:lastRow="0" w:firstColumn="0" w:lastColumn="0" w:oddVBand="0" w:evenVBand="0" w:oddHBand="0" w:evenHBand="0" w:firstRowFirstColumn="0" w:firstRowLastColumn="0" w:lastRowFirstColumn="0" w:lastRowLastColumn="0"/>
              <w:rPr>
                <w:rFonts w:ascii="Calibri" w:hAnsi="Calibri" w:cs="Calibri"/>
                <w:szCs w:val="24"/>
              </w:rPr>
            </w:pPr>
            <w:r w:rsidRPr="007420DE">
              <w:rPr>
                <w:rFonts w:ascii="Calibri" w:hAnsi="Calibri" w:cs="Calibri"/>
                <w:szCs w:val="24"/>
              </w:rPr>
              <w:t xml:space="preserve">We are working on the transition of the organisation design work in to the wider organisational development programme. </w:t>
            </w:r>
          </w:p>
          <w:p w14:paraId="656FD8E7" w14:textId="6961140B" w:rsidR="00F550D1" w:rsidRPr="00F550D1" w:rsidRDefault="007420DE" w:rsidP="003E7B62">
            <w:pPr>
              <w:numPr>
                <w:ilvl w:val="0"/>
                <w:numId w:val="12"/>
              </w:numPr>
              <w:contextualSpacing/>
              <w:cnfStyle w:val="000000000000" w:firstRow="0" w:lastRow="0" w:firstColumn="0" w:lastColumn="0" w:oddVBand="0" w:evenVBand="0" w:oddHBand="0" w:evenHBand="0" w:firstRowFirstColumn="0" w:firstRowLastColumn="0" w:lastRowFirstColumn="0" w:lastRowLastColumn="0"/>
              <w:rPr>
                <w:rFonts w:ascii="Calibri" w:hAnsi="Calibri" w:cs="Calibri"/>
                <w:szCs w:val="24"/>
              </w:rPr>
            </w:pPr>
            <w:r w:rsidRPr="007420DE">
              <w:rPr>
                <w:rFonts w:ascii="Calibri" w:hAnsi="Calibri" w:cs="Calibri"/>
                <w:szCs w:val="24"/>
              </w:rPr>
              <w:t xml:space="preserve">Although no set budget allocation for Programme for Youth Employment, work continues on improving the offering and how we can mainstream this into core vacancies.  </w:t>
            </w:r>
          </w:p>
        </w:tc>
      </w:tr>
      <w:tr w:rsidR="00F550D1" w:rsidRPr="00F550D1" w14:paraId="53813163" w14:textId="77777777" w:rsidTr="001332B9">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3402" w:type="dxa"/>
            <w:vAlign w:val="center"/>
          </w:tcPr>
          <w:p w14:paraId="6694348F" w14:textId="77777777" w:rsidR="00F550D1" w:rsidRPr="00F550D1" w:rsidRDefault="00F550D1" w:rsidP="00F550D1">
            <w:pPr>
              <w:rPr>
                <w:rFonts w:ascii="Calibri" w:hAnsi="Calibri" w:cs="Calibri"/>
                <w:b w:val="0"/>
                <w:color w:val="000000"/>
                <w:szCs w:val="24"/>
              </w:rPr>
            </w:pPr>
            <w:r w:rsidRPr="00F550D1">
              <w:rPr>
                <w:rFonts w:ascii="Calibri" w:hAnsi="Calibri" w:cs="Calibri"/>
                <w:b w:val="0"/>
                <w:color w:val="000000"/>
                <w:szCs w:val="24"/>
              </w:rPr>
              <w:t>Sustain our focus on developing a happy and resilient workforce</w:t>
            </w:r>
          </w:p>
        </w:tc>
        <w:tc>
          <w:tcPr>
            <w:tcW w:w="1701" w:type="dxa"/>
            <w:vAlign w:val="center"/>
          </w:tcPr>
          <w:p w14:paraId="5EB14C01" w14:textId="77777777" w:rsidR="00F550D1" w:rsidRPr="00F550D1" w:rsidRDefault="00F550D1" w:rsidP="00F550D1">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4"/>
              </w:rPr>
            </w:pPr>
            <w:r w:rsidRPr="00F550D1">
              <w:rPr>
                <w:rFonts w:ascii="Calibri" w:hAnsi="Calibri" w:cs="Calibri"/>
                <w:color w:val="000000"/>
                <w:szCs w:val="24"/>
              </w:rPr>
              <w:t xml:space="preserve">Jane Macdonald </w:t>
            </w:r>
          </w:p>
        </w:tc>
        <w:tc>
          <w:tcPr>
            <w:tcW w:w="993" w:type="dxa"/>
            <w:shd w:val="clear" w:color="auto" w:fill="9BBB59" w:themeFill="accent3"/>
            <w:vAlign w:val="center"/>
          </w:tcPr>
          <w:p w14:paraId="52BDBE72" w14:textId="77777777" w:rsidR="00F550D1" w:rsidRPr="00F550D1" w:rsidRDefault="00F550D1" w:rsidP="00F550D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Cs w:val="24"/>
              </w:rPr>
            </w:pPr>
            <w:r w:rsidRPr="00F550D1">
              <w:rPr>
                <w:rFonts w:ascii="Calibri" w:hAnsi="Calibri" w:cs="Calibri"/>
                <w:b/>
                <w:szCs w:val="24"/>
              </w:rPr>
              <w:t>GREEN</w:t>
            </w:r>
          </w:p>
        </w:tc>
        <w:tc>
          <w:tcPr>
            <w:tcW w:w="8309" w:type="dxa"/>
            <w:vAlign w:val="center"/>
          </w:tcPr>
          <w:p w14:paraId="5E511168" w14:textId="1B8FBCA9" w:rsidR="007420DE" w:rsidRPr="007420DE" w:rsidRDefault="007420DE" w:rsidP="003E7B62">
            <w:pPr>
              <w:numPr>
                <w:ilvl w:val="0"/>
                <w:numId w:val="13"/>
              </w:numPr>
              <w:contextualSpacing/>
              <w:cnfStyle w:val="000000100000" w:firstRow="0" w:lastRow="0" w:firstColumn="0" w:lastColumn="0" w:oddVBand="0" w:evenVBand="0" w:oddHBand="1" w:evenHBand="0" w:firstRowFirstColumn="0" w:firstRowLastColumn="0" w:lastRowFirstColumn="0" w:lastRowLastColumn="0"/>
              <w:rPr>
                <w:rFonts w:ascii="Calibri" w:hAnsi="Calibri" w:cs="Calibri"/>
                <w:szCs w:val="24"/>
              </w:rPr>
            </w:pPr>
            <w:r w:rsidRPr="007420DE">
              <w:rPr>
                <w:rFonts w:ascii="Calibri" w:hAnsi="Calibri" w:cs="Calibri"/>
                <w:szCs w:val="24"/>
              </w:rPr>
              <w:t>Equality Report completed endorsed by Board. Due to be published by end of April.</w:t>
            </w:r>
          </w:p>
          <w:p w14:paraId="6715A7B5" w14:textId="1AF7DB06" w:rsidR="007420DE" w:rsidRPr="007420DE" w:rsidRDefault="007420DE" w:rsidP="003E7B62">
            <w:pPr>
              <w:numPr>
                <w:ilvl w:val="0"/>
                <w:numId w:val="13"/>
              </w:numPr>
              <w:contextualSpacing/>
              <w:cnfStyle w:val="000000100000" w:firstRow="0" w:lastRow="0" w:firstColumn="0" w:lastColumn="0" w:oddVBand="0" w:evenVBand="0" w:oddHBand="1" w:evenHBand="0" w:firstRowFirstColumn="0" w:firstRowLastColumn="0" w:lastRowFirstColumn="0" w:lastRowLastColumn="0"/>
              <w:rPr>
                <w:rFonts w:ascii="Calibri" w:hAnsi="Calibri" w:cs="Calibri"/>
                <w:szCs w:val="24"/>
              </w:rPr>
            </w:pPr>
            <w:r w:rsidRPr="007420DE">
              <w:rPr>
                <w:rFonts w:ascii="Calibri" w:hAnsi="Calibri" w:cs="Calibri"/>
                <w:szCs w:val="24"/>
              </w:rPr>
              <w:t>Employee Assistance Programme review underway.</w:t>
            </w:r>
          </w:p>
          <w:p w14:paraId="4C9A38C8" w14:textId="44CFBE4B" w:rsidR="00F550D1" w:rsidRPr="00F550D1" w:rsidRDefault="007420DE" w:rsidP="003E7B62">
            <w:pPr>
              <w:numPr>
                <w:ilvl w:val="0"/>
                <w:numId w:val="13"/>
              </w:numPr>
              <w:contextualSpacing/>
              <w:cnfStyle w:val="000000100000" w:firstRow="0" w:lastRow="0" w:firstColumn="0" w:lastColumn="0" w:oddVBand="0" w:evenVBand="0" w:oddHBand="1" w:evenHBand="0" w:firstRowFirstColumn="0" w:firstRowLastColumn="0" w:lastRowFirstColumn="0" w:lastRowLastColumn="0"/>
              <w:rPr>
                <w:rFonts w:ascii="Calibri" w:hAnsi="Calibri" w:cs="Calibri"/>
                <w:szCs w:val="24"/>
              </w:rPr>
            </w:pPr>
            <w:r w:rsidRPr="007420DE">
              <w:rPr>
                <w:rFonts w:ascii="Calibri" w:hAnsi="Calibri" w:cs="Calibri"/>
                <w:szCs w:val="24"/>
              </w:rPr>
              <w:t>People policy suites have slipped (minor). To be picked up in Q1</w:t>
            </w:r>
            <w:r w:rsidR="001332B9" w:rsidRPr="001332B9">
              <w:rPr>
                <w:rFonts w:ascii="Calibri" w:hAnsi="Calibri" w:cs="Calibri"/>
                <w:szCs w:val="24"/>
              </w:rPr>
              <w:t>.</w:t>
            </w:r>
          </w:p>
        </w:tc>
      </w:tr>
    </w:tbl>
    <w:p w14:paraId="0E0F8580" w14:textId="77777777" w:rsidR="000419B1" w:rsidRPr="00A65145" w:rsidRDefault="000419B1" w:rsidP="000419B1">
      <w:pPr>
        <w:rPr>
          <w:color w:val="000000" w:themeColor="text1"/>
        </w:rPr>
      </w:pPr>
    </w:p>
    <w:p w14:paraId="04812618" w14:textId="36BB8A8A" w:rsidR="000419B1" w:rsidRPr="00230933" w:rsidRDefault="000419B1" w:rsidP="003E7B62">
      <w:pPr>
        <w:pStyle w:val="ListParagraph"/>
        <w:numPr>
          <w:ilvl w:val="0"/>
          <w:numId w:val="1"/>
        </w:numPr>
        <w:rPr>
          <w:rFonts w:ascii="Calibri" w:eastAsia="Calibri" w:hAnsi="Calibri" w:cs="Calibri"/>
          <w:color w:val="000000" w:themeColor="text1"/>
          <w:szCs w:val="24"/>
        </w:rPr>
      </w:pPr>
      <w:r w:rsidRPr="00230933">
        <w:rPr>
          <w:rFonts w:ascii="Calibri" w:eastAsia="Calibri" w:hAnsi="Calibri" w:cs="Calibri"/>
          <w:color w:val="000000" w:themeColor="text1"/>
          <w:szCs w:val="24"/>
        </w:rPr>
        <w:t xml:space="preserve">Over the last quarter we are on track to achieve 14 out of the 15 Corporate Plan objectives, the reasons for the slippage can be noted in the above tables.  There is </w:t>
      </w:r>
      <w:r w:rsidR="0049286B">
        <w:rPr>
          <w:rFonts w:ascii="Calibri" w:eastAsia="Calibri" w:hAnsi="Calibri" w:cs="Calibri"/>
          <w:color w:val="000000" w:themeColor="text1"/>
          <w:szCs w:val="24"/>
        </w:rPr>
        <w:t>only one objective marked as amber</w:t>
      </w:r>
      <w:r w:rsidRPr="00230933">
        <w:rPr>
          <w:rFonts w:ascii="Calibri" w:eastAsia="Calibri" w:hAnsi="Calibri" w:cs="Calibri"/>
          <w:color w:val="000000" w:themeColor="text1"/>
          <w:szCs w:val="24"/>
        </w:rPr>
        <w:t xml:space="preserve"> at this point:</w:t>
      </w:r>
      <w:r w:rsidRPr="00230933">
        <w:rPr>
          <w:rFonts w:ascii="Calibri" w:eastAsia="Calibri" w:hAnsi="Calibri" w:cs="Calibri"/>
          <w:color w:val="000000" w:themeColor="text1"/>
          <w:szCs w:val="24"/>
        </w:rPr>
        <w:tab/>
      </w:r>
    </w:p>
    <w:p w14:paraId="699F08BC" w14:textId="25DA73A6" w:rsidR="000419B1" w:rsidRPr="0049286B" w:rsidRDefault="000419B1" w:rsidP="003E7B62">
      <w:pPr>
        <w:pStyle w:val="ListParagraph"/>
        <w:numPr>
          <w:ilvl w:val="1"/>
          <w:numId w:val="1"/>
        </w:numPr>
        <w:ind w:left="643"/>
        <w:rPr>
          <w:rFonts w:ascii="Calibri" w:eastAsia="Calibri" w:hAnsi="Calibri" w:cs="Calibri"/>
          <w:color w:val="000000" w:themeColor="text1"/>
          <w:szCs w:val="24"/>
        </w:rPr>
      </w:pPr>
      <w:r w:rsidRPr="00230933">
        <w:rPr>
          <w:rFonts w:ascii="Calibri" w:hAnsi="Calibri" w:cs="Calibri"/>
          <w:color w:val="000000" w:themeColor="text1"/>
          <w:szCs w:val="24"/>
        </w:rPr>
        <w:t>Scale up Peatland Restoration by delivering Peatland ACTION funding to projects</w:t>
      </w:r>
    </w:p>
    <w:p w14:paraId="4893668B" w14:textId="28AB7251" w:rsidR="0049286B" w:rsidRPr="00230933" w:rsidRDefault="0049286B" w:rsidP="003E7B62">
      <w:pPr>
        <w:pStyle w:val="ListParagraph"/>
        <w:numPr>
          <w:ilvl w:val="2"/>
          <w:numId w:val="1"/>
        </w:numPr>
        <w:rPr>
          <w:rFonts w:ascii="Calibri" w:eastAsia="Calibri" w:hAnsi="Calibri" w:cs="Calibri"/>
          <w:color w:val="000000" w:themeColor="text1"/>
          <w:szCs w:val="24"/>
        </w:rPr>
      </w:pPr>
      <w:r>
        <w:rPr>
          <w:rFonts w:ascii="Calibri" w:hAnsi="Calibri" w:cs="Calibri"/>
          <w:color w:val="000000" w:themeColor="text1"/>
          <w:szCs w:val="24"/>
        </w:rPr>
        <w:t>This is as a result of a reduced hectare target and Peatland Code delays.</w:t>
      </w:r>
    </w:p>
    <w:p w14:paraId="357A17A6" w14:textId="18F9F5FE" w:rsidR="00003504" w:rsidRDefault="00003504" w:rsidP="00003504">
      <w:pPr>
        <w:rPr>
          <w:rFonts w:ascii="Calibri" w:eastAsia="Calibri" w:hAnsi="Calibri" w:cs="Calibri"/>
          <w:color w:val="000000" w:themeColor="text1"/>
          <w:szCs w:val="24"/>
        </w:rPr>
      </w:pPr>
    </w:p>
    <w:p w14:paraId="485EBEE8" w14:textId="77777777" w:rsidR="00003504" w:rsidRPr="00003504" w:rsidRDefault="00003504" w:rsidP="00003504">
      <w:pPr>
        <w:rPr>
          <w:rFonts w:ascii="Calibri" w:eastAsia="Calibri" w:hAnsi="Calibri" w:cs="Calibri"/>
          <w:color w:val="000000" w:themeColor="text1"/>
          <w:szCs w:val="24"/>
        </w:rPr>
        <w:sectPr w:rsidR="00003504" w:rsidRPr="00003504" w:rsidSect="000419B1">
          <w:pgSz w:w="16838" w:h="11906" w:orient="landscape"/>
          <w:pgMar w:top="1440" w:right="993" w:bottom="1440" w:left="1440" w:header="567" w:footer="708" w:gutter="0"/>
          <w:cols w:space="708"/>
          <w:docGrid w:linePitch="360"/>
        </w:sectPr>
      </w:pPr>
    </w:p>
    <w:p w14:paraId="34C2580A" w14:textId="77777777" w:rsidR="00953894" w:rsidRDefault="00953894" w:rsidP="00953894">
      <w:pPr>
        <w:pStyle w:val="Heading2"/>
        <w:rPr>
          <w:rFonts w:ascii="Calibri" w:hAnsi="Calibri" w:cs="Calibri"/>
          <w:color w:val="5E8CC0"/>
        </w:rPr>
      </w:pPr>
      <w:r>
        <w:rPr>
          <w:rFonts w:ascii="Calibri" w:hAnsi="Calibri" w:cs="Calibri"/>
          <w:color w:val="5E8CC0"/>
        </w:rPr>
        <w:lastRenderedPageBreak/>
        <w:t>FINANCE</w:t>
      </w:r>
    </w:p>
    <w:tbl>
      <w:tblPr>
        <w:tblW w:w="9889" w:type="dxa"/>
        <w:tblCellMar>
          <w:left w:w="0" w:type="dxa"/>
          <w:right w:w="0" w:type="dxa"/>
        </w:tblCellMar>
        <w:tblLook w:val="0420" w:firstRow="1" w:lastRow="0" w:firstColumn="0" w:lastColumn="0" w:noHBand="0" w:noVBand="1"/>
      </w:tblPr>
      <w:tblGrid>
        <w:gridCol w:w="2080"/>
        <w:gridCol w:w="2388"/>
        <w:gridCol w:w="1132"/>
        <w:gridCol w:w="1189"/>
        <w:gridCol w:w="1399"/>
        <w:gridCol w:w="1701"/>
      </w:tblGrid>
      <w:tr w:rsidR="00953894" w14:paraId="45305C2D" w14:textId="77777777" w:rsidTr="00953894">
        <w:trPr>
          <w:trHeight w:val="584"/>
        </w:trPr>
        <w:tc>
          <w:tcPr>
            <w:tcW w:w="2080" w:type="dxa"/>
            <w:tcBorders>
              <w:top w:val="single" w:sz="8" w:space="0" w:color="FFFFFF"/>
              <w:left w:val="single" w:sz="8" w:space="0" w:color="FFFFFF"/>
              <w:bottom w:val="single" w:sz="24" w:space="0" w:color="FFFFFF"/>
              <w:right w:val="single" w:sz="8" w:space="0" w:color="FFFFFF"/>
            </w:tcBorders>
            <w:shd w:val="clear" w:color="auto" w:fill="5E8CC0"/>
            <w:tcMar>
              <w:top w:w="15" w:type="dxa"/>
              <w:left w:w="108" w:type="dxa"/>
              <w:bottom w:w="0" w:type="dxa"/>
              <w:right w:w="108" w:type="dxa"/>
            </w:tcMar>
            <w:vAlign w:val="center"/>
            <w:hideMark/>
          </w:tcPr>
          <w:p w14:paraId="1EB839B9" w14:textId="77777777" w:rsidR="00953894" w:rsidRDefault="00953894">
            <w:pPr>
              <w:spacing w:line="256" w:lineRule="auto"/>
              <w:jc w:val="center"/>
              <w:rPr>
                <w:rFonts w:ascii="Calibri" w:eastAsia="Times New Roman" w:hAnsi="Calibri" w:cs="Calibri"/>
                <w:szCs w:val="24"/>
                <w:lang w:eastAsia="en-GB"/>
              </w:rPr>
            </w:pPr>
            <w:r>
              <w:rPr>
                <w:rFonts w:ascii="Calibri" w:eastAsia="Times New Roman" w:hAnsi="Calibri" w:cs="Calibri"/>
                <w:b/>
                <w:bCs/>
                <w:color w:val="000000" w:themeColor="text1"/>
                <w:kern w:val="24"/>
                <w:szCs w:val="24"/>
                <w:lang w:eastAsia="en-GB"/>
              </w:rPr>
              <w:t>Financial Metrics (£m)</w:t>
            </w:r>
          </w:p>
        </w:tc>
        <w:tc>
          <w:tcPr>
            <w:tcW w:w="2388" w:type="dxa"/>
            <w:tcBorders>
              <w:top w:val="single" w:sz="8" w:space="0" w:color="FFFFFF"/>
              <w:left w:val="single" w:sz="8" w:space="0" w:color="FFFFFF"/>
              <w:bottom w:val="single" w:sz="24" w:space="0" w:color="FFFFFF"/>
              <w:right w:val="single" w:sz="8" w:space="0" w:color="FFFFFF"/>
            </w:tcBorders>
            <w:shd w:val="clear" w:color="auto" w:fill="5E8CC0"/>
            <w:tcMar>
              <w:top w:w="15" w:type="dxa"/>
              <w:left w:w="108" w:type="dxa"/>
              <w:bottom w:w="0" w:type="dxa"/>
              <w:right w:w="108" w:type="dxa"/>
            </w:tcMar>
            <w:vAlign w:val="center"/>
            <w:hideMark/>
          </w:tcPr>
          <w:p w14:paraId="1C8B29A1" w14:textId="77777777" w:rsidR="00953894" w:rsidRDefault="00953894">
            <w:pPr>
              <w:spacing w:line="256" w:lineRule="auto"/>
              <w:jc w:val="center"/>
              <w:rPr>
                <w:rFonts w:ascii="Calibri" w:eastAsia="Times New Roman" w:hAnsi="Calibri" w:cs="Calibri"/>
                <w:szCs w:val="24"/>
                <w:lang w:eastAsia="en-GB"/>
              </w:rPr>
            </w:pPr>
            <w:r>
              <w:rPr>
                <w:rFonts w:ascii="Calibri" w:eastAsia="Times New Roman" w:hAnsi="Calibri" w:cs="Calibri"/>
                <w:b/>
                <w:bCs/>
                <w:color w:val="000000" w:themeColor="text1"/>
                <w:kern w:val="24"/>
                <w:szCs w:val="24"/>
                <w:lang w:eastAsia="en-GB"/>
              </w:rPr>
              <w:t>Measure</w:t>
            </w:r>
          </w:p>
        </w:tc>
        <w:tc>
          <w:tcPr>
            <w:tcW w:w="1132" w:type="dxa"/>
            <w:tcBorders>
              <w:top w:val="single" w:sz="8" w:space="0" w:color="FFFFFF"/>
              <w:left w:val="single" w:sz="8" w:space="0" w:color="FFFFFF"/>
              <w:bottom w:val="single" w:sz="24" w:space="0" w:color="FFFFFF"/>
              <w:right w:val="single" w:sz="8" w:space="0" w:color="FFFFFF"/>
            </w:tcBorders>
            <w:shd w:val="clear" w:color="auto" w:fill="5E8CC0"/>
            <w:tcMar>
              <w:top w:w="15" w:type="dxa"/>
              <w:left w:w="108" w:type="dxa"/>
              <w:bottom w:w="0" w:type="dxa"/>
              <w:right w:w="108" w:type="dxa"/>
            </w:tcMar>
            <w:vAlign w:val="center"/>
            <w:hideMark/>
          </w:tcPr>
          <w:p w14:paraId="21C8BA8A" w14:textId="77777777" w:rsidR="00953894" w:rsidRDefault="00953894">
            <w:pPr>
              <w:spacing w:line="256" w:lineRule="auto"/>
              <w:jc w:val="center"/>
              <w:rPr>
                <w:rFonts w:ascii="Calibri" w:eastAsia="Times New Roman" w:hAnsi="Calibri" w:cs="Calibri"/>
                <w:szCs w:val="24"/>
                <w:lang w:eastAsia="en-GB"/>
              </w:rPr>
            </w:pPr>
            <w:r>
              <w:rPr>
                <w:rFonts w:ascii="Calibri" w:eastAsia="Times New Roman" w:hAnsi="Calibri" w:cs="Calibri"/>
                <w:b/>
                <w:bCs/>
                <w:color w:val="000000" w:themeColor="text1"/>
                <w:kern w:val="24"/>
                <w:szCs w:val="24"/>
                <w:lang w:eastAsia="en-GB"/>
              </w:rPr>
              <w:t>Budget</w:t>
            </w:r>
          </w:p>
        </w:tc>
        <w:tc>
          <w:tcPr>
            <w:tcW w:w="1189" w:type="dxa"/>
            <w:tcBorders>
              <w:top w:val="single" w:sz="8" w:space="0" w:color="FFFFFF"/>
              <w:left w:val="single" w:sz="8" w:space="0" w:color="FFFFFF"/>
              <w:bottom w:val="single" w:sz="24" w:space="0" w:color="FFFFFF"/>
              <w:right w:val="single" w:sz="8" w:space="0" w:color="FFFFFF"/>
            </w:tcBorders>
            <w:shd w:val="clear" w:color="auto" w:fill="5E8CC0"/>
            <w:tcMar>
              <w:top w:w="15" w:type="dxa"/>
              <w:left w:w="108" w:type="dxa"/>
              <w:bottom w:w="0" w:type="dxa"/>
              <w:right w:w="108" w:type="dxa"/>
            </w:tcMar>
            <w:vAlign w:val="center"/>
            <w:hideMark/>
          </w:tcPr>
          <w:p w14:paraId="2CA90AB0" w14:textId="77777777" w:rsidR="00953894" w:rsidRDefault="00953894">
            <w:pPr>
              <w:spacing w:line="256" w:lineRule="auto"/>
              <w:jc w:val="center"/>
              <w:rPr>
                <w:rFonts w:ascii="Calibri" w:eastAsia="Times New Roman" w:hAnsi="Calibri" w:cs="Calibri"/>
                <w:szCs w:val="24"/>
                <w:lang w:eastAsia="en-GB"/>
              </w:rPr>
            </w:pPr>
            <w:r>
              <w:rPr>
                <w:rFonts w:ascii="Calibri" w:eastAsia="Times New Roman" w:hAnsi="Calibri" w:cs="Calibri"/>
                <w:b/>
                <w:bCs/>
                <w:color w:val="000000" w:themeColor="text1"/>
                <w:kern w:val="24"/>
                <w:szCs w:val="24"/>
                <w:lang w:eastAsia="en-GB"/>
              </w:rPr>
              <w:t>Forecast</w:t>
            </w:r>
          </w:p>
        </w:tc>
        <w:tc>
          <w:tcPr>
            <w:tcW w:w="1399" w:type="dxa"/>
            <w:tcBorders>
              <w:top w:val="single" w:sz="8" w:space="0" w:color="FFFFFF"/>
              <w:left w:val="single" w:sz="8" w:space="0" w:color="FFFFFF"/>
              <w:bottom w:val="single" w:sz="24" w:space="0" w:color="FFFFFF"/>
              <w:right w:val="single" w:sz="8" w:space="0" w:color="FFFFFF"/>
            </w:tcBorders>
            <w:shd w:val="clear" w:color="auto" w:fill="5E8CC0"/>
            <w:tcMar>
              <w:top w:w="15" w:type="dxa"/>
              <w:left w:w="108" w:type="dxa"/>
              <w:bottom w:w="0" w:type="dxa"/>
              <w:right w:w="108" w:type="dxa"/>
            </w:tcMar>
            <w:vAlign w:val="center"/>
            <w:hideMark/>
          </w:tcPr>
          <w:p w14:paraId="6C0BD182" w14:textId="77777777" w:rsidR="00953894" w:rsidRDefault="00953894">
            <w:pPr>
              <w:spacing w:line="256" w:lineRule="auto"/>
              <w:jc w:val="center"/>
              <w:rPr>
                <w:rFonts w:ascii="Calibri" w:eastAsia="Times New Roman" w:hAnsi="Calibri" w:cs="Calibri"/>
                <w:szCs w:val="24"/>
                <w:lang w:eastAsia="en-GB"/>
              </w:rPr>
            </w:pPr>
            <w:r>
              <w:rPr>
                <w:rFonts w:ascii="Calibri" w:eastAsia="Times New Roman" w:hAnsi="Calibri" w:cs="Calibri"/>
                <w:b/>
                <w:bCs/>
                <w:color w:val="000000" w:themeColor="text1"/>
                <w:kern w:val="24"/>
                <w:szCs w:val="24"/>
                <w:lang w:eastAsia="en-GB"/>
              </w:rPr>
              <w:t>Variance</w:t>
            </w:r>
          </w:p>
        </w:tc>
        <w:tc>
          <w:tcPr>
            <w:tcW w:w="1701" w:type="dxa"/>
            <w:tcBorders>
              <w:top w:val="single" w:sz="8" w:space="0" w:color="FFFFFF"/>
              <w:left w:val="single" w:sz="8" w:space="0" w:color="FFFFFF"/>
              <w:bottom w:val="single" w:sz="24" w:space="0" w:color="FFFFFF"/>
              <w:right w:val="single" w:sz="8" w:space="0" w:color="FFFFFF"/>
            </w:tcBorders>
            <w:shd w:val="clear" w:color="auto" w:fill="5E8CC0"/>
            <w:tcMar>
              <w:top w:w="15" w:type="dxa"/>
              <w:left w:w="108" w:type="dxa"/>
              <w:bottom w:w="0" w:type="dxa"/>
              <w:right w:w="108" w:type="dxa"/>
            </w:tcMar>
            <w:vAlign w:val="center"/>
            <w:hideMark/>
          </w:tcPr>
          <w:p w14:paraId="1C7164AF" w14:textId="77777777" w:rsidR="00953894" w:rsidRDefault="00953894">
            <w:pPr>
              <w:spacing w:line="256" w:lineRule="auto"/>
              <w:jc w:val="center"/>
              <w:rPr>
                <w:rFonts w:ascii="Calibri" w:eastAsia="Times New Roman" w:hAnsi="Calibri" w:cs="Calibri"/>
                <w:szCs w:val="24"/>
                <w:lang w:eastAsia="en-GB"/>
              </w:rPr>
            </w:pPr>
            <w:r>
              <w:rPr>
                <w:rFonts w:ascii="Calibri" w:eastAsia="Times New Roman" w:hAnsi="Calibri" w:cs="Calibri"/>
                <w:b/>
                <w:bCs/>
                <w:color w:val="000000" w:themeColor="text1"/>
                <w:kern w:val="24"/>
                <w:szCs w:val="24"/>
                <w:lang w:eastAsia="en-GB"/>
              </w:rPr>
              <w:t>Rating</w:t>
            </w:r>
          </w:p>
        </w:tc>
      </w:tr>
      <w:tr w:rsidR="00953894" w14:paraId="6FB4E070" w14:textId="77777777" w:rsidTr="00733EC2">
        <w:trPr>
          <w:trHeight w:val="584"/>
        </w:trPr>
        <w:tc>
          <w:tcPr>
            <w:tcW w:w="2080" w:type="dxa"/>
            <w:tcBorders>
              <w:top w:val="single" w:sz="24" w:space="0" w:color="FFFFFF"/>
              <w:left w:val="single" w:sz="8" w:space="0" w:color="FFFFFF"/>
              <w:bottom w:val="single" w:sz="8" w:space="0" w:color="FFFFFF"/>
              <w:right w:val="single" w:sz="8" w:space="0" w:color="FFFFFF"/>
            </w:tcBorders>
            <w:shd w:val="clear" w:color="auto" w:fill="B8CCE4" w:themeFill="accent1" w:themeFillTint="66"/>
            <w:tcMar>
              <w:top w:w="15" w:type="dxa"/>
              <w:left w:w="108" w:type="dxa"/>
              <w:bottom w:w="0" w:type="dxa"/>
              <w:right w:w="108" w:type="dxa"/>
            </w:tcMar>
            <w:vAlign w:val="center"/>
            <w:hideMark/>
          </w:tcPr>
          <w:p w14:paraId="6B4CF294" w14:textId="77777777" w:rsidR="00953894" w:rsidRDefault="00953894">
            <w:pPr>
              <w:spacing w:line="256" w:lineRule="auto"/>
              <w:jc w:val="center"/>
              <w:rPr>
                <w:rFonts w:ascii="Calibri" w:eastAsia="Times New Roman" w:hAnsi="Calibri" w:cs="Calibri"/>
                <w:szCs w:val="24"/>
                <w:lang w:eastAsia="en-GB"/>
              </w:rPr>
            </w:pPr>
            <w:r>
              <w:rPr>
                <w:rFonts w:ascii="Calibri" w:eastAsia="Times New Roman" w:hAnsi="Calibri" w:cs="Calibri"/>
                <w:bCs/>
                <w:color w:val="000000" w:themeColor="dark1"/>
                <w:kern w:val="24"/>
                <w:szCs w:val="24"/>
                <w:lang w:eastAsia="en-GB"/>
              </w:rPr>
              <w:t>Resource Budget</w:t>
            </w:r>
          </w:p>
        </w:tc>
        <w:tc>
          <w:tcPr>
            <w:tcW w:w="2388" w:type="dxa"/>
            <w:tcBorders>
              <w:top w:val="single" w:sz="24" w:space="0" w:color="FFFFFF"/>
              <w:left w:val="single" w:sz="8" w:space="0" w:color="FFFFFF"/>
              <w:bottom w:val="single" w:sz="8" w:space="0" w:color="FFFFFF"/>
              <w:right w:val="single" w:sz="8" w:space="0" w:color="FFFFFF"/>
            </w:tcBorders>
            <w:shd w:val="clear" w:color="auto" w:fill="B8CCE4" w:themeFill="accent1" w:themeFillTint="66"/>
            <w:tcMar>
              <w:top w:w="15" w:type="dxa"/>
              <w:left w:w="108" w:type="dxa"/>
              <w:bottom w:w="0" w:type="dxa"/>
              <w:right w:w="108" w:type="dxa"/>
            </w:tcMar>
            <w:hideMark/>
          </w:tcPr>
          <w:p w14:paraId="0202F581" w14:textId="77777777" w:rsidR="00953894" w:rsidRDefault="00953894">
            <w:pPr>
              <w:spacing w:line="256" w:lineRule="auto"/>
              <w:jc w:val="center"/>
              <w:rPr>
                <w:rFonts w:ascii="Calibri" w:eastAsia="Times New Roman" w:hAnsi="Calibri" w:cs="Calibri"/>
                <w:szCs w:val="24"/>
                <w:lang w:eastAsia="en-GB"/>
              </w:rPr>
            </w:pPr>
            <w:r>
              <w:rPr>
                <w:rFonts w:ascii="Calibri" w:eastAsia="Times New Roman" w:hAnsi="Calibri" w:cs="Calibri"/>
                <w:color w:val="000000" w:themeColor="dark1"/>
                <w:kern w:val="24"/>
                <w:szCs w:val="24"/>
                <w:lang w:eastAsia="en-GB"/>
              </w:rPr>
              <w:t>Outturn within 1% of final budget</w:t>
            </w:r>
          </w:p>
        </w:tc>
        <w:tc>
          <w:tcPr>
            <w:tcW w:w="1132" w:type="dxa"/>
            <w:tcBorders>
              <w:top w:val="single" w:sz="24" w:space="0" w:color="FFFFFF"/>
              <w:left w:val="single" w:sz="8" w:space="0" w:color="FFFFFF"/>
              <w:bottom w:val="single" w:sz="8" w:space="0" w:color="FFFFFF"/>
              <w:right w:val="single" w:sz="8" w:space="0" w:color="FFFFFF"/>
            </w:tcBorders>
            <w:shd w:val="clear" w:color="auto" w:fill="B8CCE4" w:themeFill="accent1" w:themeFillTint="66"/>
            <w:tcMar>
              <w:top w:w="15" w:type="dxa"/>
              <w:left w:w="108" w:type="dxa"/>
              <w:bottom w:w="0" w:type="dxa"/>
              <w:right w:w="108" w:type="dxa"/>
            </w:tcMar>
            <w:vAlign w:val="center"/>
            <w:hideMark/>
          </w:tcPr>
          <w:p w14:paraId="46911255" w14:textId="77777777" w:rsidR="00953894" w:rsidRDefault="00953894">
            <w:pPr>
              <w:spacing w:line="256" w:lineRule="auto"/>
              <w:jc w:val="center"/>
              <w:rPr>
                <w:rFonts w:ascii="Calibri" w:eastAsia="Times New Roman" w:hAnsi="Calibri" w:cs="Calibri"/>
                <w:szCs w:val="24"/>
                <w:lang w:eastAsia="en-GB"/>
              </w:rPr>
            </w:pPr>
            <w:r>
              <w:rPr>
                <w:rFonts w:ascii="Calibri" w:eastAsia="Times New Roman" w:hAnsi="Calibri" w:cs="Calibri"/>
                <w:color w:val="000000" w:themeColor="dark1"/>
                <w:kern w:val="24"/>
                <w:szCs w:val="24"/>
                <w:lang w:eastAsia="en-GB"/>
              </w:rPr>
              <w:t>58.3</w:t>
            </w:r>
          </w:p>
        </w:tc>
        <w:tc>
          <w:tcPr>
            <w:tcW w:w="1189" w:type="dxa"/>
            <w:tcBorders>
              <w:top w:val="single" w:sz="24" w:space="0" w:color="FFFFFF"/>
              <w:left w:val="single" w:sz="8" w:space="0" w:color="FFFFFF"/>
              <w:bottom w:val="single" w:sz="8" w:space="0" w:color="FFFFFF"/>
              <w:right w:val="single" w:sz="8" w:space="0" w:color="FFFFFF"/>
            </w:tcBorders>
            <w:shd w:val="clear" w:color="auto" w:fill="B8CCE4" w:themeFill="accent1" w:themeFillTint="66"/>
            <w:tcMar>
              <w:top w:w="15" w:type="dxa"/>
              <w:left w:w="108" w:type="dxa"/>
              <w:bottom w:w="0" w:type="dxa"/>
              <w:right w:w="108" w:type="dxa"/>
            </w:tcMar>
            <w:vAlign w:val="center"/>
            <w:hideMark/>
          </w:tcPr>
          <w:p w14:paraId="467910C3" w14:textId="77777777" w:rsidR="00953894" w:rsidRDefault="00953894">
            <w:pPr>
              <w:spacing w:line="256" w:lineRule="auto"/>
              <w:jc w:val="center"/>
              <w:rPr>
                <w:rFonts w:ascii="Calibri" w:eastAsia="Times New Roman" w:hAnsi="Calibri" w:cs="Calibri"/>
                <w:szCs w:val="24"/>
                <w:lang w:eastAsia="en-GB"/>
              </w:rPr>
            </w:pPr>
            <w:r>
              <w:rPr>
                <w:rFonts w:ascii="Calibri" w:eastAsia="Times New Roman" w:hAnsi="Calibri" w:cs="Calibri"/>
                <w:color w:val="000000" w:themeColor="dark1"/>
                <w:kern w:val="24"/>
                <w:szCs w:val="24"/>
                <w:lang w:eastAsia="en-GB"/>
              </w:rPr>
              <w:t>56.6</w:t>
            </w:r>
          </w:p>
        </w:tc>
        <w:tc>
          <w:tcPr>
            <w:tcW w:w="1399" w:type="dxa"/>
            <w:tcBorders>
              <w:top w:val="single" w:sz="24" w:space="0" w:color="FFFFFF"/>
              <w:left w:val="single" w:sz="8" w:space="0" w:color="FFFFFF"/>
              <w:bottom w:val="single" w:sz="8" w:space="0" w:color="FFFFFF"/>
              <w:right w:val="single" w:sz="8" w:space="0" w:color="FFFFFF"/>
            </w:tcBorders>
            <w:shd w:val="clear" w:color="auto" w:fill="B8CCE4" w:themeFill="accent1" w:themeFillTint="66"/>
            <w:tcMar>
              <w:top w:w="15" w:type="dxa"/>
              <w:left w:w="108" w:type="dxa"/>
              <w:bottom w:w="0" w:type="dxa"/>
              <w:right w:w="108" w:type="dxa"/>
            </w:tcMar>
            <w:vAlign w:val="center"/>
            <w:hideMark/>
          </w:tcPr>
          <w:p w14:paraId="2D84D711" w14:textId="77777777" w:rsidR="00953894" w:rsidRDefault="00953894">
            <w:pPr>
              <w:spacing w:line="256" w:lineRule="auto"/>
              <w:jc w:val="center"/>
              <w:rPr>
                <w:rFonts w:ascii="Calibri" w:eastAsia="Times New Roman" w:hAnsi="Calibri" w:cs="Calibri"/>
                <w:szCs w:val="24"/>
                <w:lang w:eastAsia="en-GB"/>
              </w:rPr>
            </w:pPr>
            <w:r>
              <w:rPr>
                <w:rFonts w:ascii="Calibri" w:eastAsia="Times New Roman" w:hAnsi="Calibri" w:cs="Calibri"/>
                <w:kern w:val="24"/>
                <w:szCs w:val="24"/>
                <w:lang w:eastAsia="en-GB"/>
              </w:rPr>
              <w:t>1.7</w:t>
            </w:r>
          </w:p>
        </w:tc>
        <w:tc>
          <w:tcPr>
            <w:tcW w:w="1701" w:type="dxa"/>
            <w:tcBorders>
              <w:top w:val="single" w:sz="24" w:space="0" w:color="FFFFFF"/>
              <w:left w:val="single" w:sz="8" w:space="0" w:color="FFFFFF"/>
              <w:bottom w:val="single" w:sz="8" w:space="0" w:color="FFFFFF"/>
              <w:right w:val="single" w:sz="8" w:space="0" w:color="FFFFFF"/>
            </w:tcBorders>
            <w:shd w:val="clear" w:color="auto" w:fill="B8CCE4" w:themeFill="accent1" w:themeFillTint="66"/>
            <w:tcMar>
              <w:top w:w="15" w:type="dxa"/>
              <w:left w:w="108" w:type="dxa"/>
              <w:bottom w:w="0" w:type="dxa"/>
              <w:right w:w="108" w:type="dxa"/>
            </w:tcMar>
            <w:vAlign w:val="center"/>
            <w:hideMark/>
          </w:tcPr>
          <w:p w14:paraId="5C3B72ED" w14:textId="77777777" w:rsidR="00953894" w:rsidRDefault="00953894">
            <w:pPr>
              <w:spacing w:line="256" w:lineRule="auto"/>
              <w:jc w:val="center"/>
              <w:rPr>
                <w:rFonts w:ascii="Calibri" w:eastAsia="Times New Roman" w:hAnsi="Calibri" w:cs="Calibri"/>
                <w:szCs w:val="24"/>
                <w:lang w:eastAsia="en-GB"/>
              </w:rPr>
            </w:pPr>
            <w:r>
              <w:rPr>
                <w:rFonts w:ascii="Calibri" w:eastAsia="Times New Roman" w:hAnsi="Calibri" w:cs="Calibri"/>
                <w:b/>
                <w:bCs/>
                <w:color w:val="F79646" w:themeColor="accent6"/>
                <w:kern w:val="24"/>
                <w:szCs w:val="24"/>
                <w:lang w:eastAsia="en-GB"/>
              </w:rPr>
              <w:t>MINOR SLIPPAGE</w:t>
            </w:r>
          </w:p>
        </w:tc>
      </w:tr>
      <w:tr w:rsidR="00953894" w14:paraId="62592105" w14:textId="77777777" w:rsidTr="00733EC2">
        <w:trPr>
          <w:trHeight w:val="584"/>
        </w:trPr>
        <w:tc>
          <w:tcPr>
            <w:tcW w:w="2080"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top w:w="15" w:type="dxa"/>
              <w:left w:w="108" w:type="dxa"/>
              <w:bottom w:w="0" w:type="dxa"/>
              <w:right w:w="108" w:type="dxa"/>
            </w:tcMar>
            <w:vAlign w:val="center"/>
            <w:hideMark/>
          </w:tcPr>
          <w:p w14:paraId="09130993" w14:textId="77777777" w:rsidR="00953894" w:rsidRDefault="00953894">
            <w:pPr>
              <w:spacing w:line="256" w:lineRule="auto"/>
              <w:jc w:val="center"/>
              <w:rPr>
                <w:rFonts w:ascii="Calibri" w:eastAsia="Times New Roman" w:hAnsi="Calibri" w:cs="Calibri"/>
                <w:szCs w:val="24"/>
                <w:lang w:eastAsia="en-GB"/>
              </w:rPr>
            </w:pPr>
            <w:r>
              <w:rPr>
                <w:rFonts w:ascii="Calibri" w:eastAsiaTheme="minorEastAsia" w:hAnsi="Calibri" w:cs="Calibri"/>
                <w:bCs/>
                <w:color w:val="000000" w:themeColor="dark1"/>
                <w:kern w:val="24"/>
                <w:szCs w:val="24"/>
                <w:lang w:eastAsia="en-GB"/>
              </w:rPr>
              <w:t>Capital</w:t>
            </w:r>
          </w:p>
        </w:tc>
        <w:tc>
          <w:tcPr>
            <w:tcW w:w="2388"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top w:w="15" w:type="dxa"/>
              <w:left w:w="108" w:type="dxa"/>
              <w:bottom w:w="0" w:type="dxa"/>
              <w:right w:w="108" w:type="dxa"/>
            </w:tcMar>
            <w:hideMark/>
          </w:tcPr>
          <w:p w14:paraId="3A62FAA2" w14:textId="77777777" w:rsidR="00953894" w:rsidRDefault="00953894">
            <w:pPr>
              <w:spacing w:line="256" w:lineRule="auto"/>
              <w:jc w:val="center"/>
              <w:rPr>
                <w:rFonts w:ascii="Calibri" w:eastAsia="Times New Roman" w:hAnsi="Calibri" w:cs="Calibri"/>
                <w:szCs w:val="24"/>
                <w:lang w:eastAsia="en-GB"/>
              </w:rPr>
            </w:pPr>
            <w:r>
              <w:rPr>
                <w:rFonts w:ascii="Calibri" w:eastAsia="Times New Roman" w:hAnsi="Calibri" w:cs="Calibri"/>
                <w:color w:val="000000" w:themeColor="dark1"/>
                <w:kern w:val="24"/>
                <w:szCs w:val="24"/>
                <w:lang w:eastAsia="en-GB"/>
              </w:rPr>
              <w:t>Outturn within 5% of final budget</w:t>
            </w:r>
          </w:p>
        </w:tc>
        <w:tc>
          <w:tcPr>
            <w:tcW w:w="1132"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top w:w="15" w:type="dxa"/>
              <w:left w:w="108" w:type="dxa"/>
              <w:bottom w:w="0" w:type="dxa"/>
              <w:right w:w="108" w:type="dxa"/>
            </w:tcMar>
            <w:vAlign w:val="center"/>
            <w:hideMark/>
          </w:tcPr>
          <w:p w14:paraId="0235F578" w14:textId="77777777" w:rsidR="00953894" w:rsidRDefault="00953894">
            <w:pPr>
              <w:spacing w:line="256" w:lineRule="auto"/>
              <w:jc w:val="center"/>
              <w:rPr>
                <w:rFonts w:ascii="Calibri" w:eastAsia="Times New Roman" w:hAnsi="Calibri" w:cs="Calibri"/>
                <w:szCs w:val="24"/>
                <w:lang w:eastAsia="en-GB"/>
              </w:rPr>
            </w:pPr>
            <w:r>
              <w:rPr>
                <w:rFonts w:ascii="Calibri" w:eastAsia="Times New Roman" w:hAnsi="Calibri" w:cs="Calibri"/>
                <w:color w:val="000000" w:themeColor="dark1"/>
                <w:kern w:val="24"/>
                <w:szCs w:val="24"/>
                <w:lang w:eastAsia="en-GB"/>
              </w:rPr>
              <w:t>2.3</w:t>
            </w:r>
          </w:p>
        </w:tc>
        <w:tc>
          <w:tcPr>
            <w:tcW w:w="1189"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top w:w="15" w:type="dxa"/>
              <w:left w:w="108" w:type="dxa"/>
              <w:bottom w:w="0" w:type="dxa"/>
              <w:right w:w="108" w:type="dxa"/>
            </w:tcMar>
            <w:vAlign w:val="center"/>
            <w:hideMark/>
          </w:tcPr>
          <w:p w14:paraId="6B169D2F" w14:textId="77777777" w:rsidR="00953894" w:rsidRDefault="00953894">
            <w:pPr>
              <w:spacing w:line="256" w:lineRule="auto"/>
              <w:jc w:val="center"/>
              <w:rPr>
                <w:rFonts w:ascii="Calibri" w:eastAsia="Times New Roman" w:hAnsi="Calibri" w:cs="Calibri"/>
                <w:szCs w:val="24"/>
                <w:lang w:eastAsia="en-GB"/>
              </w:rPr>
            </w:pPr>
            <w:r>
              <w:rPr>
                <w:rFonts w:ascii="Calibri" w:eastAsia="Times New Roman" w:hAnsi="Calibri" w:cs="Calibri"/>
                <w:color w:val="000000" w:themeColor="dark1"/>
                <w:kern w:val="24"/>
                <w:szCs w:val="24"/>
                <w:lang w:eastAsia="en-GB"/>
              </w:rPr>
              <w:t>2.0</w:t>
            </w:r>
          </w:p>
        </w:tc>
        <w:tc>
          <w:tcPr>
            <w:tcW w:w="1399"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top w:w="15" w:type="dxa"/>
              <w:left w:w="108" w:type="dxa"/>
              <w:bottom w:w="0" w:type="dxa"/>
              <w:right w:w="108" w:type="dxa"/>
            </w:tcMar>
            <w:vAlign w:val="center"/>
            <w:hideMark/>
          </w:tcPr>
          <w:p w14:paraId="5D9914CD" w14:textId="1775D711" w:rsidR="00953894" w:rsidRDefault="00EA7660">
            <w:pPr>
              <w:spacing w:line="256" w:lineRule="auto"/>
              <w:jc w:val="center"/>
              <w:rPr>
                <w:rFonts w:ascii="Calibri" w:eastAsia="Times New Roman" w:hAnsi="Calibri" w:cs="Calibri"/>
                <w:szCs w:val="24"/>
                <w:lang w:eastAsia="en-GB"/>
              </w:rPr>
            </w:pPr>
            <w:r>
              <w:rPr>
                <w:rFonts w:ascii="Calibri" w:eastAsia="Times New Roman" w:hAnsi="Calibri" w:cs="Calibri"/>
                <w:color w:val="000000" w:themeColor="dark1"/>
                <w:kern w:val="24"/>
                <w:szCs w:val="24"/>
                <w:lang w:eastAsia="en-GB"/>
              </w:rPr>
              <w:t>0.2</w:t>
            </w:r>
          </w:p>
        </w:tc>
        <w:tc>
          <w:tcPr>
            <w:tcW w:w="1701"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top w:w="15" w:type="dxa"/>
              <w:left w:w="108" w:type="dxa"/>
              <w:bottom w:w="0" w:type="dxa"/>
              <w:right w:w="108" w:type="dxa"/>
            </w:tcMar>
            <w:vAlign w:val="center"/>
            <w:hideMark/>
          </w:tcPr>
          <w:p w14:paraId="54BFEFA3" w14:textId="77777777" w:rsidR="00953894" w:rsidRDefault="00953894">
            <w:pPr>
              <w:spacing w:line="256" w:lineRule="auto"/>
              <w:jc w:val="center"/>
              <w:rPr>
                <w:rFonts w:ascii="Calibri" w:eastAsia="Times New Roman" w:hAnsi="Calibri" w:cs="Calibri"/>
                <w:szCs w:val="24"/>
                <w:lang w:eastAsia="en-GB"/>
              </w:rPr>
            </w:pPr>
            <w:r>
              <w:rPr>
                <w:rFonts w:ascii="Calibri" w:eastAsia="Times New Roman" w:hAnsi="Calibri" w:cs="Calibri"/>
                <w:b/>
                <w:bCs/>
                <w:color w:val="FF0000"/>
                <w:kern w:val="24"/>
                <w:szCs w:val="24"/>
                <w:lang w:eastAsia="en-GB"/>
              </w:rPr>
              <w:t>MAJOR SLIPPAGE</w:t>
            </w:r>
          </w:p>
        </w:tc>
      </w:tr>
      <w:tr w:rsidR="00953894" w14:paraId="73FB7466" w14:textId="77777777" w:rsidTr="00733EC2">
        <w:trPr>
          <w:trHeight w:val="72"/>
        </w:trPr>
        <w:tc>
          <w:tcPr>
            <w:tcW w:w="2080"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Mar>
              <w:top w:w="15" w:type="dxa"/>
              <w:left w:w="108" w:type="dxa"/>
              <w:bottom w:w="0" w:type="dxa"/>
              <w:right w:w="108" w:type="dxa"/>
            </w:tcMar>
            <w:vAlign w:val="center"/>
            <w:hideMark/>
          </w:tcPr>
          <w:p w14:paraId="1054B0BC" w14:textId="77777777" w:rsidR="00953894" w:rsidRDefault="00953894">
            <w:pPr>
              <w:spacing w:line="256" w:lineRule="auto"/>
              <w:jc w:val="center"/>
              <w:rPr>
                <w:rFonts w:ascii="Calibri" w:eastAsiaTheme="minorEastAsia" w:hAnsi="Calibri" w:cs="Calibri"/>
                <w:bCs/>
                <w:color w:val="000000" w:themeColor="dark1"/>
                <w:kern w:val="24"/>
                <w:szCs w:val="24"/>
                <w:lang w:eastAsia="en-GB"/>
              </w:rPr>
            </w:pPr>
            <w:r>
              <w:rPr>
                <w:rFonts w:ascii="Calibri" w:eastAsiaTheme="minorEastAsia" w:hAnsi="Calibri" w:cs="Calibri"/>
                <w:bCs/>
                <w:color w:val="000000" w:themeColor="dark1"/>
                <w:kern w:val="24"/>
                <w:szCs w:val="24"/>
                <w:lang w:eastAsia="en-GB"/>
              </w:rPr>
              <w:t>Indirect Capital</w:t>
            </w:r>
          </w:p>
        </w:tc>
        <w:tc>
          <w:tcPr>
            <w:tcW w:w="2388"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Mar>
              <w:top w:w="15" w:type="dxa"/>
              <w:left w:w="108" w:type="dxa"/>
              <w:bottom w:w="0" w:type="dxa"/>
              <w:right w:w="108" w:type="dxa"/>
            </w:tcMar>
            <w:hideMark/>
          </w:tcPr>
          <w:p w14:paraId="1C0CCFB3" w14:textId="77777777" w:rsidR="00953894" w:rsidRDefault="00953894">
            <w:pPr>
              <w:spacing w:line="256" w:lineRule="auto"/>
              <w:jc w:val="center"/>
              <w:rPr>
                <w:rFonts w:ascii="Calibri" w:eastAsia="Times New Roman" w:hAnsi="Calibri" w:cs="Calibri"/>
                <w:szCs w:val="24"/>
                <w:lang w:eastAsia="en-GB"/>
              </w:rPr>
            </w:pPr>
            <w:r>
              <w:rPr>
                <w:rFonts w:ascii="Calibri" w:eastAsia="Times New Roman" w:hAnsi="Calibri" w:cs="Calibri"/>
                <w:color w:val="000000" w:themeColor="dark1"/>
                <w:kern w:val="24"/>
                <w:szCs w:val="24"/>
                <w:lang w:eastAsia="en-GB"/>
              </w:rPr>
              <w:t>Outturn within 5% of final budget</w:t>
            </w:r>
          </w:p>
        </w:tc>
        <w:tc>
          <w:tcPr>
            <w:tcW w:w="1132"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Mar>
              <w:top w:w="15" w:type="dxa"/>
              <w:left w:w="108" w:type="dxa"/>
              <w:bottom w:w="0" w:type="dxa"/>
              <w:right w:w="108" w:type="dxa"/>
            </w:tcMar>
            <w:vAlign w:val="center"/>
            <w:hideMark/>
          </w:tcPr>
          <w:p w14:paraId="3288D0BB" w14:textId="77777777" w:rsidR="00953894" w:rsidRDefault="00953894">
            <w:pPr>
              <w:spacing w:line="256" w:lineRule="auto"/>
              <w:jc w:val="center"/>
              <w:rPr>
                <w:rFonts w:ascii="Calibri" w:eastAsia="Times New Roman" w:hAnsi="Calibri" w:cs="Calibri"/>
                <w:color w:val="000000" w:themeColor="dark1"/>
                <w:kern w:val="24"/>
                <w:szCs w:val="24"/>
                <w:lang w:eastAsia="en-GB"/>
              </w:rPr>
            </w:pPr>
            <w:r>
              <w:rPr>
                <w:rFonts w:ascii="Calibri" w:eastAsia="Times New Roman" w:hAnsi="Calibri" w:cs="Calibri"/>
                <w:color w:val="000000" w:themeColor="dark1"/>
                <w:kern w:val="24"/>
                <w:szCs w:val="24"/>
                <w:lang w:eastAsia="en-GB"/>
              </w:rPr>
              <w:t>11.6</w:t>
            </w:r>
          </w:p>
        </w:tc>
        <w:tc>
          <w:tcPr>
            <w:tcW w:w="1189"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Mar>
              <w:top w:w="15" w:type="dxa"/>
              <w:left w:w="108" w:type="dxa"/>
              <w:bottom w:w="0" w:type="dxa"/>
              <w:right w:w="108" w:type="dxa"/>
            </w:tcMar>
            <w:vAlign w:val="center"/>
            <w:hideMark/>
          </w:tcPr>
          <w:p w14:paraId="45BC7372" w14:textId="4BF558CE" w:rsidR="00953894" w:rsidRDefault="00EA7660">
            <w:pPr>
              <w:spacing w:line="256" w:lineRule="auto"/>
              <w:jc w:val="center"/>
              <w:rPr>
                <w:rFonts w:ascii="Calibri" w:eastAsia="Times New Roman" w:hAnsi="Calibri" w:cs="Calibri"/>
                <w:color w:val="000000" w:themeColor="dark1"/>
                <w:kern w:val="24"/>
                <w:szCs w:val="24"/>
                <w:lang w:eastAsia="en-GB"/>
              </w:rPr>
            </w:pPr>
            <w:r>
              <w:rPr>
                <w:rFonts w:ascii="Calibri" w:eastAsia="Times New Roman" w:hAnsi="Calibri" w:cs="Calibri"/>
                <w:color w:val="000000" w:themeColor="dark1"/>
                <w:kern w:val="24"/>
                <w:szCs w:val="24"/>
                <w:lang w:eastAsia="en-GB"/>
              </w:rPr>
              <w:t>11.8</w:t>
            </w:r>
          </w:p>
        </w:tc>
        <w:tc>
          <w:tcPr>
            <w:tcW w:w="1399"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Mar>
              <w:top w:w="15" w:type="dxa"/>
              <w:left w:w="108" w:type="dxa"/>
              <w:bottom w:w="0" w:type="dxa"/>
              <w:right w:w="108" w:type="dxa"/>
            </w:tcMar>
            <w:vAlign w:val="center"/>
            <w:hideMark/>
          </w:tcPr>
          <w:p w14:paraId="69A5AA43" w14:textId="78C84BB6" w:rsidR="00953894" w:rsidRDefault="00EA7660">
            <w:pPr>
              <w:spacing w:line="256" w:lineRule="auto"/>
              <w:jc w:val="center"/>
              <w:rPr>
                <w:rFonts w:ascii="Calibri" w:eastAsia="Times New Roman" w:hAnsi="Calibri" w:cs="Calibri"/>
                <w:color w:val="000000" w:themeColor="dark1"/>
                <w:kern w:val="24"/>
                <w:szCs w:val="24"/>
                <w:lang w:eastAsia="en-GB"/>
              </w:rPr>
            </w:pPr>
            <w:r>
              <w:rPr>
                <w:rFonts w:ascii="Calibri" w:eastAsia="Times New Roman" w:hAnsi="Calibri" w:cs="Calibri"/>
                <w:color w:val="FF0000"/>
                <w:kern w:val="24"/>
                <w:szCs w:val="24"/>
                <w:lang w:eastAsia="en-GB"/>
              </w:rPr>
              <w:t>(0.2</w:t>
            </w:r>
            <w:r w:rsidR="00953894">
              <w:rPr>
                <w:rFonts w:ascii="Calibri" w:eastAsia="Times New Roman" w:hAnsi="Calibri" w:cs="Calibri"/>
                <w:color w:val="FF0000"/>
                <w:kern w:val="24"/>
                <w:szCs w:val="24"/>
                <w:lang w:eastAsia="en-GB"/>
              </w:rPr>
              <w:t>)</w:t>
            </w:r>
          </w:p>
        </w:tc>
        <w:tc>
          <w:tcPr>
            <w:tcW w:w="1701"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Mar>
              <w:top w:w="15" w:type="dxa"/>
              <w:left w:w="108" w:type="dxa"/>
              <w:bottom w:w="0" w:type="dxa"/>
              <w:right w:w="108" w:type="dxa"/>
            </w:tcMar>
            <w:vAlign w:val="center"/>
            <w:hideMark/>
          </w:tcPr>
          <w:p w14:paraId="1381C1FB" w14:textId="77777777" w:rsidR="00953894" w:rsidRDefault="00953894">
            <w:pPr>
              <w:spacing w:line="256" w:lineRule="auto"/>
              <w:jc w:val="center"/>
              <w:rPr>
                <w:rFonts w:ascii="Calibri" w:eastAsia="Times New Roman" w:hAnsi="Calibri" w:cs="Calibri"/>
                <w:b/>
                <w:bCs/>
                <w:color w:val="00B050"/>
                <w:kern w:val="24"/>
                <w:szCs w:val="24"/>
                <w:lang w:eastAsia="en-GB"/>
              </w:rPr>
            </w:pPr>
            <w:r>
              <w:rPr>
                <w:rFonts w:ascii="Calibri" w:eastAsia="Times New Roman" w:hAnsi="Calibri" w:cs="Calibri"/>
                <w:b/>
                <w:bCs/>
                <w:color w:val="00B050"/>
                <w:kern w:val="24"/>
                <w:szCs w:val="24"/>
                <w:lang w:eastAsia="en-GB"/>
              </w:rPr>
              <w:t>ON TRACK</w:t>
            </w:r>
          </w:p>
        </w:tc>
      </w:tr>
      <w:tr w:rsidR="00953894" w14:paraId="2BB0883E" w14:textId="77777777" w:rsidTr="00733EC2">
        <w:trPr>
          <w:trHeight w:val="584"/>
        </w:trPr>
        <w:tc>
          <w:tcPr>
            <w:tcW w:w="2080"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top w:w="15" w:type="dxa"/>
              <w:left w:w="108" w:type="dxa"/>
              <w:bottom w:w="0" w:type="dxa"/>
              <w:right w:w="108" w:type="dxa"/>
            </w:tcMar>
            <w:vAlign w:val="center"/>
            <w:hideMark/>
          </w:tcPr>
          <w:p w14:paraId="10AD726E" w14:textId="77777777" w:rsidR="00953894" w:rsidRDefault="00953894">
            <w:pPr>
              <w:spacing w:line="256" w:lineRule="auto"/>
              <w:jc w:val="center"/>
              <w:rPr>
                <w:rFonts w:ascii="Calibri" w:eastAsia="Times New Roman" w:hAnsi="Calibri" w:cs="Calibri"/>
                <w:szCs w:val="24"/>
                <w:lang w:eastAsia="en-GB"/>
              </w:rPr>
            </w:pPr>
            <w:r>
              <w:rPr>
                <w:rFonts w:ascii="Calibri" w:eastAsia="Times New Roman" w:hAnsi="Calibri" w:cs="Calibri"/>
                <w:bCs/>
                <w:color w:val="000000" w:themeColor="dark1"/>
                <w:kern w:val="24"/>
                <w:szCs w:val="24"/>
                <w:lang w:eastAsia="en-GB"/>
              </w:rPr>
              <w:t>Paybill</w:t>
            </w:r>
          </w:p>
        </w:tc>
        <w:tc>
          <w:tcPr>
            <w:tcW w:w="2388"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top w:w="15" w:type="dxa"/>
              <w:left w:w="108" w:type="dxa"/>
              <w:bottom w:w="0" w:type="dxa"/>
              <w:right w:w="108" w:type="dxa"/>
            </w:tcMar>
            <w:hideMark/>
          </w:tcPr>
          <w:p w14:paraId="690BA5B9" w14:textId="77777777" w:rsidR="00953894" w:rsidRDefault="00953894">
            <w:pPr>
              <w:spacing w:line="256" w:lineRule="auto"/>
              <w:jc w:val="center"/>
              <w:rPr>
                <w:rFonts w:ascii="Calibri" w:eastAsia="Times New Roman" w:hAnsi="Calibri" w:cs="Calibri"/>
                <w:szCs w:val="24"/>
                <w:lang w:eastAsia="en-GB"/>
              </w:rPr>
            </w:pPr>
            <w:r>
              <w:rPr>
                <w:rFonts w:ascii="Calibri" w:eastAsia="Times New Roman" w:hAnsi="Calibri" w:cs="Calibri"/>
                <w:color w:val="000000" w:themeColor="dark1"/>
                <w:kern w:val="24"/>
                <w:szCs w:val="24"/>
                <w:lang w:eastAsia="en-GB"/>
              </w:rPr>
              <w:t>Outturn within 1% of final budget</w:t>
            </w:r>
          </w:p>
        </w:tc>
        <w:tc>
          <w:tcPr>
            <w:tcW w:w="1132"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top w:w="15" w:type="dxa"/>
              <w:left w:w="108" w:type="dxa"/>
              <w:bottom w:w="0" w:type="dxa"/>
              <w:right w:w="108" w:type="dxa"/>
            </w:tcMar>
            <w:vAlign w:val="center"/>
            <w:hideMark/>
          </w:tcPr>
          <w:p w14:paraId="7EE19A25" w14:textId="77777777" w:rsidR="00953894" w:rsidRDefault="00953894">
            <w:pPr>
              <w:spacing w:line="256" w:lineRule="auto"/>
              <w:jc w:val="center"/>
              <w:rPr>
                <w:rFonts w:ascii="Calibri" w:eastAsia="Times New Roman" w:hAnsi="Calibri" w:cs="Calibri"/>
                <w:szCs w:val="24"/>
                <w:lang w:eastAsia="en-GB"/>
              </w:rPr>
            </w:pPr>
            <w:r>
              <w:rPr>
                <w:rFonts w:ascii="Calibri" w:eastAsia="Times New Roman" w:hAnsi="Calibri" w:cs="Calibri"/>
                <w:color w:val="000000" w:themeColor="dark1"/>
                <w:kern w:val="24"/>
                <w:szCs w:val="24"/>
                <w:lang w:eastAsia="en-GB"/>
              </w:rPr>
              <w:t>34.6</w:t>
            </w:r>
          </w:p>
        </w:tc>
        <w:tc>
          <w:tcPr>
            <w:tcW w:w="1189"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top w:w="15" w:type="dxa"/>
              <w:left w:w="108" w:type="dxa"/>
              <w:bottom w:w="0" w:type="dxa"/>
              <w:right w:w="108" w:type="dxa"/>
            </w:tcMar>
            <w:vAlign w:val="center"/>
            <w:hideMark/>
          </w:tcPr>
          <w:p w14:paraId="2FE38BE2" w14:textId="77777777" w:rsidR="00953894" w:rsidRDefault="00953894">
            <w:pPr>
              <w:spacing w:line="256" w:lineRule="auto"/>
              <w:jc w:val="center"/>
              <w:rPr>
                <w:rFonts w:ascii="Calibri" w:eastAsia="Times New Roman" w:hAnsi="Calibri" w:cs="Calibri"/>
                <w:szCs w:val="24"/>
                <w:lang w:eastAsia="en-GB"/>
              </w:rPr>
            </w:pPr>
            <w:r>
              <w:rPr>
                <w:rFonts w:ascii="Calibri" w:eastAsia="Times New Roman" w:hAnsi="Calibri" w:cs="Calibri"/>
                <w:color w:val="000000" w:themeColor="dark1"/>
                <w:kern w:val="24"/>
                <w:szCs w:val="24"/>
                <w:lang w:eastAsia="en-GB"/>
              </w:rPr>
              <w:t>34.5</w:t>
            </w:r>
          </w:p>
        </w:tc>
        <w:tc>
          <w:tcPr>
            <w:tcW w:w="1399"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top w:w="15" w:type="dxa"/>
              <w:left w:w="108" w:type="dxa"/>
              <w:bottom w:w="0" w:type="dxa"/>
              <w:right w:w="108" w:type="dxa"/>
            </w:tcMar>
            <w:vAlign w:val="center"/>
            <w:hideMark/>
          </w:tcPr>
          <w:p w14:paraId="477A1C1E" w14:textId="77777777" w:rsidR="00953894" w:rsidRDefault="00953894">
            <w:pPr>
              <w:spacing w:line="256" w:lineRule="auto"/>
              <w:jc w:val="center"/>
              <w:rPr>
                <w:rFonts w:ascii="Calibri" w:eastAsia="Times New Roman" w:hAnsi="Calibri" w:cs="Calibri"/>
                <w:szCs w:val="24"/>
                <w:lang w:eastAsia="en-GB"/>
              </w:rPr>
            </w:pPr>
            <w:r>
              <w:rPr>
                <w:rFonts w:ascii="Calibri" w:eastAsia="Times New Roman" w:hAnsi="Calibri" w:cs="Calibri"/>
                <w:color w:val="000000" w:themeColor="dark1"/>
                <w:kern w:val="24"/>
                <w:szCs w:val="24"/>
                <w:lang w:eastAsia="en-GB"/>
              </w:rPr>
              <w:t>0.1</w:t>
            </w:r>
          </w:p>
        </w:tc>
        <w:tc>
          <w:tcPr>
            <w:tcW w:w="1701"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top w:w="15" w:type="dxa"/>
              <w:left w:w="108" w:type="dxa"/>
              <w:bottom w:w="0" w:type="dxa"/>
              <w:right w:w="108" w:type="dxa"/>
            </w:tcMar>
            <w:vAlign w:val="center"/>
            <w:hideMark/>
          </w:tcPr>
          <w:p w14:paraId="32957B86" w14:textId="77777777" w:rsidR="00953894" w:rsidRDefault="00953894">
            <w:pPr>
              <w:spacing w:line="256" w:lineRule="auto"/>
              <w:jc w:val="center"/>
              <w:rPr>
                <w:rFonts w:ascii="Calibri" w:eastAsia="Times New Roman" w:hAnsi="Calibri" w:cs="Calibri"/>
                <w:color w:val="F79646" w:themeColor="accent6"/>
                <w:szCs w:val="24"/>
                <w:lang w:eastAsia="en-GB"/>
              </w:rPr>
            </w:pPr>
            <w:r>
              <w:rPr>
                <w:rFonts w:ascii="Calibri" w:eastAsia="Times New Roman" w:hAnsi="Calibri" w:cs="Calibri"/>
                <w:b/>
                <w:bCs/>
                <w:color w:val="00B050"/>
                <w:kern w:val="24"/>
                <w:szCs w:val="24"/>
                <w:lang w:eastAsia="en-GB"/>
              </w:rPr>
              <w:t>ON TRACK</w:t>
            </w:r>
          </w:p>
        </w:tc>
      </w:tr>
      <w:tr w:rsidR="00953894" w14:paraId="3A2B0DE6" w14:textId="77777777" w:rsidTr="00733EC2">
        <w:trPr>
          <w:trHeight w:val="584"/>
        </w:trPr>
        <w:tc>
          <w:tcPr>
            <w:tcW w:w="2080"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Mar>
              <w:top w:w="15" w:type="dxa"/>
              <w:left w:w="108" w:type="dxa"/>
              <w:bottom w:w="0" w:type="dxa"/>
              <w:right w:w="108" w:type="dxa"/>
            </w:tcMar>
            <w:vAlign w:val="center"/>
            <w:hideMark/>
          </w:tcPr>
          <w:p w14:paraId="2E676DB8" w14:textId="77777777" w:rsidR="00953894" w:rsidRDefault="00953894">
            <w:pPr>
              <w:spacing w:line="256" w:lineRule="auto"/>
              <w:jc w:val="center"/>
              <w:rPr>
                <w:rFonts w:ascii="Calibri" w:eastAsia="Times New Roman" w:hAnsi="Calibri" w:cs="Calibri"/>
                <w:szCs w:val="24"/>
                <w:lang w:eastAsia="en-GB"/>
              </w:rPr>
            </w:pPr>
            <w:r>
              <w:rPr>
                <w:rFonts w:ascii="Calibri" w:eastAsiaTheme="minorEastAsia" w:hAnsi="Calibri" w:cs="Calibri"/>
                <w:bCs/>
                <w:color w:val="000000" w:themeColor="dark1"/>
                <w:kern w:val="24"/>
                <w:szCs w:val="24"/>
                <w:lang w:eastAsia="en-GB"/>
              </w:rPr>
              <w:t>Project Allocation</w:t>
            </w:r>
          </w:p>
        </w:tc>
        <w:tc>
          <w:tcPr>
            <w:tcW w:w="2388"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Mar>
              <w:top w:w="15" w:type="dxa"/>
              <w:left w:w="108" w:type="dxa"/>
              <w:bottom w:w="0" w:type="dxa"/>
              <w:right w:w="108" w:type="dxa"/>
            </w:tcMar>
            <w:hideMark/>
          </w:tcPr>
          <w:p w14:paraId="50E8F25A" w14:textId="77777777" w:rsidR="00953894" w:rsidRDefault="00953894">
            <w:pPr>
              <w:spacing w:line="256" w:lineRule="auto"/>
              <w:jc w:val="center"/>
              <w:rPr>
                <w:rFonts w:ascii="Calibri" w:eastAsia="Times New Roman" w:hAnsi="Calibri" w:cs="Calibri"/>
                <w:szCs w:val="24"/>
                <w:lang w:eastAsia="en-GB"/>
              </w:rPr>
            </w:pPr>
            <w:r>
              <w:rPr>
                <w:rFonts w:ascii="Calibri" w:eastAsia="Times New Roman" w:hAnsi="Calibri" w:cs="Calibri"/>
                <w:color w:val="000000" w:themeColor="dark1"/>
                <w:kern w:val="24"/>
                <w:szCs w:val="24"/>
                <w:lang w:eastAsia="en-GB"/>
              </w:rPr>
              <w:t>Outturn within target allocation range</w:t>
            </w:r>
          </w:p>
        </w:tc>
        <w:tc>
          <w:tcPr>
            <w:tcW w:w="1132"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Mar>
              <w:top w:w="15" w:type="dxa"/>
              <w:left w:w="108" w:type="dxa"/>
              <w:bottom w:w="0" w:type="dxa"/>
              <w:right w:w="108" w:type="dxa"/>
            </w:tcMar>
            <w:vAlign w:val="center"/>
            <w:hideMark/>
          </w:tcPr>
          <w:p w14:paraId="13A63D9D" w14:textId="77777777" w:rsidR="00953894" w:rsidRDefault="00953894">
            <w:pPr>
              <w:spacing w:line="256" w:lineRule="auto"/>
              <w:jc w:val="center"/>
              <w:rPr>
                <w:rFonts w:ascii="Calibri" w:eastAsia="Times New Roman" w:hAnsi="Calibri" w:cs="Calibri"/>
                <w:szCs w:val="24"/>
                <w:lang w:eastAsia="en-GB"/>
              </w:rPr>
            </w:pPr>
            <w:r>
              <w:rPr>
                <w:rFonts w:ascii="Calibri" w:eastAsia="Times New Roman" w:hAnsi="Calibri" w:cs="Calibri"/>
                <w:color w:val="000000" w:themeColor="dark1"/>
                <w:kern w:val="24"/>
                <w:szCs w:val="24"/>
                <w:lang w:eastAsia="en-GB"/>
              </w:rPr>
              <w:t>16.7</w:t>
            </w:r>
          </w:p>
        </w:tc>
        <w:tc>
          <w:tcPr>
            <w:tcW w:w="1189"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Mar>
              <w:top w:w="15" w:type="dxa"/>
              <w:left w:w="108" w:type="dxa"/>
              <w:bottom w:w="0" w:type="dxa"/>
              <w:right w:w="108" w:type="dxa"/>
            </w:tcMar>
            <w:vAlign w:val="center"/>
            <w:hideMark/>
          </w:tcPr>
          <w:p w14:paraId="6B967E7C" w14:textId="3956842A" w:rsidR="00953894" w:rsidRDefault="00733EC2">
            <w:pPr>
              <w:spacing w:line="256" w:lineRule="auto"/>
              <w:jc w:val="center"/>
              <w:rPr>
                <w:rFonts w:ascii="Calibri" w:eastAsia="Times New Roman" w:hAnsi="Calibri" w:cs="Calibri"/>
                <w:szCs w:val="24"/>
                <w:lang w:eastAsia="en-GB"/>
              </w:rPr>
            </w:pPr>
            <w:r>
              <w:rPr>
                <w:rFonts w:ascii="Calibri" w:eastAsia="Times New Roman" w:hAnsi="Calibri" w:cs="Calibri"/>
                <w:color w:val="000000" w:themeColor="dark1"/>
                <w:kern w:val="24"/>
                <w:szCs w:val="24"/>
                <w:lang w:eastAsia="en-GB"/>
              </w:rPr>
              <w:t>17.0</w:t>
            </w:r>
          </w:p>
        </w:tc>
        <w:tc>
          <w:tcPr>
            <w:tcW w:w="1399"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Mar>
              <w:top w:w="15" w:type="dxa"/>
              <w:left w:w="108" w:type="dxa"/>
              <w:bottom w:w="0" w:type="dxa"/>
              <w:right w:w="108" w:type="dxa"/>
            </w:tcMar>
            <w:vAlign w:val="center"/>
            <w:hideMark/>
          </w:tcPr>
          <w:p w14:paraId="077F3BB5" w14:textId="5D0AFB05" w:rsidR="00953894" w:rsidRDefault="00733EC2">
            <w:pPr>
              <w:spacing w:line="256" w:lineRule="auto"/>
              <w:jc w:val="center"/>
              <w:rPr>
                <w:rFonts w:ascii="Calibri" w:eastAsia="Times New Roman" w:hAnsi="Calibri" w:cs="Calibri"/>
                <w:szCs w:val="24"/>
                <w:lang w:eastAsia="en-GB"/>
              </w:rPr>
            </w:pPr>
            <w:r>
              <w:rPr>
                <w:rFonts w:ascii="Calibri" w:eastAsia="Times New Roman" w:hAnsi="Calibri" w:cs="Calibri"/>
                <w:color w:val="FF0000"/>
                <w:kern w:val="24"/>
                <w:szCs w:val="24"/>
                <w:lang w:eastAsia="en-GB"/>
              </w:rPr>
              <w:t>(0.2</w:t>
            </w:r>
            <w:r w:rsidR="00953894">
              <w:rPr>
                <w:rFonts w:ascii="Calibri" w:eastAsia="Times New Roman" w:hAnsi="Calibri" w:cs="Calibri"/>
                <w:color w:val="FF0000"/>
                <w:kern w:val="24"/>
                <w:szCs w:val="24"/>
                <w:lang w:eastAsia="en-GB"/>
              </w:rPr>
              <w:t>)</w:t>
            </w:r>
          </w:p>
        </w:tc>
        <w:tc>
          <w:tcPr>
            <w:tcW w:w="1701"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Mar>
              <w:top w:w="15" w:type="dxa"/>
              <w:left w:w="108" w:type="dxa"/>
              <w:bottom w:w="0" w:type="dxa"/>
              <w:right w:w="108" w:type="dxa"/>
            </w:tcMar>
            <w:vAlign w:val="center"/>
            <w:hideMark/>
          </w:tcPr>
          <w:p w14:paraId="37224E85" w14:textId="35357D10" w:rsidR="00953894" w:rsidRDefault="00733EC2">
            <w:pPr>
              <w:spacing w:line="256" w:lineRule="auto"/>
              <w:jc w:val="center"/>
              <w:rPr>
                <w:rFonts w:ascii="Calibri" w:eastAsia="Times New Roman" w:hAnsi="Calibri" w:cs="Calibri"/>
                <w:color w:val="F79646" w:themeColor="accent6"/>
                <w:szCs w:val="24"/>
                <w:lang w:eastAsia="en-GB"/>
              </w:rPr>
            </w:pPr>
            <w:r w:rsidRPr="00733EC2">
              <w:rPr>
                <w:rFonts w:ascii="Calibri" w:eastAsia="Times New Roman" w:hAnsi="Calibri" w:cs="Calibri"/>
                <w:b/>
                <w:bCs/>
                <w:color w:val="00B050"/>
                <w:kern w:val="24"/>
                <w:szCs w:val="24"/>
                <w:lang w:eastAsia="en-GB"/>
              </w:rPr>
              <w:t>ON TRACK</w:t>
            </w:r>
          </w:p>
        </w:tc>
      </w:tr>
      <w:tr w:rsidR="00953894" w14:paraId="49814A3E" w14:textId="77777777" w:rsidTr="00953894">
        <w:trPr>
          <w:trHeight w:val="64"/>
        </w:trPr>
        <w:tc>
          <w:tcPr>
            <w:tcW w:w="2080" w:type="dxa"/>
            <w:tcBorders>
              <w:top w:val="single" w:sz="8" w:space="0" w:color="FFFFFF"/>
              <w:left w:val="single" w:sz="8" w:space="0" w:color="FFFFFF"/>
              <w:bottom w:val="single" w:sz="8" w:space="0" w:color="FFFFFF"/>
              <w:right w:val="single" w:sz="8" w:space="0" w:color="FFFFFF"/>
            </w:tcBorders>
            <w:tcMar>
              <w:top w:w="15" w:type="dxa"/>
              <w:left w:w="108" w:type="dxa"/>
              <w:bottom w:w="0" w:type="dxa"/>
              <w:right w:w="108" w:type="dxa"/>
            </w:tcMar>
            <w:vAlign w:val="center"/>
          </w:tcPr>
          <w:p w14:paraId="20C0F245" w14:textId="77777777" w:rsidR="00953894" w:rsidRDefault="00953894">
            <w:pPr>
              <w:spacing w:line="256" w:lineRule="auto"/>
              <w:jc w:val="center"/>
              <w:rPr>
                <w:rFonts w:ascii="Calibri" w:eastAsiaTheme="minorEastAsia" w:hAnsi="Calibri" w:cs="Calibri"/>
                <w:bCs/>
                <w:color w:val="000000" w:themeColor="dark1"/>
                <w:kern w:val="24"/>
                <w:szCs w:val="24"/>
                <w:lang w:eastAsia="en-GB"/>
              </w:rPr>
            </w:pPr>
          </w:p>
        </w:tc>
        <w:tc>
          <w:tcPr>
            <w:tcW w:w="2388" w:type="dxa"/>
            <w:tcBorders>
              <w:top w:val="single" w:sz="8" w:space="0" w:color="FFFFFF"/>
              <w:left w:val="single" w:sz="8" w:space="0" w:color="FFFFFF"/>
              <w:bottom w:val="single" w:sz="8" w:space="0" w:color="FFFFFF"/>
              <w:right w:val="single" w:sz="8" w:space="0" w:color="FFFFFF"/>
            </w:tcBorders>
            <w:tcMar>
              <w:top w:w="15" w:type="dxa"/>
              <w:left w:w="108" w:type="dxa"/>
              <w:bottom w:w="0" w:type="dxa"/>
              <w:right w:w="108" w:type="dxa"/>
            </w:tcMar>
          </w:tcPr>
          <w:p w14:paraId="251B0002" w14:textId="77777777" w:rsidR="00953894" w:rsidRDefault="00953894">
            <w:pPr>
              <w:spacing w:line="256" w:lineRule="auto"/>
              <w:jc w:val="center"/>
              <w:rPr>
                <w:rFonts w:ascii="Calibri" w:eastAsia="Times New Roman" w:hAnsi="Calibri" w:cs="Calibri"/>
                <w:color w:val="000000" w:themeColor="dark1"/>
                <w:kern w:val="24"/>
                <w:szCs w:val="24"/>
                <w:lang w:eastAsia="en-GB"/>
              </w:rPr>
            </w:pPr>
          </w:p>
        </w:tc>
        <w:tc>
          <w:tcPr>
            <w:tcW w:w="1132" w:type="dxa"/>
            <w:tcBorders>
              <w:top w:val="single" w:sz="8" w:space="0" w:color="FFFFFF"/>
              <w:left w:val="single" w:sz="8" w:space="0" w:color="FFFFFF"/>
              <w:bottom w:val="single" w:sz="8" w:space="0" w:color="FFFFFF"/>
              <w:right w:val="single" w:sz="8" w:space="0" w:color="FFFFFF"/>
            </w:tcBorders>
            <w:tcMar>
              <w:top w:w="15" w:type="dxa"/>
              <w:left w:w="108" w:type="dxa"/>
              <w:bottom w:w="0" w:type="dxa"/>
              <w:right w:w="108" w:type="dxa"/>
            </w:tcMar>
            <w:vAlign w:val="center"/>
          </w:tcPr>
          <w:p w14:paraId="17DC1662" w14:textId="77777777" w:rsidR="00953894" w:rsidRDefault="00953894">
            <w:pPr>
              <w:spacing w:line="256" w:lineRule="auto"/>
              <w:jc w:val="center"/>
              <w:rPr>
                <w:rFonts w:ascii="Calibri" w:eastAsia="Times New Roman" w:hAnsi="Calibri" w:cs="Calibri"/>
                <w:color w:val="000000" w:themeColor="dark1"/>
                <w:kern w:val="24"/>
                <w:szCs w:val="24"/>
                <w:lang w:eastAsia="en-GB"/>
              </w:rPr>
            </w:pPr>
          </w:p>
        </w:tc>
        <w:tc>
          <w:tcPr>
            <w:tcW w:w="1189" w:type="dxa"/>
            <w:tcBorders>
              <w:top w:val="single" w:sz="8" w:space="0" w:color="FFFFFF"/>
              <w:left w:val="single" w:sz="8" w:space="0" w:color="FFFFFF"/>
              <w:bottom w:val="single" w:sz="8" w:space="0" w:color="FFFFFF"/>
              <w:right w:val="single" w:sz="8" w:space="0" w:color="FFFFFF"/>
            </w:tcBorders>
            <w:tcMar>
              <w:top w:w="15" w:type="dxa"/>
              <w:left w:w="108" w:type="dxa"/>
              <w:bottom w:w="0" w:type="dxa"/>
              <w:right w:w="108" w:type="dxa"/>
            </w:tcMar>
            <w:vAlign w:val="center"/>
          </w:tcPr>
          <w:p w14:paraId="71537648" w14:textId="77777777" w:rsidR="00953894" w:rsidRDefault="00953894">
            <w:pPr>
              <w:spacing w:line="256" w:lineRule="auto"/>
              <w:jc w:val="center"/>
              <w:rPr>
                <w:rFonts w:ascii="Calibri" w:eastAsia="Times New Roman" w:hAnsi="Calibri" w:cs="Calibri"/>
                <w:color w:val="000000" w:themeColor="dark1"/>
                <w:kern w:val="24"/>
                <w:szCs w:val="24"/>
                <w:lang w:eastAsia="en-GB"/>
              </w:rPr>
            </w:pPr>
          </w:p>
        </w:tc>
        <w:tc>
          <w:tcPr>
            <w:tcW w:w="1399" w:type="dxa"/>
            <w:tcBorders>
              <w:top w:val="single" w:sz="8" w:space="0" w:color="FFFFFF"/>
              <w:left w:val="single" w:sz="8" w:space="0" w:color="FFFFFF"/>
              <w:bottom w:val="single" w:sz="8" w:space="0" w:color="FFFFFF"/>
              <w:right w:val="single" w:sz="8" w:space="0" w:color="FFFFFF"/>
            </w:tcBorders>
            <w:tcMar>
              <w:top w:w="15" w:type="dxa"/>
              <w:left w:w="108" w:type="dxa"/>
              <w:bottom w:w="0" w:type="dxa"/>
              <w:right w:w="108" w:type="dxa"/>
            </w:tcMar>
            <w:vAlign w:val="center"/>
          </w:tcPr>
          <w:p w14:paraId="29ED8957" w14:textId="77777777" w:rsidR="00953894" w:rsidRDefault="00953894">
            <w:pPr>
              <w:spacing w:line="256" w:lineRule="auto"/>
              <w:jc w:val="center"/>
              <w:rPr>
                <w:rFonts w:ascii="Calibri" w:eastAsia="Times New Roman" w:hAnsi="Calibri" w:cs="Calibri"/>
                <w:color w:val="000000" w:themeColor="dark1"/>
                <w:kern w:val="24"/>
                <w:szCs w:val="24"/>
                <w:lang w:eastAsia="en-GB"/>
              </w:rPr>
            </w:pPr>
          </w:p>
        </w:tc>
        <w:tc>
          <w:tcPr>
            <w:tcW w:w="1701" w:type="dxa"/>
            <w:tcBorders>
              <w:top w:val="single" w:sz="8" w:space="0" w:color="FFFFFF"/>
              <w:left w:val="single" w:sz="8" w:space="0" w:color="FFFFFF"/>
              <w:bottom w:val="single" w:sz="8" w:space="0" w:color="FFFFFF"/>
              <w:right w:val="single" w:sz="8" w:space="0" w:color="FFFFFF"/>
            </w:tcBorders>
            <w:tcMar>
              <w:top w:w="15" w:type="dxa"/>
              <w:left w:w="108" w:type="dxa"/>
              <w:bottom w:w="0" w:type="dxa"/>
              <w:right w:w="108" w:type="dxa"/>
            </w:tcMar>
            <w:vAlign w:val="center"/>
          </w:tcPr>
          <w:p w14:paraId="18BA98B6" w14:textId="77777777" w:rsidR="00953894" w:rsidRDefault="00953894">
            <w:pPr>
              <w:spacing w:line="256" w:lineRule="auto"/>
              <w:jc w:val="center"/>
              <w:rPr>
                <w:rFonts w:ascii="Calibri" w:eastAsia="Times New Roman" w:hAnsi="Calibri" w:cs="Calibri"/>
                <w:b/>
                <w:bCs/>
                <w:color w:val="FFC000"/>
                <w:kern w:val="24"/>
                <w:szCs w:val="24"/>
                <w:lang w:eastAsia="en-GB"/>
              </w:rPr>
            </w:pPr>
          </w:p>
        </w:tc>
      </w:tr>
      <w:tr w:rsidR="00953894" w14:paraId="0FCA3B43" w14:textId="77777777" w:rsidTr="00733EC2">
        <w:trPr>
          <w:trHeight w:val="584"/>
        </w:trPr>
        <w:tc>
          <w:tcPr>
            <w:tcW w:w="2080"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Mar>
              <w:top w:w="15" w:type="dxa"/>
              <w:left w:w="108" w:type="dxa"/>
              <w:bottom w:w="0" w:type="dxa"/>
              <w:right w:w="108" w:type="dxa"/>
            </w:tcMar>
            <w:vAlign w:val="center"/>
            <w:hideMark/>
          </w:tcPr>
          <w:p w14:paraId="000A1B59" w14:textId="77777777" w:rsidR="00953894" w:rsidRDefault="00953894">
            <w:pPr>
              <w:spacing w:line="256" w:lineRule="auto"/>
              <w:jc w:val="center"/>
              <w:rPr>
                <w:rFonts w:ascii="Calibri" w:eastAsia="Times New Roman" w:hAnsi="Calibri" w:cs="Calibri"/>
                <w:szCs w:val="24"/>
                <w:lang w:eastAsia="en-GB"/>
              </w:rPr>
            </w:pPr>
            <w:r>
              <w:rPr>
                <w:rFonts w:ascii="Calibri" w:eastAsia="Arial" w:hAnsi="Calibri" w:cs="Calibri"/>
                <w:bCs/>
                <w:color w:val="000000" w:themeColor="text1"/>
                <w:kern w:val="24"/>
                <w:szCs w:val="24"/>
                <w:lang w:eastAsia="en-GB"/>
              </w:rPr>
              <w:t>Peatlands</w:t>
            </w:r>
          </w:p>
        </w:tc>
        <w:tc>
          <w:tcPr>
            <w:tcW w:w="2388"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Mar>
              <w:top w:w="15" w:type="dxa"/>
              <w:left w:w="108" w:type="dxa"/>
              <w:bottom w:w="0" w:type="dxa"/>
              <w:right w:w="108" w:type="dxa"/>
            </w:tcMar>
            <w:hideMark/>
          </w:tcPr>
          <w:p w14:paraId="1EC7CB40" w14:textId="77777777" w:rsidR="00953894" w:rsidRDefault="00953894">
            <w:pPr>
              <w:spacing w:line="256" w:lineRule="auto"/>
              <w:jc w:val="center"/>
              <w:rPr>
                <w:rFonts w:ascii="Calibri" w:eastAsia="Times New Roman" w:hAnsi="Calibri" w:cs="Calibri"/>
                <w:szCs w:val="24"/>
                <w:lang w:eastAsia="en-GB"/>
              </w:rPr>
            </w:pPr>
            <w:r>
              <w:rPr>
                <w:rFonts w:ascii="Calibri" w:eastAsia="Times New Roman" w:hAnsi="Calibri" w:cs="Calibri"/>
                <w:color w:val="000000" w:themeColor="dark1"/>
                <w:kern w:val="24"/>
                <w:szCs w:val="24"/>
                <w:lang w:eastAsia="en-GB"/>
              </w:rPr>
              <w:t>Outturn within 1% of final budget</w:t>
            </w:r>
          </w:p>
        </w:tc>
        <w:tc>
          <w:tcPr>
            <w:tcW w:w="1132"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Mar>
              <w:top w:w="15" w:type="dxa"/>
              <w:left w:w="108" w:type="dxa"/>
              <w:bottom w:w="0" w:type="dxa"/>
              <w:right w:w="108" w:type="dxa"/>
            </w:tcMar>
            <w:vAlign w:val="center"/>
            <w:hideMark/>
          </w:tcPr>
          <w:p w14:paraId="71CD0647" w14:textId="77777777" w:rsidR="00953894" w:rsidRDefault="00953894">
            <w:pPr>
              <w:spacing w:line="256" w:lineRule="auto"/>
              <w:jc w:val="center"/>
              <w:rPr>
                <w:rFonts w:ascii="Calibri" w:eastAsia="Times New Roman" w:hAnsi="Calibri" w:cs="Calibri"/>
                <w:szCs w:val="24"/>
                <w:lang w:eastAsia="en-GB"/>
              </w:rPr>
            </w:pPr>
            <w:r>
              <w:rPr>
                <w:rFonts w:ascii="Calibri" w:eastAsia="Times New Roman" w:hAnsi="Calibri" w:cs="Calibri"/>
                <w:color w:val="000000" w:themeColor="dark1"/>
                <w:kern w:val="24"/>
                <w:szCs w:val="24"/>
                <w:lang w:eastAsia="en-GB"/>
              </w:rPr>
              <w:t>10.4</w:t>
            </w:r>
          </w:p>
        </w:tc>
        <w:tc>
          <w:tcPr>
            <w:tcW w:w="1189"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Mar>
              <w:top w:w="15" w:type="dxa"/>
              <w:left w:w="108" w:type="dxa"/>
              <w:bottom w:w="0" w:type="dxa"/>
              <w:right w:w="108" w:type="dxa"/>
            </w:tcMar>
            <w:vAlign w:val="center"/>
            <w:hideMark/>
          </w:tcPr>
          <w:p w14:paraId="6176C9D4" w14:textId="4C699D28" w:rsidR="00953894" w:rsidRDefault="00EA7660">
            <w:pPr>
              <w:spacing w:line="256" w:lineRule="auto"/>
              <w:jc w:val="center"/>
              <w:rPr>
                <w:rFonts w:ascii="Calibri" w:eastAsia="Times New Roman" w:hAnsi="Calibri" w:cs="Calibri"/>
                <w:szCs w:val="24"/>
                <w:lang w:eastAsia="en-GB"/>
              </w:rPr>
            </w:pPr>
            <w:r>
              <w:rPr>
                <w:rFonts w:ascii="Calibri" w:eastAsia="Times New Roman" w:hAnsi="Calibri" w:cs="Calibri"/>
                <w:color w:val="000000" w:themeColor="dark1"/>
                <w:kern w:val="24"/>
                <w:szCs w:val="24"/>
                <w:lang w:eastAsia="en-GB"/>
              </w:rPr>
              <w:t>10.5</w:t>
            </w:r>
          </w:p>
        </w:tc>
        <w:tc>
          <w:tcPr>
            <w:tcW w:w="1399"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Mar>
              <w:top w:w="15" w:type="dxa"/>
              <w:left w:w="108" w:type="dxa"/>
              <w:bottom w:w="0" w:type="dxa"/>
              <w:right w:w="108" w:type="dxa"/>
            </w:tcMar>
            <w:vAlign w:val="center"/>
            <w:hideMark/>
          </w:tcPr>
          <w:p w14:paraId="2529A38F" w14:textId="77777777" w:rsidR="00953894" w:rsidRDefault="00953894">
            <w:pPr>
              <w:spacing w:line="256" w:lineRule="auto"/>
              <w:jc w:val="center"/>
              <w:rPr>
                <w:rFonts w:ascii="Calibri" w:eastAsia="Times New Roman" w:hAnsi="Calibri" w:cs="Calibri"/>
                <w:szCs w:val="24"/>
                <w:lang w:eastAsia="en-GB"/>
              </w:rPr>
            </w:pPr>
            <w:r>
              <w:rPr>
                <w:rFonts w:ascii="Calibri" w:eastAsia="Times New Roman" w:hAnsi="Calibri" w:cs="Calibri"/>
                <w:kern w:val="24"/>
                <w:szCs w:val="24"/>
                <w:lang w:eastAsia="en-GB"/>
              </w:rPr>
              <w:t>0.0</w:t>
            </w:r>
          </w:p>
        </w:tc>
        <w:tc>
          <w:tcPr>
            <w:tcW w:w="1701"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Mar>
              <w:top w:w="15" w:type="dxa"/>
              <w:left w:w="108" w:type="dxa"/>
              <w:bottom w:w="0" w:type="dxa"/>
              <w:right w:w="108" w:type="dxa"/>
            </w:tcMar>
            <w:vAlign w:val="center"/>
            <w:hideMark/>
          </w:tcPr>
          <w:p w14:paraId="49745ABF" w14:textId="77777777" w:rsidR="00953894" w:rsidRDefault="00953894">
            <w:pPr>
              <w:spacing w:line="256" w:lineRule="auto"/>
              <w:jc w:val="center"/>
              <w:rPr>
                <w:rFonts w:ascii="Calibri" w:eastAsia="Times New Roman" w:hAnsi="Calibri" w:cs="Calibri"/>
                <w:color w:val="F79646" w:themeColor="accent6"/>
                <w:szCs w:val="24"/>
                <w:lang w:eastAsia="en-GB"/>
              </w:rPr>
            </w:pPr>
            <w:r>
              <w:rPr>
                <w:rFonts w:ascii="Calibri" w:eastAsia="Times New Roman" w:hAnsi="Calibri" w:cs="Calibri"/>
                <w:b/>
                <w:bCs/>
                <w:color w:val="00B050"/>
                <w:kern w:val="24"/>
                <w:szCs w:val="24"/>
                <w:lang w:eastAsia="en-GB"/>
              </w:rPr>
              <w:t>ON TRACK</w:t>
            </w:r>
          </w:p>
        </w:tc>
      </w:tr>
      <w:tr w:rsidR="00953894" w14:paraId="2EF72CB6" w14:textId="77777777" w:rsidTr="00953894">
        <w:trPr>
          <w:trHeight w:val="584"/>
        </w:trPr>
        <w:tc>
          <w:tcPr>
            <w:tcW w:w="2080"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top w:w="15" w:type="dxa"/>
              <w:left w:w="108" w:type="dxa"/>
              <w:bottom w:w="0" w:type="dxa"/>
              <w:right w:w="108" w:type="dxa"/>
            </w:tcMar>
            <w:vAlign w:val="center"/>
            <w:hideMark/>
          </w:tcPr>
          <w:p w14:paraId="5C504611" w14:textId="77777777" w:rsidR="00953894" w:rsidRDefault="00953894">
            <w:pPr>
              <w:spacing w:line="256" w:lineRule="auto"/>
              <w:jc w:val="center"/>
              <w:rPr>
                <w:rFonts w:ascii="Calibri" w:eastAsia="Arial" w:hAnsi="Calibri" w:cs="Calibri"/>
                <w:bCs/>
                <w:color w:val="000000" w:themeColor="text1"/>
                <w:kern w:val="24"/>
                <w:szCs w:val="24"/>
                <w:lang w:eastAsia="en-GB"/>
              </w:rPr>
            </w:pPr>
            <w:r>
              <w:rPr>
                <w:rFonts w:ascii="Calibri" w:eastAsia="Arial" w:hAnsi="Calibri" w:cs="Calibri"/>
                <w:bCs/>
                <w:color w:val="000000" w:themeColor="text1"/>
                <w:kern w:val="24"/>
                <w:szCs w:val="24"/>
                <w:lang w:eastAsia="en-GB"/>
              </w:rPr>
              <w:t>Farming with Nature</w:t>
            </w:r>
          </w:p>
        </w:tc>
        <w:tc>
          <w:tcPr>
            <w:tcW w:w="2388"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top w:w="15" w:type="dxa"/>
              <w:left w:w="108" w:type="dxa"/>
              <w:bottom w:w="0" w:type="dxa"/>
              <w:right w:w="108" w:type="dxa"/>
            </w:tcMar>
            <w:hideMark/>
          </w:tcPr>
          <w:p w14:paraId="0E9CD405" w14:textId="77777777" w:rsidR="00953894" w:rsidRDefault="00953894">
            <w:pPr>
              <w:spacing w:line="256" w:lineRule="auto"/>
              <w:jc w:val="center"/>
              <w:rPr>
                <w:rFonts w:ascii="Calibri" w:eastAsia="Times New Roman" w:hAnsi="Calibri" w:cs="Calibri"/>
                <w:color w:val="000000" w:themeColor="dark1"/>
                <w:kern w:val="24"/>
                <w:szCs w:val="24"/>
                <w:lang w:eastAsia="en-GB"/>
              </w:rPr>
            </w:pPr>
            <w:r>
              <w:rPr>
                <w:rFonts w:ascii="Calibri" w:eastAsia="Times New Roman" w:hAnsi="Calibri" w:cs="Calibri"/>
                <w:color w:val="000000" w:themeColor="dark1"/>
                <w:kern w:val="24"/>
                <w:szCs w:val="24"/>
                <w:lang w:eastAsia="en-GB"/>
              </w:rPr>
              <w:t>Outturn within 1% of final budget</w:t>
            </w:r>
          </w:p>
        </w:tc>
        <w:tc>
          <w:tcPr>
            <w:tcW w:w="1132"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top w:w="15" w:type="dxa"/>
              <w:left w:w="108" w:type="dxa"/>
              <w:bottom w:w="0" w:type="dxa"/>
              <w:right w:w="108" w:type="dxa"/>
            </w:tcMar>
            <w:vAlign w:val="center"/>
            <w:hideMark/>
          </w:tcPr>
          <w:p w14:paraId="317E6F20" w14:textId="36C56B98" w:rsidR="00953894" w:rsidRDefault="00EA7660">
            <w:pPr>
              <w:spacing w:line="256" w:lineRule="auto"/>
              <w:jc w:val="center"/>
              <w:rPr>
                <w:rFonts w:ascii="Calibri" w:eastAsia="Times New Roman" w:hAnsi="Calibri" w:cs="Calibri"/>
                <w:color w:val="000000" w:themeColor="dark1"/>
                <w:kern w:val="24"/>
                <w:szCs w:val="24"/>
                <w:lang w:eastAsia="en-GB"/>
              </w:rPr>
            </w:pPr>
            <w:r>
              <w:rPr>
                <w:rFonts w:ascii="Calibri" w:eastAsia="Times New Roman" w:hAnsi="Calibri" w:cs="Calibri"/>
                <w:color w:val="000000" w:themeColor="dark1"/>
                <w:kern w:val="24"/>
                <w:szCs w:val="24"/>
                <w:lang w:eastAsia="en-GB"/>
              </w:rPr>
              <w:t>2.9</w:t>
            </w:r>
          </w:p>
        </w:tc>
        <w:tc>
          <w:tcPr>
            <w:tcW w:w="1189"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top w:w="15" w:type="dxa"/>
              <w:left w:w="108" w:type="dxa"/>
              <w:bottom w:w="0" w:type="dxa"/>
              <w:right w:w="108" w:type="dxa"/>
            </w:tcMar>
            <w:vAlign w:val="center"/>
            <w:hideMark/>
          </w:tcPr>
          <w:p w14:paraId="5A79F803" w14:textId="77777777" w:rsidR="00953894" w:rsidRDefault="00953894">
            <w:pPr>
              <w:spacing w:line="256" w:lineRule="auto"/>
              <w:jc w:val="center"/>
              <w:rPr>
                <w:rFonts w:ascii="Calibri" w:eastAsia="Times New Roman" w:hAnsi="Calibri" w:cs="Calibri"/>
                <w:color w:val="000000" w:themeColor="dark1"/>
                <w:kern w:val="24"/>
                <w:szCs w:val="24"/>
                <w:lang w:eastAsia="en-GB"/>
              </w:rPr>
            </w:pPr>
            <w:r>
              <w:rPr>
                <w:rFonts w:ascii="Calibri" w:eastAsia="Times New Roman" w:hAnsi="Calibri" w:cs="Calibri"/>
                <w:color w:val="000000" w:themeColor="dark1"/>
                <w:kern w:val="24"/>
                <w:szCs w:val="24"/>
                <w:lang w:eastAsia="en-GB"/>
              </w:rPr>
              <w:t>1.9</w:t>
            </w:r>
          </w:p>
        </w:tc>
        <w:tc>
          <w:tcPr>
            <w:tcW w:w="1399"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top w:w="15" w:type="dxa"/>
              <w:left w:w="108" w:type="dxa"/>
              <w:bottom w:w="0" w:type="dxa"/>
              <w:right w:w="108" w:type="dxa"/>
            </w:tcMar>
            <w:vAlign w:val="center"/>
            <w:hideMark/>
          </w:tcPr>
          <w:p w14:paraId="142C7FAE" w14:textId="37C545A5" w:rsidR="00953894" w:rsidRDefault="00EA7660">
            <w:pPr>
              <w:spacing w:line="256" w:lineRule="auto"/>
              <w:jc w:val="center"/>
              <w:rPr>
                <w:rFonts w:ascii="Calibri" w:eastAsia="Times New Roman" w:hAnsi="Calibri" w:cs="Calibri"/>
                <w:color w:val="FF0000"/>
                <w:kern w:val="24"/>
                <w:szCs w:val="24"/>
                <w:lang w:eastAsia="en-GB"/>
              </w:rPr>
            </w:pPr>
            <w:r>
              <w:rPr>
                <w:rFonts w:ascii="Calibri" w:eastAsia="Times New Roman" w:hAnsi="Calibri" w:cs="Calibri"/>
                <w:color w:val="000000" w:themeColor="dark1"/>
                <w:kern w:val="24"/>
                <w:szCs w:val="24"/>
                <w:lang w:eastAsia="en-GB"/>
              </w:rPr>
              <w:t>1.0</w:t>
            </w:r>
          </w:p>
        </w:tc>
        <w:tc>
          <w:tcPr>
            <w:tcW w:w="1701"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top w:w="15" w:type="dxa"/>
              <w:left w:w="108" w:type="dxa"/>
              <w:bottom w:w="0" w:type="dxa"/>
              <w:right w:w="108" w:type="dxa"/>
            </w:tcMar>
            <w:vAlign w:val="center"/>
            <w:hideMark/>
          </w:tcPr>
          <w:p w14:paraId="0A2B01F8" w14:textId="77777777" w:rsidR="00953894" w:rsidRDefault="00953894">
            <w:pPr>
              <w:spacing w:line="256" w:lineRule="auto"/>
              <w:jc w:val="center"/>
              <w:rPr>
                <w:rFonts w:ascii="Calibri" w:eastAsia="Times New Roman" w:hAnsi="Calibri" w:cs="Calibri"/>
                <w:b/>
                <w:bCs/>
                <w:color w:val="FFC000"/>
                <w:kern w:val="24"/>
                <w:szCs w:val="24"/>
                <w:lang w:eastAsia="en-GB"/>
              </w:rPr>
            </w:pPr>
            <w:r>
              <w:rPr>
                <w:rFonts w:ascii="Calibri" w:eastAsia="Times New Roman" w:hAnsi="Calibri" w:cs="Calibri"/>
                <w:b/>
                <w:bCs/>
                <w:color w:val="FF0000"/>
                <w:kern w:val="24"/>
                <w:szCs w:val="24"/>
                <w:lang w:eastAsia="en-GB"/>
              </w:rPr>
              <w:t>MAJOR SLIPPAGE</w:t>
            </w:r>
          </w:p>
        </w:tc>
      </w:tr>
      <w:tr w:rsidR="00953894" w14:paraId="6BF9F28D" w14:textId="77777777" w:rsidTr="00733EC2">
        <w:trPr>
          <w:trHeight w:val="584"/>
        </w:trPr>
        <w:tc>
          <w:tcPr>
            <w:tcW w:w="2080"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Mar>
              <w:top w:w="15" w:type="dxa"/>
              <w:left w:w="108" w:type="dxa"/>
              <w:bottom w:w="0" w:type="dxa"/>
              <w:right w:w="108" w:type="dxa"/>
            </w:tcMar>
            <w:vAlign w:val="center"/>
            <w:hideMark/>
          </w:tcPr>
          <w:p w14:paraId="5B7AFCA3" w14:textId="77777777" w:rsidR="00953894" w:rsidRDefault="00953894">
            <w:pPr>
              <w:spacing w:line="256" w:lineRule="auto"/>
              <w:jc w:val="center"/>
              <w:rPr>
                <w:rFonts w:ascii="Calibri" w:eastAsia="Times New Roman" w:hAnsi="Calibri" w:cs="Calibri"/>
                <w:szCs w:val="24"/>
                <w:lang w:eastAsia="en-GB"/>
              </w:rPr>
            </w:pPr>
            <w:r>
              <w:rPr>
                <w:rFonts w:ascii="Calibri" w:eastAsia="Times New Roman" w:hAnsi="Calibri" w:cs="Calibri"/>
                <w:szCs w:val="24"/>
                <w:lang w:eastAsia="en-GB"/>
              </w:rPr>
              <w:t>Better Places Fund</w:t>
            </w:r>
          </w:p>
        </w:tc>
        <w:tc>
          <w:tcPr>
            <w:tcW w:w="2388"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Mar>
              <w:top w:w="15" w:type="dxa"/>
              <w:left w:w="108" w:type="dxa"/>
              <w:bottom w:w="0" w:type="dxa"/>
              <w:right w:w="108" w:type="dxa"/>
            </w:tcMar>
            <w:hideMark/>
          </w:tcPr>
          <w:p w14:paraId="183ACDBD" w14:textId="77777777" w:rsidR="00953894" w:rsidRDefault="00953894">
            <w:pPr>
              <w:spacing w:line="256" w:lineRule="auto"/>
              <w:jc w:val="center"/>
              <w:rPr>
                <w:rFonts w:ascii="Calibri" w:eastAsia="Times New Roman" w:hAnsi="Calibri" w:cs="Calibri"/>
                <w:szCs w:val="24"/>
                <w:lang w:eastAsia="en-GB"/>
              </w:rPr>
            </w:pPr>
            <w:r>
              <w:rPr>
                <w:rFonts w:ascii="Calibri" w:eastAsia="Times New Roman" w:hAnsi="Calibri" w:cs="Calibri"/>
                <w:color w:val="000000" w:themeColor="dark1"/>
                <w:kern w:val="24"/>
                <w:szCs w:val="24"/>
                <w:lang w:eastAsia="en-GB"/>
              </w:rPr>
              <w:t>Outturn within 1% of final budget</w:t>
            </w:r>
          </w:p>
        </w:tc>
        <w:tc>
          <w:tcPr>
            <w:tcW w:w="1132"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Mar>
              <w:top w:w="15" w:type="dxa"/>
              <w:left w:w="108" w:type="dxa"/>
              <w:bottom w:w="0" w:type="dxa"/>
              <w:right w:w="108" w:type="dxa"/>
            </w:tcMar>
            <w:vAlign w:val="center"/>
            <w:hideMark/>
          </w:tcPr>
          <w:p w14:paraId="22F37AF1" w14:textId="77777777" w:rsidR="00953894" w:rsidRDefault="00953894">
            <w:pPr>
              <w:spacing w:line="256" w:lineRule="auto"/>
              <w:jc w:val="center"/>
              <w:rPr>
                <w:rFonts w:ascii="Calibri" w:eastAsia="Times New Roman" w:hAnsi="Calibri" w:cs="Calibri"/>
                <w:szCs w:val="24"/>
                <w:lang w:eastAsia="en-GB"/>
              </w:rPr>
            </w:pPr>
            <w:r>
              <w:rPr>
                <w:rFonts w:ascii="Calibri" w:eastAsia="Times New Roman" w:hAnsi="Calibri" w:cs="Calibri"/>
                <w:color w:val="000000" w:themeColor="dark1"/>
                <w:kern w:val="24"/>
                <w:szCs w:val="24"/>
                <w:lang w:eastAsia="en-GB"/>
              </w:rPr>
              <w:t>1.3</w:t>
            </w:r>
          </w:p>
        </w:tc>
        <w:tc>
          <w:tcPr>
            <w:tcW w:w="1189"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Mar>
              <w:top w:w="15" w:type="dxa"/>
              <w:left w:w="108" w:type="dxa"/>
              <w:bottom w:w="0" w:type="dxa"/>
              <w:right w:w="108" w:type="dxa"/>
            </w:tcMar>
            <w:vAlign w:val="center"/>
            <w:hideMark/>
          </w:tcPr>
          <w:p w14:paraId="71C03AA0" w14:textId="36494A4B" w:rsidR="00953894" w:rsidRDefault="00EA7660">
            <w:pPr>
              <w:spacing w:line="256" w:lineRule="auto"/>
              <w:jc w:val="center"/>
              <w:rPr>
                <w:rFonts w:ascii="Calibri" w:eastAsia="Times New Roman" w:hAnsi="Calibri" w:cs="Calibri"/>
                <w:szCs w:val="24"/>
                <w:lang w:eastAsia="en-GB"/>
              </w:rPr>
            </w:pPr>
            <w:r>
              <w:rPr>
                <w:rFonts w:ascii="Calibri" w:eastAsia="Times New Roman" w:hAnsi="Calibri" w:cs="Calibri"/>
                <w:color w:val="000000" w:themeColor="dark1"/>
                <w:kern w:val="24"/>
                <w:szCs w:val="24"/>
                <w:lang w:eastAsia="en-GB"/>
              </w:rPr>
              <w:t>1.2</w:t>
            </w:r>
          </w:p>
        </w:tc>
        <w:tc>
          <w:tcPr>
            <w:tcW w:w="1399"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Mar>
              <w:top w:w="15" w:type="dxa"/>
              <w:left w:w="108" w:type="dxa"/>
              <w:bottom w:w="0" w:type="dxa"/>
              <w:right w:w="108" w:type="dxa"/>
            </w:tcMar>
            <w:vAlign w:val="center"/>
            <w:hideMark/>
          </w:tcPr>
          <w:p w14:paraId="76960C79" w14:textId="4D5BCCBA" w:rsidR="00953894" w:rsidRDefault="00EA7660">
            <w:pPr>
              <w:spacing w:line="256" w:lineRule="auto"/>
              <w:jc w:val="center"/>
              <w:rPr>
                <w:rFonts w:ascii="Calibri" w:eastAsia="Times New Roman" w:hAnsi="Calibri" w:cs="Calibri"/>
                <w:szCs w:val="24"/>
                <w:lang w:eastAsia="en-GB"/>
              </w:rPr>
            </w:pPr>
            <w:r>
              <w:rPr>
                <w:rFonts w:ascii="Calibri" w:eastAsia="Times New Roman" w:hAnsi="Calibri" w:cs="Calibri"/>
                <w:color w:val="000000" w:themeColor="dark1"/>
                <w:kern w:val="24"/>
                <w:szCs w:val="24"/>
                <w:lang w:eastAsia="en-GB"/>
              </w:rPr>
              <w:t>0.1</w:t>
            </w:r>
          </w:p>
        </w:tc>
        <w:tc>
          <w:tcPr>
            <w:tcW w:w="1701"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Mar>
              <w:top w:w="15" w:type="dxa"/>
              <w:left w:w="108" w:type="dxa"/>
              <w:bottom w:w="0" w:type="dxa"/>
              <w:right w:w="108" w:type="dxa"/>
            </w:tcMar>
            <w:vAlign w:val="center"/>
            <w:hideMark/>
          </w:tcPr>
          <w:p w14:paraId="75698400" w14:textId="77777777" w:rsidR="00953894" w:rsidRDefault="00953894">
            <w:pPr>
              <w:spacing w:line="256" w:lineRule="auto"/>
              <w:jc w:val="center"/>
              <w:rPr>
                <w:rFonts w:ascii="Calibri" w:eastAsia="Times New Roman" w:hAnsi="Calibri" w:cs="Calibri"/>
                <w:szCs w:val="24"/>
                <w:lang w:eastAsia="en-GB"/>
              </w:rPr>
            </w:pPr>
            <w:r>
              <w:rPr>
                <w:rFonts w:ascii="Calibri" w:eastAsia="Times New Roman" w:hAnsi="Calibri" w:cs="Calibri"/>
                <w:b/>
                <w:bCs/>
                <w:color w:val="FF0000"/>
                <w:kern w:val="24"/>
                <w:szCs w:val="24"/>
                <w:lang w:eastAsia="en-GB"/>
              </w:rPr>
              <w:t>MAJOR SLIPPAGE</w:t>
            </w:r>
          </w:p>
        </w:tc>
      </w:tr>
      <w:tr w:rsidR="00953894" w14:paraId="1C903FCC" w14:textId="77777777" w:rsidTr="00733EC2">
        <w:trPr>
          <w:trHeight w:val="584"/>
        </w:trPr>
        <w:tc>
          <w:tcPr>
            <w:tcW w:w="2080"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top w:w="15" w:type="dxa"/>
              <w:left w:w="108" w:type="dxa"/>
              <w:bottom w:w="0" w:type="dxa"/>
              <w:right w:w="108" w:type="dxa"/>
            </w:tcMar>
            <w:vAlign w:val="center"/>
            <w:hideMark/>
          </w:tcPr>
          <w:p w14:paraId="6EDB037B" w14:textId="77777777" w:rsidR="00953894" w:rsidRDefault="00953894">
            <w:pPr>
              <w:spacing w:line="256" w:lineRule="auto"/>
              <w:jc w:val="center"/>
              <w:rPr>
                <w:rFonts w:ascii="Calibri" w:eastAsia="Times New Roman" w:hAnsi="Calibri" w:cs="Calibri"/>
                <w:szCs w:val="24"/>
                <w:lang w:eastAsia="en-GB"/>
              </w:rPr>
            </w:pPr>
            <w:r>
              <w:rPr>
                <w:rFonts w:ascii="Calibri" w:eastAsia="Arial" w:hAnsi="Calibri" w:cs="Calibri"/>
                <w:bCs/>
                <w:color w:val="000000" w:themeColor="text1"/>
                <w:kern w:val="24"/>
                <w:szCs w:val="24"/>
                <w:lang w:eastAsia="en-GB"/>
              </w:rPr>
              <w:t>Nature Restoration Fund/BCF/SMEEF</w:t>
            </w:r>
          </w:p>
        </w:tc>
        <w:tc>
          <w:tcPr>
            <w:tcW w:w="2388"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top w:w="15" w:type="dxa"/>
              <w:left w:w="108" w:type="dxa"/>
              <w:bottom w:w="0" w:type="dxa"/>
              <w:right w:w="108" w:type="dxa"/>
            </w:tcMar>
            <w:hideMark/>
          </w:tcPr>
          <w:p w14:paraId="6321740D" w14:textId="77777777" w:rsidR="00953894" w:rsidRDefault="00953894">
            <w:pPr>
              <w:spacing w:line="256" w:lineRule="auto"/>
              <w:jc w:val="center"/>
              <w:rPr>
                <w:rFonts w:ascii="Calibri" w:eastAsia="Times New Roman" w:hAnsi="Calibri" w:cs="Calibri"/>
                <w:szCs w:val="24"/>
                <w:lang w:eastAsia="en-GB"/>
              </w:rPr>
            </w:pPr>
            <w:r>
              <w:rPr>
                <w:rFonts w:ascii="Calibri" w:eastAsia="Times New Roman" w:hAnsi="Calibri" w:cs="Calibri"/>
                <w:color w:val="000000" w:themeColor="dark1"/>
                <w:kern w:val="24"/>
                <w:szCs w:val="24"/>
                <w:lang w:eastAsia="en-GB"/>
              </w:rPr>
              <w:t>Outturn within 1% of final budget</w:t>
            </w:r>
          </w:p>
        </w:tc>
        <w:tc>
          <w:tcPr>
            <w:tcW w:w="1132"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top w:w="15" w:type="dxa"/>
              <w:left w:w="108" w:type="dxa"/>
              <w:bottom w:w="0" w:type="dxa"/>
              <w:right w:w="108" w:type="dxa"/>
            </w:tcMar>
            <w:vAlign w:val="center"/>
            <w:hideMark/>
          </w:tcPr>
          <w:p w14:paraId="156E05FE" w14:textId="77777777" w:rsidR="00953894" w:rsidRDefault="00953894">
            <w:pPr>
              <w:spacing w:line="256" w:lineRule="auto"/>
              <w:jc w:val="center"/>
              <w:rPr>
                <w:rFonts w:ascii="Calibri" w:eastAsia="Times New Roman" w:hAnsi="Calibri" w:cs="Calibri"/>
                <w:szCs w:val="24"/>
                <w:lang w:eastAsia="en-GB"/>
              </w:rPr>
            </w:pPr>
            <w:r>
              <w:rPr>
                <w:rFonts w:ascii="Calibri" w:eastAsia="Times New Roman" w:hAnsi="Calibri" w:cs="Calibri"/>
                <w:color w:val="000000" w:themeColor="dark1"/>
                <w:kern w:val="24"/>
                <w:szCs w:val="24"/>
                <w:lang w:eastAsia="en-GB"/>
              </w:rPr>
              <w:t>5.8</w:t>
            </w:r>
          </w:p>
        </w:tc>
        <w:tc>
          <w:tcPr>
            <w:tcW w:w="1189"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top w:w="15" w:type="dxa"/>
              <w:left w:w="108" w:type="dxa"/>
              <w:bottom w:w="0" w:type="dxa"/>
              <w:right w:w="108" w:type="dxa"/>
            </w:tcMar>
            <w:vAlign w:val="center"/>
            <w:hideMark/>
          </w:tcPr>
          <w:p w14:paraId="38E8B0FF" w14:textId="4B17E280" w:rsidR="00953894" w:rsidRDefault="00EA7660">
            <w:pPr>
              <w:spacing w:line="256" w:lineRule="auto"/>
              <w:jc w:val="center"/>
              <w:rPr>
                <w:rFonts w:ascii="Calibri" w:eastAsia="Times New Roman" w:hAnsi="Calibri" w:cs="Calibri"/>
                <w:szCs w:val="24"/>
                <w:lang w:eastAsia="en-GB"/>
              </w:rPr>
            </w:pPr>
            <w:r>
              <w:rPr>
                <w:rFonts w:ascii="Calibri" w:eastAsia="Times New Roman" w:hAnsi="Calibri" w:cs="Calibri"/>
                <w:color w:val="000000" w:themeColor="dark1"/>
                <w:kern w:val="24"/>
                <w:szCs w:val="24"/>
                <w:lang w:eastAsia="en-GB"/>
              </w:rPr>
              <w:t>5.5</w:t>
            </w:r>
          </w:p>
        </w:tc>
        <w:tc>
          <w:tcPr>
            <w:tcW w:w="1399"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top w:w="15" w:type="dxa"/>
              <w:left w:w="108" w:type="dxa"/>
              <w:bottom w:w="0" w:type="dxa"/>
              <w:right w:w="108" w:type="dxa"/>
            </w:tcMar>
            <w:vAlign w:val="center"/>
            <w:hideMark/>
          </w:tcPr>
          <w:p w14:paraId="51DB0AAA" w14:textId="76BFAF24" w:rsidR="00953894" w:rsidRDefault="00EA7660">
            <w:pPr>
              <w:spacing w:line="256" w:lineRule="auto"/>
              <w:jc w:val="center"/>
              <w:rPr>
                <w:rFonts w:ascii="Calibri" w:eastAsia="Times New Roman" w:hAnsi="Calibri" w:cs="Calibri"/>
                <w:szCs w:val="24"/>
                <w:lang w:eastAsia="en-GB"/>
              </w:rPr>
            </w:pPr>
            <w:r>
              <w:rPr>
                <w:rFonts w:ascii="Calibri" w:eastAsia="Times New Roman" w:hAnsi="Calibri" w:cs="Calibri"/>
                <w:color w:val="000000" w:themeColor="dark1"/>
                <w:kern w:val="24"/>
                <w:szCs w:val="24"/>
                <w:lang w:eastAsia="en-GB"/>
              </w:rPr>
              <w:t>0.3</w:t>
            </w:r>
          </w:p>
        </w:tc>
        <w:tc>
          <w:tcPr>
            <w:tcW w:w="1701"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top w:w="15" w:type="dxa"/>
              <w:left w:w="108" w:type="dxa"/>
              <w:bottom w:w="0" w:type="dxa"/>
              <w:right w:w="108" w:type="dxa"/>
            </w:tcMar>
            <w:vAlign w:val="center"/>
            <w:hideMark/>
          </w:tcPr>
          <w:p w14:paraId="5B350867" w14:textId="77777777" w:rsidR="00953894" w:rsidRDefault="00953894">
            <w:pPr>
              <w:spacing w:line="256" w:lineRule="auto"/>
              <w:jc w:val="center"/>
              <w:rPr>
                <w:rFonts w:ascii="Calibri" w:eastAsia="Times New Roman" w:hAnsi="Calibri" w:cs="Calibri"/>
                <w:szCs w:val="24"/>
                <w:lang w:eastAsia="en-GB"/>
              </w:rPr>
            </w:pPr>
            <w:r>
              <w:rPr>
                <w:rFonts w:ascii="Calibri" w:eastAsia="Times New Roman" w:hAnsi="Calibri" w:cs="Calibri"/>
                <w:b/>
                <w:bCs/>
                <w:color w:val="00B050"/>
                <w:kern w:val="24"/>
                <w:szCs w:val="24"/>
                <w:lang w:eastAsia="en-GB"/>
              </w:rPr>
              <w:t>ON TRACK</w:t>
            </w:r>
          </w:p>
        </w:tc>
      </w:tr>
    </w:tbl>
    <w:p w14:paraId="64EC298F" w14:textId="2C082DA6" w:rsidR="00953894" w:rsidRDefault="00554F2A" w:rsidP="00953894">
      <w:pPr>
        <w:rPr>
          <w:rFonts w:ascii="Calibri" w:hAnsi="Calibri" w:cs="Calibri"/>
          <w:sz w:val="20"/>
          <w:szCs w:val="20"/>
        </w:rPr>
      </w:pPr>
      <w:r>
        <w:rPr>
          <w:rFonts w:ascii="Calibri" w:hAnsi="Calibri" w:cs="Calibri"/>
          <w:sz w:val="20"/>
          <w:szCs w:val="20"/>
        </w:rPr>
        <w:t>*Operating &lt;</w:t>
      </w:r>
      <w:r w:rsidR="00953894">
        <w:rPr>
          <w:rFonts w:ascii="Calibri" w:hAnsi="Calibri" w:cs="Calibri"/>
          <w:sz w:val="20"/>
          <w:szCs w:val="20"/>
        </w:rPr>
        <w:t xml:space="preserve"> 1% - on track, up to 10% minor slippage, over 10% major slippage (** Capital </w:t>
      </w:r>
      <w:r>
        <w:rPr>
          <w:rFonts w:ascii="Calibri" w:hAnsi="Calibri" w:cs="Calibri"/>
          <w:sz w:val="20"/>
          <w:szCs w:val="20"/>
        </w:rPr>
        <w:t>&lt;</w:t>
      </w:r>
      <w:r w:rsidR="00953894">
        <w:rPr>
          <w:rFonts w:ascii="Calibri" w:hAnsi="Calibri" w:cs="Calibri"/>
          <w:sz w:val="20"/>
          <w:szCs w:val="20"/>
        </w:rPr>
        <w:t xml:space="preserve"> 5% / up to 10%</w:t>
      </w:r>
      <w:r>
        <w:rPr>
          <w:rFonts w:ascii="Calibri" w:hAnsi="Calibri" w:cs="Calibri"/>
          <w:sz w:val="20"/>
          <w:szCs w:val="20"/>
        </w:rPr>
        <w:t xml:space="preserve"> </w:t>
      </w:r>
      <w:r w:rsidR="00953894">
        <w:rPr>
          <w:rFonts w:ascii="Calibri" w:hAnsi="Calibri" w:cs="Calibri"/>
          <w:sz w:val="20"/>
          <w:szCs w:val="20"/>
        </w:rPr>
        <w:t>)</w:t>
      </w:r>
    </w:p>
    <w:tbl>
      <w:tblPr>
        <w:tblStyle w:val="TableGrid"/>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Financial summary"/>
        <w:tblDescription w:val="Financial graphs and summary"/>
      </w:tblPr>
      <w:tblGrid>
        <w:gridCol w:w="6546"/>
        <w:gridCol w:w="3519"/>
      </w:tblGrid>
      <w:tr w:rsidR="00953894" w14:paraId="7501492A" w14:textId="77777777" w:rsidTr="00BA621F">
        <w:trPr>
          <w:cantSplit/>
          <w:tblHeader/>
        </w:trPr>
        <w:tc>
          <w:tcPr>
            <w:tcW w:w="6546" w:type="dxa"/>
            <w:vAlign w:val="center"/>
            <w:hideMark/>
          </w:tcPr>
          <w:p w14:paraId="5303327B" w14:textId="5DD2EA77" w:rsidR="00953894" w:rsidRDefault="00953894">
            <w:pPr>
              <w:rPr>
                <w:rFonts w:ascii="Calibri" w:hAnsi="Calibri" w:cs="Calibri"/>
                <w:color w:val="FFFFFF" w:themeColor="background1"/>
                <w:sz w:val="16"/>
                <w:szCs w:val="24"/>
              </w:rPr>
            </w:pPr>
            <w:proofErr w:type="spellStart"/>
            <w:r>
              <w:rPr>
                <w:rFonts w:ascii="Calibri" w:hAnsi="Calibri" w:cs="Calibri"/>
                <w:color w:val="FFFFFF" w:themeColor="background1"/>
                <w:sz w:val="16"/>
                <w:szCs w:val="24"/>
              </w:rPr>
              <w:t>inancial</w:t>
            </w:r>
            <w:proofErr w:type="spellEnd"/>
            <w:r>
              <w:rPr>
                <w:rFonts w:ascii="Calibri" w:hAnsi="Calibri" w:cs="Calibri"/>
                <w:color w:val="FFFFFF" w:themeColor="background1"/>
                <w:sz w:val="16"/>
                <w:szCs w:val="24"/>
              </w:rPr>
              <w:t xml:space="preserve"> graphs</w:t>
            </w:r>
          </w:p>
        </w:tc>
        <w:tc>
          <w:tcPr>
            <w:tcW w:w="3519" w:type="dxa"/>
            <w:vAlign w:val="center"/>
            <w:hideMark/>
          </w:tcPr>
          <w:p w14:paraId="3CB4893A" w14:textId="30C8F39C" w:rsidR="00953894" w:rsidRDefault="00953894" w:rsidP="00BA621F">
            <w:pPr>
              <w:rPr>
                <w:rFonts w:ascii="Calibri" w:hAnsi="Calibri" w:cs="Calibri"/>
                <w:color w:val="FFFFFF" w:themeColor="background1"/>
                <w:sz w:val="16"/>
                <w:szCs w:val="24"/>
              </w:rPr>
            </w:pPr>
          </w:p>
        </w:tc>
      </w:tr>
      <w:tr w:rsidR="00953894" w14:paraId="14A2981A" w14:textId="77777777" w:rsidTr="00BA621F">
        <w:trPr>
          <w:trHeight w:val="283"/>
        </w:trPr>
        <w:tc>
          <w:tcPr>
            <w:tcW w:w="6546" w:type="dxa"/>
            <w:hideMark/>
          </w:tcPr>
          <w:p w14:paraId="4D60BAF5" w14:textId="0A28027D" w:rsidR="00953894" w:rsidRDefault="00953894">
            <w:pPr>
              <w:rPr>
                <w:rFonts w:ascii="Calibri" w:hAnsi="Calibri" w:cs="Calibri"/>
                <w:szCs w:val="24"/>
              </w:rPr>
            </w:pPr>
            <w:r>
              <w:rPr>
                <w:rFonts w:ascii="Calibri" w:hAnsi="Calibri" w:cs="Calibri"/>
                <w:noProof/>
                <w:szCs w:val="24"/>
                <w:lang w:eastAsia="en-GB"/>
              </w:rPr>
              <w:drawing>
                <wp:inline distT="0" distB="0" distL="0" distR="0" wp14:anchorId="6EF43A07" wp14:editId="181B1289">
                  <wp:extent cx="4019550" cy="2254102"/>
                  <wp:effectExtent l="0" t="0" r="0" b="0"/>
                  <wp:docPr id="15" name="Picture 15" descr="graph" title="gra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3982132" cy="2233118"/>
                          </a:xfrm>
                          <a:prstGeom prst="rect">
                            <a:avLst/>
                          </a:prstGeom>
                          <a:noFill/>
                          <a:ln>
                            <a:noFill/>
                          </a:ln>
                        </pic:spPr>
                      </pic:pic>
                    </a:graphicData>
                  </a:graphic>
                </wp:inline>
              </w:drawing>
            </w:r>
          </w:p>
          <w:p w14:paraId="12F115A9" w14:textId="41B77B39" w:rsidR="00953894" w:rsidRDefault="00953894">
            <w:pPr>
              <w:rPr>
                <w:rFonts w:ascii="Calibri" w:hAnsi="Calibri" w:cs="Calibri"/>
                <w:szCs w:val="24"/>
              </w:rPr>
            </w:pPr>
            <w:r>
              <w:rPr>
                <w:rFonts w:ascii="Calibri" w:hAnsi="Calibri" w:cs="Calibri"/>
                <w:noProof/>
                <w:szCs w:val="24"/>
                <w:lang w:eastAsia="en-GB"/>
              </w:rPr>
              <w:lastRenderedPageBreak/>
              <w:drawing>
                <wp:inline distT="0" distB="0" distL="0" distR="0" wp14:anchorId="2A630BA4" wp14:editId="40FF1F50">
                  <wp:extent cx="4019550" cy="1990725"/>
                  <wp:effectExtent l="0" t="0" r="0" b="9525"/>
                  <wp:docPr id="2" name="Picture 2" descr="graph" title="gra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4019550" cy="1990725"/>
                          </a:xfrm>
                          <a:prstGeom prst="rect">
                            <a:avLst/>
                          </a:prstGeom>
                          <a:noFill/>
                          <a:ln>
                            <a:noFill/>
                          </a:ln>
                        </pic:spPr>
                      </pic:pic>
                    </a:graphicData>
                  </a:graphic>
                </wp:inline>
              </w:drawing>
            </w:r>
          </w:p>
        </w:tc>
        <w:tc>
          <w:tcPr>
            <w:tcW w:w="3519" w:type="dxa"/>
            <w:vAlign w:val="center"/>
          </w:tcPr>
          <w:p w14:paraId="46FA4B48" w14:textId="5BF0F068" w:rsidR="00953894" w:rsidRPr="00BA621F" w:rsidRDefault="00733EC2" w:rsidP="00554F2A">
            <w:pPr>
              <w:spacing w:line="276" w:lineRule="auto"/>
              <w:rPr>
                <w:rFonts w:ascii="Calibri" w:hAnsi="Calibri" w:cs="Calibri"/>
                <w:sz w:val="22"/>
              </w:rPr>
            </w:pPr>
            <w:r>
              <w:rPr>
                <w:rFonts w:ascii="Calibri" w:hAnsi="Calibri" w:cs="Calibri"/>
              </w:rPr>
              <w:lastRenderedPageBreak/>
              <w:t>The</w:t>
            </w:r>
            <w:r w:rsidRPr="00733EC2">
              <w:rPr>
                <w:rFonts w:ascii="Calibri" w:hAnsi="Calibri" w:cs="Calibri"/>
              </w:rPr>
              <w:t xml:space="preserve"> Corporate Forecast on Projects is £0.173m above target</w:t>
            </w:r>
            <w:r>
              <w:rPr>
                <w:rFonts w:ascii="Calibri" w:hAnsi="Calibri" w:cs="Calibri"/>
              </w:rPr>
              <w:t xml:space="preserve"> at the end of a year with co</w:t>
            </w:r>
            <w:r w:rsidR="00BA621F">
              <w:rPr>
                <w:rFonts w:ascii="Calibri" w:hAnsi="Calibri" w:cs="Calibri"/>
              </w:rPr>
              <w:t>nsiderable inflationary uplift</w:t>
            </w:r>
            <w:r>
              <w:rPr>
                <w:rFonts w:ascii="Calibri" w:hAnsi="Calibri" w:cs="Calibri"/>
              </w:rPr>
              <w:t>s as well as pressure on the projects budget from the</w:t>
            </w:r>
            <w:r w:rsidR="00BA621F">
              <w:rPr>
                <w:rFonts w:ascii="Calibri" w:hAnsi="Calibri" w:cs="Calibri"/>
              </w:rPr>
              <w:t xml:space="preserve"> additional </w:t>
            </w:r>
            <w:r>
              <w:rPr>
                <w:rFonts w:ascii="Calibri" w:hAnsi="Calibri" w:cs="Calibri"/>
              </w:rPr>
              <w:t xml:space="preserve">cost of the pay settlement for 22/23.  </w:t>
            </w:r>
            <w:r w:rsidR="00953894">
              <w:rPr>
                <w:rFonts w:ascii="Calibri" w:hAnsi="Calibri" w:cs="Calibri"/>
              </w:rPr>
              <w:t>The Project Allocation Forecast Tracker does not include ri</w:t>
            </w:r>
            <w:r w:rsidR="00BB7989">
              <w:rPr>
                <w:rFonts w:ascii="Calibri" w:hAnsi="Calibri" w:cs="Calibri"/>
              </w:rPr>
              <w:t>ng-fenced funds (</w:t>
            </w:r>
            <w:r>
              <w:rPr>
                <w:rFonts w:ascii="Calibri" w:hAnsi="Calibri" w:cs="Calibri"/>
              </w:rPr>
              <w:t>NRF</w:t>
            </w:r>
            <w:r w:rsidR="00953894">
              <w:rPr>
                <w:rFonts w:ascii="Calibri" w:hAnsi="Calibri" w:cs="Calibri"/>
              </w:rPr>
              <w:t xml:space="preserve">, BPF, Peatlands and </w:t>
            </w:r>
            <w:proofErr w:type="spellStart"/>
            <w:r w:rsidR="00953894">
              <w:rPr>
                <w:rFonts w:ascii="Calibri" w:hAnsi="Calibri" w:cs="Calibri"/>
              </w:rPr>
              <w:t>FwN</w:t>
            </w:r>
            <w:proofErr w:type="spellEnd"/>
            <w:r w:rsidR="00953894">
              <w:rPr>
                <w:rFonts w:ascii="Calibri" w:hAnsi="Calibri" w:cs="Calibri"/>
              </w:rPr>
              <w:t xml:space="preserve"> are </w:t>
            </w:r>
            <w:r w:rsidR="00BA621F">
              <w:rPr>
                <w:rFonts w:ascii="Calibri" w:hAnsi="Calibri" w:cs="Calibri"/>
              </w:rPr>
              <w:t>removed</w:t>
            </w:r>
            <w:r w:rsidR="00BB7989">
              <w:rPr>
                <w:rFonts w:ascii="Calibri" w:hAnsi="Calibri" w:cs="Calibri"/>
              </w:rPr>
              <w:t>)</w:t>
            </w:r>
            <w:r w:rsidR="00953894">
              <w:rPr>
                <w:rFonts w:ascii="Calibri" w:hAnsi="Calibri" w:cs="Calibri"/>
              </w:rPr>
              <w:t xml:space="preserve">.  </w:t>
            </w:r>
          </w:p>
          <w:p w14:paraId="2BAC8622" w14:textId="38B52C3A" w:rsidR="00953894" w:rsidRDefault="00953894" w:rsidP="00554F2A">
            <w:pPr>
              <w:spacing w:line="276" w:lineRule="auto"/>
              <w:rPr>
                <w:rFonts w:ascii="Calibri" w:hAnsi="Calibri" w:cs="Calibri"/>
                <w:sz w:val="22"/>
              </w:rPr>
            </w:pPr>
            <w:r>
              <w:rPr>
                <w:rFonts w:ascii="Calibri" w:hAnsi="Calibri" w:cs="Calibri"/>
              </w:rPr>
              <w:lastRenderedPageBreak/>
              <w:t>The paybill forecast is currently £0.1m below budget</w:t>
            </w:r>
            <w:r w:rsidR="00733EC2">
              <w:rPr>
                <w:rFonts w:ascii="Calibri" w:hAnsi="Calibri" w:cs="Calibri"/>
              </w:rPr>
              <w:t xml:space="preserve"> although this underspend m</w:t>
            </w:r>
            <w:r w:rsidR="00BA621F">
              <w:rPr>
                <w:rFonts w:ascii="Calibri" w:hAnsi="Calibri" w:cs="Calibri"/>
              </w:rPr>
              <w:t>a</w:t>
            </w:r>
            <w:r w:rsidR="00733EC2">
              <w:rPr>
                <w:rFonts w:ascii="Calibri" w:hAnsi="Calibri" w:cs="Calibri"/>
              </w:rPr>
              <w:t>y potentially reduce pending the outcome of final discussions on the 22/23 pay settlement.</w:t>
            </w:r>
            <w:r>
              <w:rPr>
                <w:rFonts w:ascii="Calibri" w:hAnsi="Calibri" w:cs="Calibri"/>
              </w:rPr>
              <w:t xml:space="preserve">  The </w:t>
            </w:r>
            <w:r w:rsidR="00733EC2">
              <w:rPr>
                <w:rFonts w:ascii="Calibri" w:hAnsi="Calibri" w:cs="Calibri"/>
              </w:rPr>
              <w:t xml:space="preserve">budget was increased following the transfer from </w:t>
            </w:r>
            <w:proofErr w:type="spellStart"/>
            <w:r w:rsidR="00733EC2">
              <w:rPr>
                <w:rFonts w:ascii="Calibri" w:hAnsi="Calibri" w:cs="Calibri"/>
              </w:rPr>
              <w:t>FwN</w:t>
            </w:r>
            <w:proofErr w:type="spellEnd"/>
            <w:r w:rsidR="00733EC2">
              <w:rPr>
                <w:rFonts w:ascii="Calibri" w:hAnsi="Calibri" w:cs="Calibri"/>
              </w:rPr>
              <w:t xml:space="preserve"> (£0.65m) and BPF (£0.19m) </w:t>
            </w:r>
            <w:r w:rsidR="00BA621F">
              <w:rPr>
                <w:rFonts w:ascii="Calibri" w:hAnsi="Calibri" w:cs="Calibri"/>
              </w:rPr>
              <w:t xml:space="preserve">as agreed by SG </w:t>
            </w:r>
            <w:r w:rsidR="00733EC2">
              <w:rPr>
                <w:rFonts w:ascii="Calibri" w:hAnsi="Calibri" w:cs="Calibri"/>
              </w:rPr>
              <w:t>to help cover the additional costs arising from the pay settlement.</w:t>
            </w:r>
          </w:p>
        </w:tc>
      </w:tr>
    </w:tbl>
    <w:p w14:paraId="1AF45D3E" w14:textId="6EE2D9AD" w:rsidR="00953894" w:rsidRDefault="00953894" w:rsidP="00953894">
      <w:pPr>
        <w:pStyle w:val="Heading2"/>
        <w:rPr>
          <w:rFonts w:cstheme="majorBidi"/>
          <w:b w:val="0"/>
          <w:sz w:val="28"/>
        </w:rPr>
      </w:pPr>
    </w:p>
    <w:p w14:paraId="1AF41FC5" w14:textId="46A09EAE" w:rsidR="00953894" w:rsidRDefault="00953894" w:rsidP="00953894">
      <w:pPr>
        <w:pStyle w:val="Heading2"/>
        <w:rPr>
          <w:rFonts w:ascii="Calibri" w:hAnsi="Calibri" w:cs="Calibri"/>
        </w:rPr>
      </w:pPr>
      <w:r>
        <w:rPr>
          <w:rFonts w:ascii="Calibri" w:hAnsi="Calibri" w:cs="Calibri"/>
        </w:rPr>
        <w:t>Finance</w:t>
      </w:r>
    </w:p>
    <w:p w14:paraId="724E4754" w14:textId="77777777" w:rsidR="00BB7989" w:rsidRDefault="00BB7989" w:rsidP="00953894">
      <w:pPr>
        <w:pStyle w:val="ListParagraph"/>
        <w:ind w:left="360"/>
        <w:rPr>
          <w:rFonts w:ascii="Calibri" w:hAnsi="Calibri" w:cs="Calibri"/>
          <w:b/>
          <w:szCs w:val="24"/>
        </w:rPr>
      </w:pPr>
    </w:p>
    <w:p w14:paraId="0DA2D429" w14:textId="15978ECF" w:rsidR="00953894" w:rsidRDefault="00953894" w:rsidP="00953894">
      <w:pPr>
        <w:pStyle w:val="ListParagraph"/>
        <w:ind w:left="360"/>
        <w:rPr>
          <w:rFonts w:ascii="Calibri" w:hAnsi="Calibri" w:cs="Calibri"/>
          <w:b/>
          <w:szCs w:val="24"/>
        </w:rPr>
      </w:pPr>
      <w:r>
        <w:rPr>
          <w:rFonts w:ascii="Calibri" w:hAnsi="Calibri" w:cs="Calibri"/>
          <w:b/>
          <w:szCs w:val="24"/>
        </w:rPr>
        <w:t>Resource Budget Performance</w:t>
      </w:r>
    </w:p>
    <w:p w14:paraId="7F701E5D" w14:textId="77777777" w:rsidR="00BB7989" w:rsidRDefault="00BB7989" w:rsidP="00953894">
      <w:pPr>
        <w:pStyle w:val="ListParagraph"/>
        <w:ind w:left="360"/>
        <w:rPr>
          <w:rFonts w:ascii="Calibri" w:hAnsi="Calibri" w:cs="Calibri"/>
          <w:szCs w:val="24"/>
        </w:rPr>
      </w:pPr>
    </w:p>
    <w:p w14:paraId="15BCC0D3" w14:textId="77777777" w:rsidR="00EA7660" w:rsidRDefault="00EA7660" w:rsidP="003E7B62">
      <w:pPr>
        <w:pStyle w:val="ListParagraph"/>
        <w:numPr>
          <w:ilvl w:val="0"/>
          <w:numId w:val="14"/>
        </w:numPr>
        <w:spacing w:after="0"/>
        <w:jc w:val="both"/>
        <w:rPr>
          <w:sz w:val="20"/>
        </w:rPr>
      </w:pPr>
      <w:r>
        <w:t>Of the £1.749m underspend reported</w:t>
      </w:r>
      <w:r>
        <w:rPr>
          <w:color w:val="1F497D"/>
        </w:rPr>
        <w:t xml:space="preserve"> </w:t>
      </w:r>
      <w:r>
        <w:t>on the Resource budget:</w:t>
      </w:r>
    </w:p>
    <w:p w14:paraId="053E2623" w14:textId="77777777" w:rsidR="00EA7660" w:rsidRDefault="00EA7660" w:rsidP="003E7B62">
      <w:pPr>
        <w:pStyle w:val="ListParagraph"/>
        <w:numPr>
          <w:ilvl w:val="1"/>
          <w:numId w:val="18"/>
        </w:numPr>
        <w:spacing w:after="0"/>
        <w:jc w:val="both"/>
      </w:pPr>
      <w:r>
        <w:t>£0.041m relates to our core grant in aid budget of £49.445m;</w:t>
      </w:r>
    </w:p>
    <w:p w14:paraId="3C49CB21" w14:textId="1495E171" w:rsidR="00EA7660" w:rsidRDefault="00EA7660" w:rsidP="003E7B62">
      <w:pPr>
        <w:pStyle w:val="ListParagraph"/>
        <w:numPr>
          <w:ilvl w:val="1"/>
          <w:numId w:val="18"/>
        </w:numPr>
        <w:spacing w:after="0"/>
        <w:jc w:val="both"/>
      </w:pPr>
      <w:r>
        <w:t>£1.209m is attributable to</w:t>
      </w:r>
      <w:r>
        <w:rPr>
          <w:color w:val="1F497D"/>
        </w:rPr>
        <w:t xml:space="preserve"> </w:t>
      </w:r>
      <w:r>
        <w:t>underspends on three of our Ring-fenced programmes (</w:t>
      </w:r>
      <w:r w:rsidR="00BB7989">
        <w:t>Peatlands, Farming with Nature and Better Places Fund</w:t>
      </w:r>
      <w:r>
        <w:t>);</w:t>
      </w:r>
    </w:p>
    <w:p w14:paraId="76029697" w14:textId="77777777" w:rsidR="00EA7660" w:rsidRDefault="00EA7660" w:rsidP="003E7B62">
      <w:pPr>
        <w:pStyle w:val="ListParagraph"/>
        <w:numPr>
          <w:ilvl w:val="1"/>
          <w:numId w:val="14"/>
        </w:numPr>
        <w:spacing w:after="0"/>
        <w:jc w:val="both"/>
      </w:pPr>
      <w:r>
        <w:t>£0.5m has resulted from IFRS16 adjustments to the non-controllable cash budget (Depreciation).</w:t>
      </w:r>
    </w:p>
    <w:p w14:paraId="0868B968" w14:textId="77777777" w:rsidR="00EA7660" w:rsidRPr="00EA7660" w:rsidRDefault="00EA7660" w:rsidP="003E7B62">
      <w:pPr>
        <w:pStyle w:val="ListParagraph"/>
        <w:numPr>
          <w:ilvl w:val="0"/>
          <w:numId w:val="14"/>
        </w:numPr>
        <w:spacing w:after="0"/>
        <w:ind w:left="720"/>
        <w:jc w:val="both"/>
        <w:rPr>
          <w:rFonts w:ascii="Calibri" w:hAnsi="Calibri" w:cs="Calibri"/>
          <w:szCs w:val="24"/>
        </w:rPr>
      </w:pPr>
      <w:r>
        <w:t xml:space="preserve">The Paybill forecast of £34.510m (including the ring fenced programmes) represents an underspend of £0.091m following the addition of budget transfers from Farming with Nature (£0.650m) and Better Places Fund (£0.190m) as agreed by SG.  </w:t>
      </w:r>
    </w:p>
    <w:p w14:paraId="17D968CC" w14:textId="3ACBD2DD" w:rsidR="00EA7660" w:rsidRPr="00EA7660" w:rsidRDefault="00EA7660" w:rsidP="003E7B62">
      <w:pPr>
        <w:pStyle w:val="ListParagraph"/>
        <w:numPr>
          <w:ilvl w:val="0"/>
          <w:numId w:val="14"/>
        </w:numPr>
        <w:spacing w:after="0"/>
        <w:ind w:left="720"/>
        <w:jc w:val="both"/>
        <w:rPr>
          <w:rFonts w:ascii="Calibri" w:hAnsi="Calibri" w:cs="Calibri"/>
          <w:szCs w:val="24"/>
        </w:rPr>
      </w:pPr>
      <w:r>
        <w:t>Late in 2022, a welcome but unexpected additional budget allocation of £0.490m was made which has been factored in to the forecast outturn.</w:t>
      </w:r>
    </w:p>
    <w:p w14:paraId="3865456C" w14:textId="44036581" w:rsidR="00EA7660" w:rsidRPr="00EA7660" w:rsidRDefault="00EA7660" w:rsidP="003E7B62">
      <w:pPr>
        <w:pStyle w:val="ListParagraph"/>
        <w:numPr>
          <w:ilvl w:val="0"/>
          <w:numId w:val="14"/>
        </w:numPr>
        <w:spacing w:after="0"/>
        <w:ind w:left="720"/>
        <w:jc w:val="both"/>
        <w:rPr>
          <w:rFonts w:ascii="Calibri" w:hAnsi="Calibri" w:cs="Calibri"/>
          <w:szCs w:val="24"/>
        </w:rPr>
      </w:pPr>
      <w:r>
        <w:t>Of the £1.209 resource underspend on ring-fenced programmes, the majority is recorded against Farming with Nature (£0.951m).  Delays in decisions / input required from SG was the main contributing factor here.</w:t>
      </w:r>
    </w:p>
    <w:p w14:paraId="0CE01203" w14:textId="00BD4234" w:rsidR="00BA621F" w:rsidRDefault="00EA7660" w:rsidP="003E7B62">
      <w:pPr>
        <w:pStyle w:val="ListParagraph"/>
        <w:numPr>
          <w:ilvl w:val="0"/>
          <w:numId w:val="14"/>
        </w:numPr>
        <w:spacing w:after="0"/>
        <w:ind w:left="720"/>
        <w:jc w:val="both"/>
        <w:rPr>
          <w:rFonts w:ascii="Calibri" w:hAnsi="Calibri" w:cs="Calibri"/>
          <w:szCs w:val="24"/>
        </w:rPr>
      </w:pPr>
      <w:r>
        <w:rPr>
          <w:rFonts w:ascii="Calibri" w:hAnsi="Calibri" w:cs="Calibri"/>
          <w:szCs w:val="24"/>
        </w:rPr>
        <w:t>B</w:t>
      </w:r>
      <w:r w:rsidR="00953894" w:rsidRPr="00EA7660">
        <w:rPr>
          <w:rFonts w:ascii="Calibri" w:hAnsi="Calibri" w:cs="Calibri"/>
          <w:szCs w:val="24"/>
        </w:rPr>
        <w:t>usiness partnering continued into Q4.  The Budgets team challenged uncommitted budgets to ensure that allocations were optimised with respect to high priority work considered achievable during the remainder of the year.</w:t>
      </w:r>
    </w:p>
    <w:p w14:paraId="01997CBC" w14:textId="0F8C1A77" w:rsidR="00953894" w:rsidRPr="00EA7660" w:rsidRDefault="00953894" w:rsidP="00BA621F">
      <w:pPr>
        <w:pStyle w:val="ListParagraph"/>
        <w:spacing w:after="0"/>
        <w:jc w:val="both"/>
        <w:rPr>
          <w:rFonts w:ascii="Calibri" w:hAnsi="Calibri" w:cs="Calibri"/>
          <w:szCs w:val="24"/>
        </w:rPr>
      </w:pPr>
      <w:r w:rsidRPr="00EA7660">
        <w:rPr>
          <w:rFonts w:ascii="Calibri" w:hAnsi="Calibri" w:cs="Calibri"/>
          <w:szCs w:val="24"/>
        </w:rPr>
        <w:t xml:space="preserve"> </w:t>
      </w:r>
    </w:p>
    <w:p w14:paraId="1FC46143" w14:textId="77777777" w:rsidR="00953894" w:rsidRDefault="00953894" w:rsidP="00953894">
      <w:pPr>
        <w:keepNext/>
        <w:keepLines/>
        <w:ind w:left="360"/>
        <w:contextualSpacing/>
        <w:outlineLvl w:val="1"/>
        <w:rPr>
          <w:rFonts w:ascii="Calibri" w:eastAsia="Times New Roman" w:hAnsi="Calibri" w:cs="Calibri"/>
          <w:b/>
          <w:szCs w:val="24"/>
        </w:rPr>
      </w:pPr>
      <w:r>
        <w:rPr>
          <w:rFonts w:ascii="Calibri" w:eastAsia="Times New Roman" w:hAnsi="Calibri" w:cs="Calibri"/>
          <w:b/>
          <w:szCs w:val="24"/>
        </w:rPr>
        <w:t>Indirect Capital Funding Programmes (including Peatlands)</w:t>
      </w:r>
    </w:p>
    <w:p w14:paraId="4BD400CF" w14:textId="1515427A" w:rsidR="00953894" w:rsidRDefault="00953894" w:rsidP="003E7B62">
      <w:pPr>
        <w:pStyle w:val="ListParagraph"/>
        <w:numPr>
          <w:ilvl w:val="0"/>
          <w:numId w:val="15"/>
        </w:numPr>
        <w:spacing w:line="256" w:lineRule="auto"/>
        <w:ind w:left="714" w:hanging="357"/>
        <w:rPr>
          <w:rFonts w:ascii="Calibri" w:hAnsi="Calibri" w:cs="Calibri"/>
          <w:szCs w:val="24"/>
        </w:rPr>
      </w:pPr>
      <w:r>
        <w:rPr>
          <w:rFonts w:ascii="Calibri" w:hAnsi="Calibri" w:cs="Calibri"/>
          <w:szCs w:val="24"/>
        </w:rPr>
        <w:t>We are forecasting an overall overspe</w:t>
      </w:r>
      <w:r w:rsidR="00BA621F">
        <w:rPr>
          <w:rFonts w:ascii="Calibri" w:hAnsi="Calibri" w:cs="Calibri"/>
          <w:szCs w:val="24"/>
        </w:rPr>
        <w:t>nd on Indirect Capital of £0.184</w:t>
      </w:r>
      <w:r>
        <w:rPr>
          <w:rFonts w:ascii="Calibri" w:hAnsi="Calibri" w:cs="Calibri"/>
          <w:szCs w:val="24"/>
        </w:rPr>
        <w:t xml:space="preserve">m.  </w:t>
      </w:r>
    </w:p>
    <w:p w14:paraId="5C760BB9" w14:textId="77777777" w:rsidR="00BA621F" w:rsidRDefault="00BA621F" w:rsidP="003E7B62">
      <w:pPr>
        <w:pStyle w:val="ListParagraph"/>
        <w:numPr>
          <w:ilvl w:val="0"/>
          <w:numId w:val="15"/>
        </w:numPr>
        <w:rPr>
          <w:sz w:val="20"/>
        </w:rPr>
      </w:pPr>
      <w:r>
        <w:t xml:space="preserve">The Peatlands budget is £10.440m.  The current forecast is £10.481m with </w:t>
      </w:r>
      <w:proofErr w:type="gramStart"/>
      <w:r>
        <w:t>an underspend</w:t>
      </w:r>
      <w:proofErr w:type="gramEnd"/>
      <w:r>
        <w:t xml:space="preserve"> of £0.196m on Resource and an overspend of £0.237m on Indirect Capital.</w:t>
      </w:r>
    </w:p>
    <w:p w14:paraId="37AC8FE0" w14:textId="77777777" w:rsidR="00BA621F" w:rsidRDefault="00BA621F" w:rsidP="003E7B62">
      <w:pPr>
        <w:pStyle w:val="ListParagraph"/>
        <w:numPr>
          <w:ilvl w:val="0"/>
          <w:numId w:val="15"/>
        </w:numPr>
      </w:pPr>
      <w:r>
        <w:t xml:space="preserve">The NRF budget is £5.779m.  The current forecast is £5.528m with </w:t>
      </w:r>
      <w:proofErr w:type="gramStart"/>
      <w:r>
        <w:t>an overspend</w:t>
      </w:r>
      <w:proofErr w:type="gramEnd"/>
      <w:r>
        <w:t xml:space="preserve"> of £0.061m on Resource and an underspend of £0.312m on Indirect Capital.</w:t>
      </w:r>
    </w:p>
    <w:p w14:paraId="72184BC7" w14:textId="77777777" w:rsidR="00BA621F" w:rsidRDefault="00BA621F" w:rsidP="003E7B62">
      <w:pPr>
        <w:pStyle w:val="ListParagraph"/>
        <w:numPr>
          <w:ilvl w:val="0"/>
          <w:numId w:val="15"/>
        </w:numPr>
        <w:spacing w:after="0"/>
        <w:jc w:val="both"/>
      </w:pPr>
      <w:r>
        <w:lastRenderedPageBreak/>
        <w:t xml:space="preserve">The BPF budget is £1.31m.  The current forecast is £1.187m with </w:t>
      </w:r>
      <w:proofErr w:type="gramStart"/>
      <w:r>
        <w:t>an underspend</w:t>
      </w:r>
      <w:proofErr w:type="gramEnd"/>
      <w:r>
        <w:t xml:space="preserve"> of £0.122m on Resource.  It is worth noting that further demand of approx. £0.2m was not taken forward during the year due to anticipated budget pressures at that point.</w:t>
      </w:r>
    </w:p>
    <w:p w14:paraId="7B6079E6" w14:textId="29201578" w:rsidR="00953894" w:rsidRDefault="00BA621F" w:rsidP="003E7B62">
      <w:pPr>
        <w:pStyle w:val="ListParagraph"/>
        <w:numPr>
          <w:ilvl w:val="0"/>
          <w:numId w:val="15"/>
        </w:numPr>
        <w:rPr>
          <w:rFonts w:ascii="Calibri" w:hAnsi="Calibri" w:cs="Calibri"/>
          <w:szCs w:val="24"/>
        </w:rPr>
      </w:pPr>
      <w:r>
        <w:rPr>
          <w:rFonts w:ascii="Calibri" w:hAnsi="Calibri" w:cs="Calibri"/>
          <w:szCs w:val="24"/>
        </w:rPr>
        <w:t xml:space="preserve"> </w:t>
      </w:r>
      <w:r w:rsidR="00953894">
        <w:rPr>
          <w:rFonts w:ascii="Calibri" w:hAnsi="Calibri" w:cs="Calibri"/>
          <w:szCs w:val="24"/>
        </w:rPr>
        <w:t xml:space="preserve">Slippage from 2021/22 Biodiversity Challenge Fund (BCF) grants is being funded from the Nature Restoration Fund budget: Indirect Capital budget (£0.347m) and Resource budget (£0.016m).  </w:t>
      </w:r>
    </w:p>
    <w:p w14:paraId="3F3177D9" w14:textId="77777777" w:rsidR="00953894" w:rsidRDefault="00953894" w:rsidP="003E7B62">
      <w:pPr>
        <w:pStyle w:val="ListParagraph"/>
        <w:numPr>
          <w:ilvl w:val="0"/>
          <w:numId w:val="14"/>
        </w:numPr>
        <w:ind w:left="720"/>
        <w:rPr>
          <w:rFonts w:ascii="Calibri" w:hAnsi="Calibri" w:cs="Calibri"/>
          <w:szCs w:val="24"/>
        </w:rPr>
      </w:pPr>
      <w:r>
        <w:rPr>
          <w:rFonts w:ascii="Calibri" w:hAnsi="Calibri" w:cs="Calibri"/>
          <w:szCs w:val="24"/>
        </w:rPr>
        <w:t>The Scottish Marine Environmental Enhancement Fund is also being funded from the Nature Restoration Fund Indirect Capital budget (£0.863m).</w:t>
      </w:r>
    </w:p>
    <w:p w14:paraId="67CF8D15" w14:textId="2FBF7FB9" w:rsidR="00953894" w:rsidRDefault="00953894" w:rsidP="003E7B62">
      <w:pPr>
        <w:pStyle w:val="ListParagraph"/>
        <w:numPr>
          <w:ilvl w:val="0"/>
          <w:numId w:val="14"/>
        </w:numPr>
        <w:ind w:left="720"/>
        <w:rPr>
          <w:rFonts w:ascii="Calibri" w:hAnsi="Calibri" w:cs="Calibri"/>
          <w:szCs w:val="24"/>
        </w:rPr>
      </w:pPr>
      <w:r>
        <w:rPr>
          <w:rFonts w:ascii="Calibri" w:hAnsi="Calibri" w:cs="Calibri"/>
          <w:szCs w:val="24"/>
        </w:rPr>
        <w:t xml:space="preserve">The impact of slippage on large value programmes presents a risk to spend levels.  The anticipated corporate slippage </w:t>
      </w:r>
      <w:r w:rsidR="00BB7989">
        <w:rPr>
          <w:rFonts w:ascii="Calibri" w:hAnsi="Calibri" w:cs="Calibri"/>
          <w:szCs w:val="24"/>
        </w:rPr>
        <w:t xml:space="preserve">now applied at the end of the financial </w:t>
      </w:r>
      <w:r>
        <w:rPr>
          <w:rFonts w:ascii="Calibri" w:hAnsi="Calibri" w:cs="Calibri"/>
          <w:szCs w:val="24"/>
        </w:rPr>
        <w:t>year is based on</w:t>
      </w:r>
      <w:r w:rsidR="00BB7989">
        <w:rPr>
          <w:rFonts w:ascii="Calibri" w:hAnsi="Calibri" w:cs="Calibri"/>
          <w:szCs w:val="24"/>
        </w:rPr>
        <w:t xml:space="preserve"> the</w:t>
      </w:r>
      <w:r>
        <w:rPr>
          <w:rFonts w:ascii="Calibri" w:hAnsi="Calibri" w:cs="Calibri"/>
          <w:szCs w:val="24"/>
        </w:rPr>
        <w:t xml:space="preserve"> remaining commitment (£0.209m).  This is split against Indirect Capital (£0.157m) and Resource (£0.052m).</w:t>
      </w:r>
    </w:p>
    <w:p w14:paraId="206442E3" w14:textId="5E04FF26" w:rsidR="00953894" w:rsidRDefault="00953894" w:rsidP="003E7B62">
      <w:pPr>
        <w:pStyle w:val="ListParagraph"/>
        <w:numPr>
          <w:ilvl w:val="0"/>
          <w:numId w:val="14"/>
        </w:numPr>
        <w:ind w:left="720"/>
        <w:rPr>
          <w:rFonts w:ascii="Calibri" w:hAnsi="Calibri" w:cs="Calibri"/>
          <w:szCs w:val="24"/>
        </w:rPr>
      </w:pPr>
      <w:r>
        <w:rPr>
          <w:rFonts w:ascii="Calibri" w:hAnsi="Calibri" w:cs="Calibri"/>
          <w:szCs w:val="24"/>
        </w:rPr>
        <w:t xml:space="preserve">SG confirmed </w:t>
      </w:r>
      <w:r w:rsidR="00BB7989">
        <w:rPr>
          <w:rFonts w:ascii="Calibri" w:hAnsi="Calibri" w:cs="Calibri"/>
          <w:szCs w:val="24"/>
        </w:rPr>
        <w:t>that they wouldn</w:t>
      </w:r>
      <w:r>
        <w:rPr>
          <w:rFonts w:ascii="Calibri" w:hAnsi="Calibri" w:cs="Calibri"/>
          <w:szCs w:val="24"/>
        </w:rPr>
        <w:t>’t be funding the 21/22 slippage of £0.150m for GovTech.  We are funding this from the anticipated corporate slippage.</w:t>
      </w:r>
    </w:p>
    <w:p w14:paraId="4166B34A" w14:textId="77777777" w:rsidR="00953894" w:rsidRDefault="00953894" w:rsidP="003E7B62">
      <w:pPr>
        <w:pStyle w:val="ListParagraph"/>
        <w:numPr>
          <w:ilvl w:val="0"/>
          <w:numId w:val="14"/>
        </w:numPr>
        <w:ind w:left="720"/>
        <w:rPr>
          <w:rFonts w:ascii="Calibri" w:hAnsi="Calibri" w:cs="Calibri"/>
          <w:szCs w:val="24"/>
        </w:rPr>
      </w:pPr>
      <w:r>
        <w:rPr>
          <w:rFonts w:ascii="Calibri" w:hAnsi="Calibri" w:cs="Calibri"/>
          <w:szCs w:val="24"/>
        </w:rPr>
        <w:t>We are also funding slippage from 2021/22 Wee Forests Pilot of £0.109m from the anticipated corporate slippage.</w:t>
      </w:r>
    </w:p>
    <w:p w14:paraId="1BF8F9E6" w14:textId="77777777" w:rsidR="00953894" w:rsidRDefault="00953894" w:rsidP="00953894">
      <w:pPr>
        <w:keepNext/>
        <w:keepLines/>
        <w:ind w:left="360"/>
        <w:contextualSpacing/>
        <w:outlineLvl w:val="1"/>
        <w:rPr>
          <w:rFonts w:ascii="Calibri" w:eastAsia="Times New Roman" w:hAnsi="Calibri" w:cs="Calibri"/>
          <w:szCs w:val="24"/>
        </w:rPr>
      </w:pPr>
      <w:r>
        <w:rPr>
          <w:rFonts w:ascii="Calibri" w:eastAsia="Times New Roman" w:hAnsi="Calibri" w:cs="Calibri"/>
          <w:b/>
          <w:szCs w:val="24"/>
        </w:rPr>
        <w:t>Structural Funds Programmes</w:t>
      </w:r>
    </w:p>
    <w:p w14:paraId="0933A0F6" w14:textId="7C976BFB" w:rsidR="00953894" w:rsidRDefault="00AF0742" w:rsidP="003E7B62">
      <w:pPr>
        <w:pStyle w:val="ListParagraph"/>
        <w:numPr>
          <w:ilvl w:val="0"/>
          <w:numId w:val="16"/>
        </w:numPr>
        <w:rPr>
          <w:rFonts w:ascii="Calibri" w:hAnsi="Calibri" w:cs="Calibri"/>
          <w:szCs w:val="24"/>
        </w:rPr>
      </w:pPr>
      <w:r w:rsidRPr="00AF0742">
        <w:rPr>
          <w:rFonts w:ascii="Calibri" w:hAnsi="Calibri" w:cs="Calibri"/>
          <w:szCs w:val="24"/>
        </w:rPr>
        <w:t xml:space="preserve">NatureScot has paid </w:t>
      </w:r>
      <w:r w:rsidR="00BB7989" w:rsidRPr="00BB7989">
        <w:rPr>
          <w:rFonts w:ascii="Calibri" w:hAnsi="Calibri" w:cs="Calibri"/>
          <w:szCs w:val="24"/>
        </w:rPr>
        <w:t>£4.9</w:t>
      </w:r>
      <w:r w:rsidRPr="00BB7989">
        <w:rPr>
          <w:rFonts w:ascii="Calibri" w:hAnsi="Calibri" w:cs="Calibri"/>
          <w:szCs w:val="24"/>
        </w:rPr>
        <w:t>m t</w:t>
      </w:r>
      <w:r w:rsidRPr="00AF0742">
        <w:rPr>
          <w:rFonts w:ascii="Calibri" w:hAnsi="Calibri" w:cs="Calibri"/>
          <w:szCs w:val="24"/>
        </w:rPr>
        <w:t>o grantees in advance of these claims being submitted to SG. However, since the Managing Authority has informe</w:t>
      </w:r>
      <w:r w:rsidR="00BB7989">
        <w:rPr>
          <w:rFonts w:ascii="Calibri" w:hAnsi="Calibri" w:cs="Calibri"/>
          <w:szCs w:val="24"/>
        </w:rPr>
        <w:t>d us that it would only accept two</w:t>
      </w:r>
      <w:r w:rsidRPr="00AF0742">
        <w:rPr>
          <w:rFonts w:ascii="Calibri" w:hAnsi="Calibri" w:cs="Calibri"/>
          <w:szCs w:val="24"/>
        </w:rPr>
        <w:t xml:space="preserve"> more claims from each fund, these claims have not been submitted to the MA yet, but are being held back (and added to) to form part of the penultimate claim for each fund.</w:t>
      </w:r>
    </w:p>
    <w:p w14:paraId="653312C3" w14:textId="1909799C" w:rsidR="00554F2A" w:rsidRPr="00AF0742" w:rsidRDefault="00554F2A" w:rsidP="003E7B62">
      <w:pPr>
        <w:pStyle w:val="ListParagraph"/>
        <w:numPr>
          <w:ilvl w:val="0"/>
          <w:numId w:val="16"/>
        </w:numPr>
        <w:rPr>
          <w:rFonts w:ascii="Calibri" w:hAnsi="Calibri" w:cs="Calibri"/>
          <w:szCs w:val="24"/>
        </w:rPr>
      </w:pPr>
      <w:r w:rsidRPr="00554F2A">
        <w:rPr>
          <w:rFonts w:ascii="Calibri" w:hAnsi="Calibri" w:cs="Calibri"/>
          <w:szCs w:val="24"/>
        </w:rPr>
        <w:t xml:space="preserve">We have been advised that an arrangement to provide cover for the risk of de-commitment over the remainder of the programme will not be forthcoming.  However, a recent external Scottish Government audit of our claims process provides reassurance that risks of de-commitment are being well managed.  </w:t>
      </w:r>
    </w:p>
    <w:p w14:paraId="1CB2B019" w14:textId="77777777" w:rsidR="00953894" w:rsidRDefault="00953894" w:rsidP="00953894">
      <w:pPr>
        <w:keepNext/>
        <w:keepLines/>
        <w:ind w:left="360"/>
        <w:contextualSpacing/>
        <w:outlineLvl w:val="1"/>
        <w:rPr>
          <w:rFonts w:ascii="Calibri" w:eastAsia="Times New Roman" w:hAnsi="Calibri" w:cs="Calibri"/>
          <w:szCs w:val="24"/>
        </w:rPr>
      </w:pPr>
      <w:r>
        <w:rPr>
          <w:rFonts w:ascii="Calibri" w:eastAsia="Times New Roman" w:hAnsi="Calibri" w:cs="Calibri"/>
          <w:b/>
          <w:szCs w:val="24"/>
        </w:rPr>
        <w:t>Capital Budget Performance</w:t>
      </w:r>
    </w:p>
    <w:p w14:paraId="0E1A6170" w14:textId="1D63459F" w:rsidR="00953894" w:rsidRDefault="00953894" w:rsidP="003E7B62">
      <w:pPr>
        <w:pStyle w:val="ListParagraph"/>
        <w:numPr>
          <w:ilvl w:val="0"/>
          <w:numId w:val="14"/>
        </w:numPr>
        <w:spacing w:after="120"/>
        <w:ind w:left="720"/>
        <w:jc w:val="both"/>
        <w:rPr>
          <w:rFonts w:ascii="Calibri" w:hAnsi="Calibri" w:cs="Calibri"/>
          <w:szCs w:val="24"/>
        </w:rPr>
      </w:pPr>
      <w:r>
        <w:rPr>
          <w:rFonts w:ascii="Calibri" w:hAnsi="Calibri" w:cs="Calibri"/>
          <w:szCs w:val="24"/>
        </w:rPr>
        <w:t>Our reported underspend on Dir</w:t>
      </w:r>
      <w:r w:rsidR="00BA621F">
        <w:rPr>
          <w:rFonts w:ascii="Calibri" w:hAnsi="Calibri" w:cs="Calibri"/>
          <w:szCs w:val="24"/>
        </w:rPr>
        <w:t>ect Capital has reduced to £0.216</w:t>
      </w:r>
      <w:r>
        <w:rPr>
          <w:rFonts w:ascii="Calibri" w:hAnsi="Calibri" w:cs="Calibri"/>
          <w:szCs w:val="24"/>
        </w:rPr>
        <w:t>m due to a proportion of the GGH PV project being able to progress, the IFRS-16 lease expenditure and a Capital grant in-kind being included in the numbers.</w:t>
      </w:r>
    </w:p>
    <w:p w14:paraId="40E04DCB" w14:textId="536AF34A" w:rsidR="00953894" w:rsidRDefault="00953894" w:rsidP="003E7B62">
      <w:pPr>
        <w:pStyle w:val="ListParagraph"/>
        <w:numPr>
          <w:ilvl w:val="0"/>
          <w:numId w:val="14"/>
        </w:numPr>
        <w:spacing w:after="120"/>
        <w:ind w:left="720"/>
        <w:jc w:val="both"/>
        <w:rPr>
          <w:rFonts w:ascii="Calibri" w:hAnsi="Calibri" w:cs="Calibri"/>
          <w:szCs w:val="24"/>
        </w:rPr>
      </w:pPr>
      <w:r>
        <w:rPr>
          <w:rFonts w:ascii="Calibri" w:hAnsi="Calibri" w:cs="Calibri"/>
          <w:szCs w:val="24"/>
        </w:rPr>
        <w:t xml:space="preserve">We have included the sale of </w:t>
      </w:r>
      <w:proofErr w:type="spellStart"/>
      <w:r>
        <w:rPr>
          <w:rFonts w:ascii="Calibri" w:hAnsi="Calibri" w:cs="Calibri"/>
          <w:szCs w:val="24"/>
        </w:rPr>
        <w:t>Glencripesdale</w:t>
      </w:r>
      <w:proofErr w:type="spellEnd"/>
      <w:r>
        <w:rPr>
          <w:rFonts w:ascii="Calibri" w:hAnsi="Calibri" w:cs="Calibri"/>
          <w:szCs w:val="24"/>
        </w:rPr>
        <w:t xml:space="preserve"> in the NBV figures which </w:t>
      </w:r>
      <w:r w:rsidR="00BA621F">
        <w:rPr>
          <w:rFonts w:ascii="Calibri" w:hAnsi="Calibri" w:cs="Calibri"/>
          <w:szCs w:val="24"/>
        </w:rPr>
        <w:t>has increased</w:t>
      </w:r>
      <w:r>
        <w:rPr>
          <w:rFonts w:ascii="Calibri" w:hAnsi="Calibri" w:cs="Calibri"/>
          <w:szCs w:val="24"/>
        </w:rPr>
        <w:t xml:space="preserve"> our ability to spend on Capital projects by £0.750m.  </w:t>
      </w:r>
    </w:p>
    <w:p w14:paraId="465F6219" w14:textId="77777777" w:rsidR="00661467" w:rsidRDefault="00661467">
      <w:pPr>
        <w:rPr>
          <w:rFonts w:ascii="Calibri" w:eastAsiaTheme="majorEastAsia" w:hAnsi="Calibri" w:cs="Calibri"/>
          <w:b/>
          <w:color w:val="5E8CC0"/>
          <w:szCs w:val="26"/>
        </w:rPr>
      </w:pPr>
      <w:r>
        <w:rPr>
          <w:rFonts w:ascii="Calibri" w:hAnsi="Calibri" w:cs="Calibri"/>
          <w:color w:val="5E8CC0"/>
        </w:rPr>
        <w:br w:type="page"/>
      </w:r>
    </w:p>
    <w:p w14:paraId="19B96A26" w14:textId="471D33F7" w:rsidR="00D72178" w:rsidRDefault="00D72178" w:rsidP="001F5F6E">
      <w:pPr>
        <w:pStyle w:val="Heading2"/>
        <w:rPr>
          <w:rFonts w:ascii="Calibri" w:hAnsi="Calibri" w:cs="Calibri"/>
          <w:color w:val="5E8CC0"/>
        </w:rPr>
      </w:pPr>
      <w:r w:rsidRPr="001F5F6E">
        <w:rPr>
          <w:rFonts w:ascii="Calibri" w:hAnsi="Calibri" w:cs="Calibri"/>
          <w:color w:val="5E8CC0"/>
        </w:rPr>
        <w:lastRenderedPageBreak/>
        <w:t>RISK</w:t>
      </w:r>
      <w:r w:rsidR="004C546D" w:rsidRPr="001F5F6E">
        <w:rPr>
          <w:rFonts w:ascii="Calibri" w:hAnsi="Calibri" w:cs="Calibri"/>
          <w:color w:val="5E8CC0"/>
        </w:rPr>
        <w:t xml:space="preserve"> </w:t>
      </w:r>
    </w:p>
    <w:p w14:paraId="57E0C98D" w14:textId="77777777" w:rsidR="001F5F6E" w:rsidRPr="001F5F6E" w:rsidRDefault="001F5F6E" w:rsidP="001F5F6E"/>
    <w:tbl>
      <w:tblPr>
        <w:tblW w:w="0" w:type="auto"/>
        <w:tblInd w:w="421" w:type="dxa"/>
        <w:tblBorders>
          <w:top w:val="single" w:sz="4" w:space="0" w:color="auto"/>
          <w:left w:val="single" w:sz="4" w:space="0" w:color="auto"/>
          <w:bottom w:val="single" w:sz="4" w:space="0" w:color="auto"/>
          <w:right w:val="single" w:sz="4" w:space="0" w:color="auto"/>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5518"/>
        <w:gridCol w:w="3057"/>
      </w:tblGrid>
      <w:tr w:rsidR="00F77EE9" w:rsidRPr="00D52779" w14:paraId="582148F7" w14:textId="77777777" w:rsidTr="000332EB">
        <w:trPr>
          <w:cantSplit/>
          <w:trHeight w:val="284"/>
          <w:tblHeader/>
        </w:trPr>
        <w:tc>
          <w:tcPr>
            <w:tcW w:w="5518" w:type="dxa"/>
            <w:tcBorders>
              <w:top w:val="single" w:sz="12" w:space="0" w:color="auto"/>
              <w:left w:val="single" w:sz="12" w:space="0" w:color="auto"/>
              <w:bottom w:val="single" w:sz="12" w:space="0" w:color="auto"/>
              <w:right w:val="single" w:sz="12" w:space="0" w:color="auto"/>
            </w:tcBorders>
            <w:shd w:val="clear" w:color="auto" w:fill="5E8CC0"/>
            <w:vAlign w:val="bottom"/>
          </w:tcPr>
          <w:p w14:paraId="7929EDCC" w14:textId="77777777" w:rsidR="00D72178" w:rsidRPr="00FE4730" w:rsidRDefault="00D72178" w:rsidP="000419B1">
            <w:pPr>
              <w:rPr>
                <w:rFonts w:ascii="Calibri" w:hAnsi="Calibri" w:cs="Calibri"/>
                <w:color w:val="1F497D" w:themeColor="text2"/>
                <w:szCs w:val="24"/>
                <w:highlight w:val="yellow"/>
              </w:rPr>
            </w:pPr>
            <w:r w:rsidRPr="00F77EE9">
              <w:rPr>
                <w:rFonts w:ascii="Calibri" w:hAnsi="Calibri" w:cs="Calibri"/>
                <w:szCs w:val="24"/>
              </w:rPr>
              <w:t>Corporate Risks</w:t>
            </w:r>
          </w:p>
        </w:tc>
        <w:tc>
          <w:tcPr>
            <w:tcW w:w="3057" w:type="dxa"/>
            <w:tcBorders>
              <w:top w:val="single" w:sz="12" w:space="0" w:color="auto"/>
              <w:left w:val="single" w:sz="12" w:space="0" w:color="auto"/>
              <w:bottom w:val="single" w:sz="12" w:space="0" w:color="auto"/>
              <w:right w:val="single" w:sz="12" w:space="0" w:color="auto"/>
            </w:tcBorders>
            <w:shd w:val="clear" w:color="auto" w:fill="5E8CC0"/>
          </w:tcPr>
          <w:p w14:paraId="58949B93" w14:textId="77777777" w:rsidR="00D72178" w:rsidRPr="00FE4730" w:rsidRDefault="00D72178" w:rsidP="000419B1">
            <w:pPr>
              <w:rPr>
                <w:rFonts w:ascii="Calibri" w:hAnsi="Calibri" w:cs="Calibri"/>
                <w:color w:val="1F497D" w:themeColor="text2"/>
                <w:szCs w:val="24"/>
                <w:highlight w:val="yellow"/>
              </w:rPr>
            </w:pPr>
            <w:r w:rsidRPr="00F77EE9">
              <w:rPr>
                <w:rFonts w:ascii="Calibri" w:hAnsi="Calibri" w:cs="Calibri"/>
                <w:szCs w:val="24"/>
              </w:rPr>
              <w:t>Risk Changes</w:t>
            </w:r>
          </w:p>
        </w:tc>
      </w:tr>
      <w:tr w:rsidR="00F77EE9" w:rsidRPr="004D18D9" w14:paraId="6BC3B847" w14:textId="77777777" w:rsidTr="000332EB">
        <w:trPr>
          <w:trHeight w:val="3745"/>
        </w:trPr>
        <w:tc>
          <w:tcPr>
            <w:tcW w:w="5518" w:type="dxa"/>
            <w:tcBorders>
              <w:top w:val="single" w:sz="12" w:space="0" w:color="auto"/>
              <w:left w:val="single" w:sz="12" w:space="0" w:color="auto"/>
              <w:bottom w:val="single" w:sz="12" w:space="0" w:color="auto"/>
              <w:right w:val="single" w:sz="12" w:space="0" w:color="auto"/>
            </w:tcBorders>
          </w:tcPr>
          <w:tbl>
            <w:tblPr>
              <w:tblW w:w="5412" w:type="dxa"/>
              <w:tblLayout w:type="fixed"/>
              <w:tblLook w:val="04A0" w:firstRow="1" w:lastRow="0" w:firstColumn="1" w:lastColumn="0" w:noHBand="0" w:noVBand="1"/>
            </w:tblPr>
            <w:tblGrid>
              <w:gridCol w:w="5412"/>
            </w:tblGrid>
            <w:tr w:rsidR="00F77EE9" w:rsidRPr="00FE4730" w14:paraId="0AECA4B4" w14:textId="52B7D4FA" w:rsidTr="000332EB">
              <w:trPr>
                <w:trHeight w:val="99"/>
              </w:trPr>
              <w:tc>
                <w:tcPr>
                  <w:tcW w:w="5412" w:type="dxa"/>
                  <w:tcBorders>
                    <w:top w:val="nil"/>
                    <w:left w:val="nil"/>
                    <w:bottom w:val="nil"/>
                    <w:right w:val="nil"/>
                  </w:tcBorders>
                  <w:shd w:val="clear" w:color="auto" w:fill="D9D9D9" w:themeFill="background1" w:themeFillShade="D9"/>
                  <w:noWrap/>
                  <w:vAlign w:val="bottom"/>
                  <w:hideMark/>
                </w:tcPr>
                <w:p w14:paraId="6FEB4315" w14:textId="46ECCABD" w:rsidR="00F77EE9" w:rsidRPr="00FE4730" w:rsidRDefault="00F77EE9" w:rsidP="000419B1">
                  <w:pPr>
                    <w:rPr>
                      <w:rFonts w:ascii="Calibri" w:eastAsia="Times New Roman" w:hAnsi="Calibri" w:cs="Calibri"/>
                      <w:color w:val="000000"/>
                      <w:lang w:eastAsia="en-GB"/>
                    </w:rPr>
                  </w:pPr>
                  <w:r>
                    <w:rPr>
                      <w:noProof/>
                      <w:lang w:eastAsia="en-GB"/>
                    </w:rPr>
                    <w:drawing>
                      <wp:inline distT="0" distB="0" distL="0" distR="0" wp14:anchorId="05E4C4A2" wp14:editId="2D96C1B1">
                        <wp:extent cx="3295015" cy="2353901"/>
                        <wp:effectExtent l="0" t="0" r="635" b="8890"/>
                        <wp:docPr id="25" name="Chart 25" descr="risk table" title="risk table"/>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tc>
            </w:tr>
          </w:tbl>
          <w:p w14:paraId="5D1C30F0" w14:textId="77777777" w:rsidR="00D72178" w:rsidRPr="00D52779" w:rsidRDefault="00D72178" w:rsidP="000419B1">
            <w:pPr>
              <w:jc w:val="center"/>
              <w:rPr>
                <w:rFonts w:ascii="Calibri" w:hAnsi="Calibri" w:cs="Calibri"/>
                <w:szCs w:val="24"/>
                <w:highlight w:val="yellow"/>
              </w:rPr>
            </w:pPr>
          </w:p>
        </w:tc>
        <w:tc>
          <w:tcPr>
            <w:tcW w:w="305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D8E5975" w14:textId="77777777" w:rsidR="00D72178" w:rsidRPr="00F77EE9" w:rsidRDefault="00D72178" w:rsidP="000419B1">
            <w:pPr>
              <w:rPr>
                <w:rFonts w:ascii="Calibri" w:hAnsi="Calibri" w:cs="Calibri"/>
                <w:szCs w:val="24"/>
              </w:rPr>
            </w:pPr>
            <w:r w:rsidRPr="00F77EE9">
              <w:rPr>
                <w:rFonts w:ascii="Calibri" w:hAnsi="Calibri" w:cs="Calibri"/>
                <w:szCs w:val="24"/>
                <w:u w:val="single"/>
              </w:rPr>
              <w:t>Changes to Corporate Risk Scores</w:t>
            </w:r>
          </w:p>
          <w:p w14:paraId="790A910D" w14:textId="466AC0C1" w:rsidR="00D72178" w:rsidRPr="00F77EE9" w:rsidRDefault="00D72178" w:rsidP="000419B1">
            <w:pPr>
              <w:rPr>
                <w:rFonts w:ascii="Calibri" w:hAnsi="Calibri" w:cs="Calibri"/>
                <w:szCs w:val="24"/>
              </w:rPr>
            </w:pPr>
            <w:r w:rsidRPr="00F77EE9">
              <w:rPr>
                <w:rFonts w:ascii="Calibri" w:hAnsi="Calibri" w:cs="Calibri"/>
                <w:szCs w:val="24"/>
              </w:rPr>
              <w:t>↑</w:t>
            </w:r>
            <w:r w:rsidR="0059639A">
              <w:rPr>
                <w:rFonts w:ascii="Calibri" w:hAnsi="Calibri" w:cs="Calibri"/>
                <w:szCs w:val="24"/>
              </w:rPr>
              <w:t xml:space="preserve"> </w:t>
            </w:r>
            <w:r w:rsidR="0059639A">
              <w:rPr>
                <w:rFonts w:ascii="Calibri" w:hAnsi="Calibri" w:cs="Calibri"/>
                <w:b/>
                <w:szCs w:val="24"/>
              </w:rPr>
              <w:t>0</w:t>
            </w:r>
            <w:r w:rsidRPr="00F77EE9">
              <w:rPr>
                <w:rFonts w:ascii="Calibri" w:hAnsi="Calibri" w:cs="Calibri"/>
                <w:szCs w:val="24"/>
              </w:rPr>
              <w:t xml:space="preserve"> Gone Up </w:t>
            </w:r>
          </w:p>
          <w:p w14:paraId="2CB51AEA" w14:textId="342339BC" w:rsidR="00D72178" w:rsidRPr="00F77EE9" w:rsidRDefault="00D72178" w:rsidP="000419B1">
            <w:pPr>
              <w:rPr>
                <w:rFonts w:ascii="Calibri" w:hAnsi="Calibri" w:cs="Calibri"/>
                <w:szCs w:val="24"/>
              </w:rPr>
            </w:pPr>
            <w:r w:rsidRPr="00F77EE9">
              <w:rPr>
                <w:rFonts w:ascii="Calibri" w:hAnsi="Calibri" w:cs="Calibri"/>
                <w:szCs w:val="24"/>
              </w:rPr>
              <w:t xml:space="preserve">↓ </w:t>
            </w:r>
            <w:r w:rsidR="0059639A">
              <w:rPr>
                <w:rFonts w:ascii="Calibri" w:hAnsi="Calibri" w:cs="Calibri"/>
                <w:b/>
                <w:szCs w:val="24"/>
              </w:rPr>
              <w:t>0</w:t>
            </w:r>
            <w:r w:rsidRPr="00F77EE9">
              <w:rPr>
                <w:rFonts w:ascii="Calibri" w:hAnsi="Calibri" w:cs="Calibri"/>
                <w:b/>
                <w:szCs w:val="24"/>
              </w:rPr>
              <w:t xml:space="preserve"> </w:t>
            </w:r>
            <w:r w:rsidRPr="00F77EE9">
              <w:rPr>
                <w:rFonts w:ascii="Calibri" w:hAnsi="Calibri" w:cs="Calibri"/>
                <w:szCs w:val="24"/>
              </w:rPr>
              <w:t xml:space="preserve">Gone Down </w:t>
            </w:r>
          </w:p>
          <w:p w14:paraId="3AD65894" w14:textId="77777777" w:rsidR="00D72178" w:rsidRPr="00F77EE9" w:rsidRDefault="00D72178" w:rsidP="000419B1">
            <w:pPr>
              <w:rPr>
                <w:rFonts w:ascii="Calibri" w:hAnsi="Calibri" w:cs="Calibri"/>
                <w:szCs w:val="24"/>
              </w:rPr>
            </w:pPr>
            <w:r w:rsidRPr="00F77EE9">
              <w:rPr>
                <w:rFonts w:ascii="Calibri" w:hAnsi="Calibri" w:cs="Calibri"/>
                <w:szCs w:val="24"/>
                <w:u w:val="single"/>
              </w:rPr>
              <w:t>Change to Corporate Risk Register - proposed</w:t>
            </w:r>
          </w:p>
          <w:p w14:paraId="4C10E9E0" w14:textId="578D0179" w:rsidR="00D72178" w:rsidRPr="00F77EE9" w:rsidRDefault="00D72178" w:rsidP="000419B1">
            <w:pPr>
              <w:rPr>
                <w:rFonts w:ascii="Calibri" w:hAnsi="Calibri" w:cs="Calibri"/>
                <w:szCs w:val="24"/>
              </w:rPr>
            </w:pPr>
            <w:r w:rsidRPr="00F77EE9">
              <w:rPr>
                <w:rFonts w:ascii="Calibri" w:hAnsi="Calibri" w:cs="Calibri"/>
                <w:szCs w:val="24"/>
              </w:rPr>
              <w:t>↗</w:t>
            </w:r>
            <w:r w:rsidR="00B5382E" w:rsidRPr="00F77EE9">
              <w:rPr>
                <w:rFonts w:ascii="Calibri" w:hAnsi="Calibri" w:cs="Calibri"/>
                <w:b/>
                <w:szCs w:val="24"/>
              </w:rPr>
              <w:t xml:space="preserve"> 0</w:t>
            </w:r>
            <w:r w:rsidRPr="00F77EE9">
              <w:rPr>
                <w:rFonts w:ascii="Calibri" w:hAnsi="Calibri" w:cs="Calibri"/>
                <w:b/>
                <w:szCs w:val="24"/>
              </w:rPr>
              <w:t xml:space="preserve"> </w:t>
            </w:r>
            <w:r w:rsidRPr="00F77EE9">
              <w:rPr>
                <w:rFonts w:ascii="Calibri" w:hAnsi="Calibri" w:cs="Calibri"/>
                <w:szCs w:val="24"/>
              </w:rPr>
              <w:t xml:space="preserve">New Corporate Risks </w:t>
            </w:r>
          </w:p>
          <w:p w14:paraId="3FE9147C" w14:textId="7D73FE06" w:rsidR="00D72178" w:rsidRPr="004D18D9" w:rsidRDefault="00D72178" w:rsidP="000419B1">
            <w:pPr>
              <w:rPr>
                <w:rFonts w:ascii="Calibri" w:hAnsi="Calibri" w:cs="Calibri"/>
                <w:noProof/>
                <w:szCs w:val="24"/>
                <w:lang w:eastAsia="en-GB"/>
              </w:rPr>
            </w:pPr>
            <w:r w:rsidRPr="00F77EE9">
              <w:rPr>
                <w:rFonts w:ascii="Calibri" w:hAnsi="Calibri" w:cs="Calibri"/>
                <w:szCs w:val="24"/>
              </w:rPr>
              <w:t xml:space="preserve">↘ </w:t>
            </w:r>
            <w:r w:rsidR="00517D22">
              <w:rPr>
                <w:rFonts w:ascii="Calibri" w:hAnsi="Calibri" w:cs="Calibri"/>
                <w:b/>
                <w:szCs w:val="24"/>
              </w:rPr>
              <w:t>0</w:t>
            </w:r>
            <w:r w:rsidRPr="00F77EE9">
              <w:rPr>
                <w:rFonts w:ascii="Calibri" w:hAnsi="Calibri" w:cs="Calibri"/>
                <w:b/>
                <w:szCs w:val="24"/>
              </w:rPr>
              <w:t xml:space="preserve"> </w:t>
            </w:r>
            <w:r w:rsidR="00F77EE9" w:rsidRPr="00F77EE9">
              <w:rPr>
                <w:rFonts w:ascii="Calibri" w:hAnsi="Calibri" w:cs="Calibri"/>
                <w:szCs w:val="24"/>
              </w:rPr>
              <w:t xml:space="preserve">Risk </w:t>
            </w:r>
            <w:r w:rsidRPr="00F77EE9">
              <w:rPr>
                <w:rFonts w:ascii="Calibri" w:hAnsi="Calibri" w:cs="Calibri"/>
                <w:szCs w:val="24"/>
              </w:rPr>
              <w:t xml:space="preserve">De-Escalated </w:t>
            </w:r>
          </w:p>
        </w:tc>
      </w:tr>
    </w:tbl>
    <w:p w14:paraId="2FB0749F" w14:textId="2C2014F2" w:rsidR="00961689" w:rsidRDefault="00961689" w:rsidP="00961689"/>
    <w:p w14:paraId="7DA40CBD" w14:textId="0B04EBA5" w:rsidR="00410275" w:rsidRPr="00517D22" w:rsidRDefault="00961689" w:rsidP="00410275">
      <w:pPr>
        <w:pStyle w:val="Heading2"/>
        <w:spacing w:before="0" w:after="120" w:line="240" w:lineRule="auto"/>
        <w:rPr>
          <w:rFonts w:ascii="Calibri" w:hAnsi="Calibri" w:cs="Calibri"/>
          <w:szCs w:val="24"/>
        </w:rPr>
      </w:pPr>
      <w:r w:rsidRPr="00517D22">
        <w:rPr>
          <w:rFonts w:ascii="Calibri" w:hAnsi="Calibri" w:cs="Calibri"/>
          <w:szCs w:val="24"/>
        </w:rPr>
        <w:t>Risk</w:t>
      </w:r>
    </w:p>
    <w:p w14:paraId="57566060" w14:textId="647BA208" w:rsidR="00D72178" w:rsidRPr="00032678" w:rsidRDefault="00D72178" w:rsidP="003E7B62">
      <w:pPr>
        <w:pStyle w:val="ListParagraph"/>
        <w:numPr>
          <w:ilvl w:val="0"/>
          <w:numId w:val="1"/>
        </w:numPr>
        <w:rPr>
          <w:rFonts w:ascii="Calibri" w:hAnsi="Calibri" w:cs="Calibri"/>
          <w:color w:val="FF0000"/>
          <w:szCs w:val="24"/>
        </w:rPr>
      </w:pPr>
      <w:r w:rsidRPr="00517D22">
        <w:rPr>
          <w:rFonts w:ascii="Calibri" w:hAnsi="Calibri" w:cs="Calibri"/>
          <w:szCs w:val="24"/>
        </w:rPr>
        <w:t xml:space="preserve">The </w:t>
      </w:r>
      <w:hyperlink w:anchor="_Annex_A_–" w:history="1">
        <w:r w:rsidR="00257C14">
          <w:rPr>
            <w:rStyle w:val="Hyperlink"/>
            <w:rFonts w:ascii="Calibri" w:hAnsi="Calibri" w:cs="Calibri"/>
            <w:color w:val="auto"/>
            <w:szCs w:val="24"/>
          </w:rPr>
          <w:t>Annex A - Corporate Risk Register</w:t>
        </w:r>
      </w:hyperlink>
      <w:r w:rsidRPr="00517D22">
        <w:rPr>
          <w:rFonts w:ascii="Calibri" w:hAnsi="Calibri" w:cs="Calibri"/>
          <w:szCs w:val="24"/>
        </w:rPr>
        <w:t xml:space="preserve"> holds the current corporate risks for NatureScot.  Activity and project risks are managed within the risk management system, which underpins the corporate risk register.  All risks are managed in line with the Risk Management policy and monitored regularly for compliance and visibility of impact.</w:t>
      </w:r>
      <w:r w:rsidRPr="00032678">
        <w:rPr>
          <w:rFonts w:ascii="Calibri" w:eastAsia="Times New Roman" w:hAnsi="Calibri" w:cs="Calibri"/>
          <w:color w:val="FF0000"/>
          <w:szCs w:val="24"/>
        </w:rPr>
        <w:br/>
      </w:r>
    </w:p>
    <w:p w14:paraId="27BC155F" w14:textId="115DEF0C" w:rsidR="00D72178" w:rsidRPr="00032678" w:rsidRDefault="00B5382E" w:rsidP="003E7B62">
      <w:pPr>
        <w:pStyle w:val="ListParagraph"/>
        <w:numPr>
          <w:ilvl w:val="0"/>
          <w:numId w:val="1"/>
        </w:numPr>
        <w:rPr>
          <w:rFonts w:ascii="Calibri" w:eastAsia="Times New Roman" w:hAnsi="Calibri" w:cs="Calibri"/>
          <w:color w:val="FF0000"/>
          <w:szCs w:val="24"/>
        </w:rPr>
      </w:pPr>
      <w:r w:rsidRPr="00517D22">
        <w:rPr>
          <w:rFonts w:ascii="Calibri" w:eastAsia="Times New Roman" w:hAnsi="Calibri" w:cs="Calibri"/>
          <w:szCs w:val="24"/>
        </w:rPr>
        <w:t>There are currently 11</w:t>
      </w:r>
      <w:r w:rsidR="00D72178" w:rsidRPr="00517D22">
        <w:rPr>
          <w:rFonts w:ascii="Calibri" w:eastAsia="Times New Roman" w:hAnsi="Calibri" w:cs="Calibri"/>
          <w:szCs w:val="24"/>
        </w:rPr>
        <w:t xml:space="preserve"> approv</w:t>
      </w:r>
      <w:r w:rsidRPr="00517D22">
        <w:rPr>
          <w:rFonts w:ascii="Calibri" w:eastAsia="Times New Roman" w:hAnsi="Calibri" w:cs="Calibri"/>
          <w:szCs w:val="24"/>
        </w:rPr>
        <w:t xml:space="preserve">ed Corporate Risks, 6 medium and 5 </w:t>
      </w:r>
      <w:r w:rsidR="00D72178" w:rsidRPr="00517D22">
        <w:rPr>
          <w:rFonts w:ascii="Calibri" w:eastAsia="Times New Roman" w:hAnsi="Calibri" w:cs="Calibri"/>
          <w:szCs w:val="24"/>
        </w:rPr>
        <w:t>high</w:t>
      </w:r>
      <w:r w:rsidR="00517D22" w:rsidRPr="00517D22">
        <w:rPr>
          <w:rFonts w:ascii="Calibri" w:eastAsia="Times New Roman" w:hAnsi="Calibri" w:cs="Calibri"/>
          <w:szCs w:val="24"/>
        </w:rPr>
        <w:t>.  During Q4</w:t>
      </w:r>
      <w:r w:rsidR="0059639A">
        <w:rPr>
          <w:rFonts w:ascii="Calibri" w:eastAsia="Times New Roman" w:hAnsi="Calibri" w:cs="Calibri"/>
          <w:szCs w:val="24"/>
        </w:rPr>
        <w:t xml:space="preserve"> the likelihood score</w:t>
      </w:r>
      <w:r w:rsidRPr="00517D22">
        <w:rPr>
          <w:rFonts w:ascii="Calibri" w:eastAsia="Times New Roman" w:hAnsi="Calibri" w:cs="Calibri"/>
          <w:szCs w:val="24"/>
        </w:rPr>
        <w:t xml:space="preserve"> changed within </w:t>
      </w:r>
      <w:r w:rsidR="0059639A" w:rsidRPr="0059639A">
        <w:rPr>
          <w:rFonts w:ascii="Calibri" w:eastAsia="Times New Roman" w:hAnsi="Calibri" w:cs="Calibri"/>
          <w:szCs w:val="24"/>
        </w:rPr>
        <w:t xml:space="preserve">1 risk </w:t>
      </w:r>
      <w:r w:rsidR="0049286B">
        <w:rPr>
          <w:rFonts w:ascii="Calibri" w:eastAsia="Times New Roman" w:hAnsi="Calibri" w:cs="Calibri"/>
          <w:szCs w:val="24"/>
        </w:rPr>
        <w:t xml:space="preserve">– Lack of support for Fusion </w:t>
      </w:r>
      <w:r w:rsidR="0059639A" w:rsidRPr="0059639A">
        <w:rPr>
          <w:rFonts w:ascii="Calibri" w:eastAsia="Times New Roman" w:hAnsi="Calibri" w:cs="Calibri"/>
          <w:szCs w:val="24"/>
        </w:rPr>
        <w:t xml:space="preserve">but that hasn’t impacted the </w:t>
      </w:r>
      <w:r w:rsidR="0049286B">
        <w:rPr>
          <w:rFonts w:ascii="Calibri" w:eastAsia="Times New Roman" w:hAnsi="Calibri" w:cs="Calibri"/>
          <w:szCs w:val="24"/>
        </w:rPr>
        <w:t xml:space="preserve">overall </w:t>
      </w:r>
      <w:r w:rsidRPr="0059639A">
        <w:rPr>
          <w:rFonts w:ascii="Calibri" w:eastAsia="Times New Roman" w:hAnsi="Calibri" w:cs="Calibri"/>
          <w:szCs w:val="24"/>
        </w:rPr>
        <w:t>risk rating.</w:t>
      </w:r>
    </w:p>
    <w:p w14:paraId="758CB6D3" w14:textId="77777777" w:rsidR="00D72178" w:rsidRPr="00517D22" w:rsidRDefault="00D72178" w:rsidP="00D72178">
      <w:pPr>
        <w:pStyle w:val="ListParagraph"/>
        <w:ind w:left="360"/>
        <w:rPr>
          <w:rFonts w:ascii="Calibri" w:eastAsia="Times New Roman" w:hAnsi="Calibri" w:cs="Calibri"/>
          <w:szCs w:val="24"/>
          <w:highlight w:val="yellow"/>
        </w:rPr>
      </w:pPr>
    </w:p>
    <w:p w14:paraId="62C82F4D" w14:textId="2931DFAA" w:rsidR="00B5382E" w:rsidRPr="009C22ED" w:rsidRDefault="00517D22" w:rsidP="003E7B62">
      <w:pPr>
        <w:pStyle w:val="ListParagraph"/>
        <w:numPr>
          <w:ilvl w:val="0"/>
          <w:numId w:val="1"/>
        </w:numPr>
        <w:spacing w:after="0"/>
        <w:rPr>
          <w:rFonts w:ascii="Calibri" w:hAnsi="Calibri" w:cs="Calibri"/>
          <w:szCs w:val="24"/>
        </w:rPr>
      </w:pPr>
      <w:r w:rsidRPr="00517D22">
        <w:rPr>
          <w:rFonts w:ascii="Calibri" w:eastAsia="Times New Roman" w:hAnsi="Calibri" w:cs="Calibri"/>
          <w:szCs w:val="24"/>
        </w:rPr>
        <w:t>During Q4</w:t>
      </w:r>
      <w:r w:rsidR="00D72178" w:rsidRPr="00517D22">
        <w:rPr>
          <w:rFonts w:ascii="Calibri" w:eastAsia="Times New Roman" w:hAnsi="Calibri" w:cs="Calibri"/>
          <w:szCs w:val="24"/>
        </w:rPr>
        <w:t xml:space="preserve">, the Corporate Risks have been reviewed to ensure that they still require to be managed at the corporate level. There are </w:t>
      </w:r>
      <w:r w:rsidR="00B5382E" w:rsidRPr="00517D22">
        <w:rPr>
          <w:rFonts w:ascii="Calibri" w:eastAsia="Times New Roman" w:hAnsi="Calibri" w:cs="Calibri"/>
          <w:szCs w:val="24"/>
        </w:rPr>
        <w:t>no new corporate risks</w:t>
      </w:r>
      <w:r w:rsidR="00D72178" w:rsidRPr="00517D22">
        <w:rPr>
          <w:rFonts w:ascii="Calibri" w:eastAsia="Times New Roman" w:hAnsi="Calibri" w:cs="Calibri"/>
          <w:szCs w:val="24"/>
        </w:rPr>
        <w:t xml:space="preserve"> proposed for escalation</w:t>
      </w:r>
      <w:r w:rsidRPr="00517D22">
        <w:rPr>
          <w:rFonts w:ascii="Calibri" w:eastAsia="Times New Roman" w:hAnsi="Calibri" w:cs="Calibri"/>
          <w:szCs w:val="24"/>
        </w:rPr>
        <w:t>.</w:t>
      </w:r>
    </w:p>
    <w:p w14:paraId="7816A4A9" w14:textId="77777777" w:rsidR="009C22ED" w:rsidRPr="009C22ED" w:rsidRDefault="009C22ED" w:rsidP="009C22ED">
      <w:pPr>
        <w:pStyle w:val="ListParagraph"/>
        <w:rPr>
          <w:rFonts w:ascii="Calibri" w:hAnsi="Calibri" w:cs="Calibri"/>
          <w:szCs w:val="24"/>
        </w:rPr>
      </w:pPr>
    </w:p>
    <w:p w14:paraId="795E56AB" w14:textId="53A9BDF5" w:rsidR="009C22ED" w:rsidRPr="00517D22" w:rsidRDefault="009C22ED" w:rsidP="003E7B62">
      <w:pPr>
        <w:pStyle w:val="ListParagraph"/>
        <w:numPr>
          <w:ilvl w:val="0"/>
          <w:numId w:val="1"/>
        </w:numPr>
        <w:spacing w:after="0"/>
        <w:rPr>
          <w:rFonts w:ascii="Calibri" w:hAnsi="Calibri" w:cs="Calibri"/>
          <w:szCs w:val="24"/>
        </w:rPr>
      </w:pPr>
      <w:r>
        <w:rPr>
          <w:rFonts w:ascii="Calibri" w:hAnsi="Calibri" w:cs="Calibri"/>
          <w:szCs w:val="24"/>
        </w:rPr>
        <w:t>Over the year the corporate risks have remained relatively static on the register with the main focus on Structural funds, funding for NatureScot and internally, the support of the FUSION system.</w:t>
      </w:r>
    </w:p>
    <w:p w14:paraId="1015CC91" w14:textId="4A6BBCC4" w:rsidR="00517D22" w:rsidRPr="00517D22" w:rsidRDefault="00517D22" w:rsidP="00517D22">
      <w:pPr>
        <w:spacing w:after="0"/>
        <w:rPr>
          <w:rFonts w:ascii="Calibri" w:hAnsi="Calibri" w:cs="Calibri"/>
          <w:szCs w:val="24"/>
        </w:rPr>
      </w:pPr>
    </w:p>
    <w:p w14:paraId="2FE4F5B9" w14:textId="2445F114" w:rsidR="00156416" w:rsidRDefault="00C87458" w:rsidP="00D65835">
      <w:pPr>
        <w:rPr>
          <w:rFonts w:ascii="Calibri" w:eastAsia="Times New Roman" w:hAnsi="Calibri" w:cs="Calibri"/>
          <w:b/>
          <w:szCs w:val="24"/>
        </w:rPr>
      </w:pPr>
      <w:r>
        <w:rPr>
          <w:rFonts w:ascii="Calibri" w:eastAsia="Times New Roman" w:hAnsi="Calibri" w:cs="Calibri"/>
          <w:b/>
          <w:szCs w:val="24"/>
        </w:rPr>
        <w:t>Board</w:t>
      </w:r>
      <w:r w:rsidR="00D72178" w:rsidRPr="00517D22">
        <w:rPr>
          <w:rFonts w:ascii="Calibri" w:eastAsia="Times New Roman" w:hAnsi="Calibri" w:cs="Calibri"/>
          <w:b/>
          <w:szCs w:val="24"/>
        </w:rPr>
        <w:t xml:space="preserve"> are requested to note the per</w:t>
      </w:r>
      <w:r w:rsidR="00B5382E" w:rsidRPr="00517D22">
        <w:rPr>
          <w:rFonts w:ascii="Calibri" w:eastAsia="Times New Roman" w:hAnsi="Calibri" w:cs="Calibri"/>
          <w:b/>
          <w:szCs w:val="24"/>
        </w:rPr>
        <w:t>formance of the corporate risks</w:t>
      </w:r>
      <w:r w:rsidR="00517D22" w:rsidRPr="00517D22">
        <w:rPr>
          <w:rFonts w:ascii="Calibri" w:eastAsia="Times New Roman" w:hAnsi="Calibri" w:cs="Calibri"/>
          <w:b/>
          <w:szCs w:val="24"/>
        </w:rPr>
        <w:t>.</w:t>
      </w:r>
    </w:p>
    <w:p w14:paraId="28AE95F2" w14:textId="4CBB261A" w:rsidR="0092491F" w:rsidRDefault="0092491F" w:rsidP="00D65835">
      <w:pPr>
        <w:rPr>
          <w:rFonts w:ascii="Calibri" w:eastAsia="Times New Roman" w:hAnsi="Calibri" w:cs="Calibri"/>
          <w:b/>
          <w:szCs w:val="24"/>
        </w:rPr>
      </w:pPr>
    </w:p>
    <w:p w14:paraId="42B18E55" w14:textId="0A815607" w:rsidR="0092491F" w:rsidRPr="00517D22" w:rsidRDefault="0092491F" w:rsidP="00D65835">
      <w:pPr>
        <w:rPr>
          <w:rFonts w:eastAsiaTheme="majorEastAsia"/>
          <w:b/>
          <w:szCs w:val="26"/>
        </w:rPr>
      </w:pPr>
    </w:p>
    <w:p w14:paraId="058CCD77" w14:textId="522DBED9" w:rsidR="0092491F" w:rsidRPr="00A30003" w:rsidRDefault="0092491F" w:rsidP="0092491F">
      <w:pPr>
        <w:pStyle w:val="Heading2"/>
      </w:pPr>
      <w:r w:rsidRPr="00486490">
        <w:rPr>
          <w:rFonts w:ascii="Calibri" w:hAnsi="Calibri" w:cs="Calibri"/>
          <w:color w:val="5E8CC0"/>
        </w:rPr>
        <w:lastRenderedPageBreak/>
        <w:t>PEOPLE</w:t>
      </w:r>
      <w:r w:rsidRPr="00032678">
        <w:rPr>
          <w:rFonts w:ascii="Calibri" w:hAnsi="Calibri" w:cs="Calibri"/>
          <w:color w:val="FF0000"/>
        </w:rPr>
        <w:t xml:space="preserve"> </w:t>
      </w:r>
    </w:p>
    <w:tbl>
      <w:tblPr>
        <w:tblStyle w:val="PlainTable1"/>
        <w:tblpPr w:leftFromText="180" w:rightFromText="180" w:vertAnchor="text" w:horzAnchor="margin" w:tblpX="-20" w:tblpY="456"/>
        <w:tblW w:w="9371" w:type="dxa"/>
        <w:tblLook w:val="04A0" w:firstRow="1" w:lastRow="0" w:firstColumn="1" w:lastColumn="0" w:noHBand="0" w:noVBand="1"/>
        <w:tblCaption w:val="People Metrics"/>
        <w:tblDescription w:val="Summary of the progress on the people metrics"/>
      </w:tblPr>
      <w:tblGrid>
        <w:gridCol w:w="7792"/>
        <w:gridCol w:w="1579"/>
      </w:tblGrid>
      <w:tr w:rsidR="0092491F" w:rsidRPr="0073147A" w14:paraId="0D75C052" w14:textId="77777777" w:rsidTr="007420DE">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7792" w:type="dxa"/>
            <w:shd w:val="clear" w:color="auto" w:fill="4F81BD" w:themeFill="accent1"/>
          </w:tcPr>
          <w:p w14:paraId="05B30648" w14:textId="77777777" w:rsidR="0092491F" w:rsidRPr="0073147A" w:rsidRDefault="0092491F" w:rsidP="00AC6E31">
            <w:pPr>
              <w:keepNext/>
              <w:keepLines/>
              <w:contextualSpacing/>
              <w:outlineLvl w:val="1"/>
              <w:rPr>
                <w:rFonts w:ascii="Calibri" w:eastAsia="Times New Roman" w:hAnsi="Calibri" w:cs="Calibri"/>
                <w:szCs w:val="24"/>
              </w:rPr>
            </w:pPr>
            <w:r w:rsidRPr="0073147A">
              <w:rPr>
                <w:rFonts w:ascii="Calibri" w:eastAsia="Times New Roman" w:hAnsi="Calibri" w:cs="Calibri"/>
                <w:szCs w:val="24"/>
              </w:rPr>
              <w:t>People Metrics</w:t>
            </w:r>
          </w:p>
        </w:tc>
        <w:tc>
          <w:tcPr>
            <w:tcW w:w="1579" w:type="dxa"/>
            <w:shd w:val="clear" w:color="auto" w:fill="4F81BD" w:themeFill="accent1"/>
          </w:tcPr>
          <w:p w14:paraId="4004A68A" w14:textId="77777777" w:rsidR="0092491F" w:rsidRPr="0073147A" w:rsidRDefault="0092491F" w:rsidP="00AC6E31">
            <w:pPr>
              <w:keepNext/>
              <w:keepLines/>
              <w:contextualSpacing/>
              <w:outlineLvl w:val="1"/>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Cs w:val="24"/>
              </w:rPr>
            </w:pPr>
            <w:r w:rsidRPr="0073147A">
              <w:rPr>
                <w:rFonts w:ascii="Calibri" w:eastAsia="Times New Roman" w:hAnsi="Calibri" w:cs="Calibri"/>
                <w:szCs w:val="24"/>
              </w:rPr>
              <w:t>Status</w:t>
            </w:r>
          </w:p>
        </w:tc>
      </w:tr>
      <w:tr w:rsidR="0092491F" w:rsidRPr="0073147A" w14:paraId="77B966DC" w14:textId="77777777" w:rsidTr="007420DE">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7792" w:type="dxa"/>
            <w:shd w:val="clear" w:color="auto" w:fill="00B050"/>
          </w:tcPr>
          <w:p w14:paraId="795FC880" w14:textId="77777777" w:rsidR="0092491F" w:rsidRPr="0073147A" w:rsidRDefault="0092491F" w:rsidP="00AC6E31">
            <w:pPr>
              <w:keepNext/>
              <w:keepLines/>
              <w:contextualSpacing/>
              <w:outlineLvl w:val="1"/>
              <w:rPr>
                <w:rFonts w:ascii="Calibri" w:eastAsia="Times New Roman" w:hAnsi="Calibri" w:cs="Calibri"/>
                <w:szCs w:val="24"/>
              </w:rPr>
            </w:pPr>
            <w:r w:rsidRPr="0073147A">
              <w:rPr>
                <w:rFonts w:ascii="Calibri" w:eastAsia="Times New Roman" w:hAnsi="Calibri" w:cs="Calibri"/>
                <w:szCs w:val="24"/>
              </w:rPr>
              <w:t>Wellbeing</w:t>
            </w:r>
          </w:p>
        </w:tc>
        <w:tc>
          <w:tcPr>
            <w:tcW w:w="1579" w:type="dxa"/>
            <w:shd w:val="clear" w:color="auto" w:fill="00B050"/>
          </w:tcPr>
          <w:p w14:paraId="6A9BD7F9" w14:textId="77777777" w:rsidR="0092491F" w:rsidRPr="0073147A" w:rsidRDefault="0092491F" w:rsidP="00AC6E31">
            <w:pPr>
              <w:keepNext/>
              <w:keepLines/>
              <w:contextualSpacing/>
              <w:outlineLvl w:val="1"/>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Cs w:val="24"/>
              </w:rPr>
            </w:pPr>
          </w:p>
        </w:tc>
      </w:tr>
      <w:tr w:rsidR="0092491F" w:rsidRPr="0073147A" w14:paraId="4EFD2ED6" w14:textId="77777777" w:rsidTr="007420DE">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7792" w:type="dxa"/>
          </w:tcPr>
          <w:p w14:paraId="1EAC0C58" w14:textId="77777777" w:rsidR="0092491F" w:rsidRPr="0073147A" w:rsidRDefault="0092491F" w:rsidP="00AC6E31">
            <w:pPr>
              <w:keepNext/>
              <w:keepLines/>
              <w:outlineLvl w:val="1"/>
              <w:rPr>
                <w:rFonts w:ascii="Calibri" w:eastAsia="Times New Roman" w:hAnsi="Calibri" w:cs="Calibri"/>
                <w:b w:val="0"/>
                <w:szCs w:val="24"/>
              </w:rPr>
            </w:pPr>
            <w:r w:rsidRPr="0073147A">
              <w:rPr>
                <w:rFonts w:ascii="Calibri" w:eastAsia="Times New Roman" w:hAnsi="Calibri" w:cs="Calibri"/>
                <w:b w:val="0"/>
                <w:szCs w:val="24"/>
              </w:rPr>
              <w:t>Accidents &amp; Near Misses – target: to stay with</w:t>
            </w:r>
            <w:r>
              <w:rPr>
                <w:rFonts w:ascii="Calibri" w:eastAsia="Times New Roman" w:hAnsi="Calibri" w:cs="Calibri"/>
                <w:b w:val="0"/>
                <w:szCs w:val="24"/>
              </w:rPr>
              <w:t>in variations around the mean which are 4.4 for accidents &amp; 5.8 for near misses</w:t>
            </w:r>
          </w:p>
          <w:p w14:paraId="496260B6" w14:textId="77777777" w:rsidR="0092491F" w:rsidRPr="00F86A9A" w:rsidRDefault="0092491F" w:rsidP="00AC6E31">
            <w:pPr>
              <w:keepNext/>
              <w:keepLines/>
              <w:outlineLvl w:val="1"/>
              <w:rPr>
                <w:rFonts w:ascii="Calibri" w:eastAsia="Times New Roman" w:hAnsi="Calibri" w:cs="Calibri"/>
                <w:b w:val="0"/>
                <w:sz w:val="23"/>
                <w:szCs w:val="23"/>
              </w:rPr>
            </w:pPr>
            <w:r w:rsidRPr="007420DE">
              <w:rPr>
                <w:rFonts w:ascii="Calibri" w:eastAsia="Times New Roman" w:hAnsi="Calibri" w:cs="Calibri"/>
                <w:sz w:val="23"/>
                <w:szCs w:val="23"/>
              </w:rPr>
              <w:t>Q4</w:t>
            </w:r>
            <w:r w:rsidRPr="00F86A9A">
              <w:rPr>
                <w:rFonts w:ascii="Calibri" w:eastAsia="Times New Roman" w:hAnsi="Calibri" w:cs="Calibri"/>
                <w:b w:val="0"/>
                <w:sz w:val="23"/>
                <w:szCs w:val="23"/>
              </w:rPr>
              <w:t>: Accidents=</w:t>
            </w:r>
            <w:r>
              <w:rPr>
                <w:rFonts w:ascii="Calibri" w:eastAsia="Times New Roman" w:hAnsi="Calibri" w:cs="Calibri"/>
                <w:b w:val="0"/>
                <w:sz w:val="23"/>
                <w:szCs w:val="23"/>
              </w:rPr>
              <w:t>3</w:t>
            </w:r>
            <w:r w:rsidRPr="00F86A9A">
              <w:rPr>
                <w:rFonts w:ascii="Calibri" w:eastAsia="Times New Roman" w:hAnsi="Calibri" w:cs="Calibri"/>
                <w:b w:val="0"/>
                <w:sz w:val="23"/>
                <w:szCs w:val="23"/>
              </w:rPr>
              <w:t>, Near Misses=</w:t>
            </w:r>
            <w:r>
              <w:rPr>
                <w:rFonts w:ascii="Calibri" w:eastAsia="Times New Roman" w:hAnsi="Calibri" w:cs="Calibri"/>
                <w:b w:val="0"/>
                <w:sz w:val="23"/>
                <w:szCs w:val="23"/>
              </w:rPr>
              <w:t xml:space="preserve">3. </w:t>
            </w:r>
            <w:r w:rsidRPr="007420DE">
              <w:rPr>
                <w:rFonts w:ascii="Calibri" w:eastAsia="Times New Roman" w:hAnsi="Calibri" w:cs="Calibri"/>
                <w:sz w:val="23"/>
                <w:szCs w:val="23"/>
              </w:rPr>
              <w:t>Annual 2022/23</w:t>
            </w:r>
            <w:r>
              <w:rPr>
                <w:rFonts w:ascii="Calibri" w:eastAsia="Times New Roman" w:hAnsi="Calibri" w:cs="Calibri"/>
                <w:b w:val="0"/>
                <w:sz w:val="23"/>
                <w:szCs w:val="23"/>
              </w:rPr>
              <w:t xml:space="preserve">: Accidents=18, Near Misses=11 </w:t>
            </w:r>
            <w:r w:rsidRPr="00F86A9A">
              <w:rPr>
                <w:rFonts w:ascii="Calibri" w:eastAsia="Times New Roman" w:hAnsi="Calibri" w:cs="Calibri"/>
                <w:b w:val="0"/>
                <w:sz w:val="23"/>
                <w:szCs w:val="23"/>
              </w:rPr>
              <w:t xml:space="preserve"> </w:t>
            </w:r>
            <w:r>
              <w:rPr>
                <w:rFonts w:ascii="Calibri" w:eastAsia="Times New Roman" w:hAnsi="Calibri" w:cs="Calibri"/>
                <w:b w:val="0"/>
                <w:sz w:val="23"/>
                <w:szCs w:val="23"/>
              </w:rPr>
              <w:t>Q4 saw a reduction in accidents compared to Q3, the annual figures show a reduction in accidents compared to 2021/22 but an increase in near misses. It was reported in Q3 that the reported accidents were returning to Pre-Covid figures however the annual figure shows that there is a reduction overall. This could be due new ways of working and low numbers of employees in the offices.</w:t>
            </w:r>
          </w:p>
        </w:tc>
        <w:tc>
          <w:tcPr>
            <w:tcW w:w="1579" w:type="dxa"/>
          </w:tcPr>
          <w:p w14:paraId="5E2510AA" w14:textId="77777777" w:rsidR="0092491F" w:rsidRPr="0073147A" w:rsidRDefault="0092491F" w:rsidP="00AC6E31">
            <w:pPr>
              <w:keepNext/>
              <w:keepLines/>
              <w:contextualSpacing/>
              <w:outlineLvl w:val="1"/>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Cs w:val="24"/>
              </w:rPr>
            </w:pPr>
            <w:r>
              <w:rPr>
                <w:rFonts w:ascii="Calibri" w:eastAsia="Times New Roman" w:hAnsi="Calibri" w:cs="Calibri"/>
                <w:b w:val="0"/>
                <w:szCs w:val="24"/>
              </w:rPr>
              <w:t>Green</w:t>
            </w:r>
          </w:p>
        </w:tc>
      </w:tr>
      <w:tr w:rsidR="0092491F" w:rsidRPr="0073147A" w14:paraId="16C07402" w14:textId="77777777" w:rsidTr="007420DE">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7792" w:type="dxa"/>
            <w:shd w:val="clear" w:color="auto" w:fill="auto"/>
          </w:tcPr>
          <w:p w14:paraId="61FAA2DA" w14:textId="77777777" w:rsidR="0092491F" w:rsidRPr="004C063F" w:rsidRDefault="0092491F" w:rsidP="00AC6E31">
            <w:pPr>
              <w:keepNext/>
              <w:keepLines/>
              <w:outlineLvl w:val="1"/>
              <w:rPr>
                <w:rFonts w:ascii="Calibri" w:eastAsia="Times New Roman" w:hAnsi="Calibri" w:cs="Calibri"/>
                <w:b w:val="0"/>
                <w:szCs w:val="24"/>
              </w:rPr>
            </w:pPr>
            <w:r>
              <w:rPr>
                <w:rFonts w:ascii="Calibri" w:eastAsia="Times New Roman" w:hAnsi="Calibri" w:cs="Calibri"/>
                <w:b w:val="0"/>
                <w:szCs w:val="24"/>
              </w:rPr>
              <w:t>Workload Management</w:t>
            </w:r>
            <w:r w:rsidRPr="0073147A">
              <w:rPr>
                <w:rFonts w:ascii="Calibri" w:eastAsia="Times New Roman" w:hAnsi="Calibri" w:cs="Calibri"/>
                <w:b w:val="0"/>
                <w:szCs w:val="24"/>
              </w:rPr>
              <w:t xml:space="preserve"> </w:t>
            </w:r>
            <w:r>
              <w:rPr>
                <w:rFonts w:ascii="Calibri" w:eastAsia="Times New Roman" w:hAnsi="Calibri" w:cs="Calibri"/>
                <w:b w:val="0"/>
                <w:szCs w:val="24"/>
              </w:rPr>
              <w:t xml:space="preserve">Pulse Survey </w:t>
            </w:r>
            <w:r w:rsidRPr="0073147A">
              <w:rPr>
                <w:rFonts w:ascii="Calibri" w:eastAsia="Times New Roman" w:hAnsi="Calibri" w:cs="Calibri"/>
                <w:b w:val="0"/>
                <w:szCs w:val="24"/>
              </w:rPr>
              <w:t>–</w:t>
            </w:r>
            <w:r>
              <w:rPr>
                <w:rFonts w:ascii="Calibri" w:eastAsia="Times New Roman" w:hAnsi="Calibri" w:cs="Calibri"/>
                <w:b w:val="0"/>
                <w:szCs w:val="24"/>
              </w:rPr>
              <w:t xml:space="preserve"> </w:t>
            </w:r>
            <w:r w:rsidRPr="00512BDA">
              <w:rPr>
                <w:rFonts w:ascii="Calibri" w:eastAsia="Times New Roman" w:hAnsi="Calibri" w:cs="Calibri"/>
                <w:b w:val="0"/>
                <w:szCs w:val="24"/>
              </w:rPr>
              <w:t>there was a 5</w:t>
            </w:r>
            <w:r>
              <w:rPr>
                <w:rFonts w:ascii="Calibri" w:eastAsia="Times New Roman" w:hAnsi="Calibri" w:cs="Calibri"/>
                <w:b w:val="0"/>
                <w:szCs w:val="24"/>
              </w:rPr>
              <w:t>7</w:t>
            </w:r>
            <w:r w:rsidRPr="00512BDA">
              <w:rPr>
                <w:rFonts w:ascii="Calibri" w:eastAsia="Times New Roman" w:hAnsi="Calibri" w:cs="Calibri"/>
                <w:b w:val="0"/>
                <w:szCs w:val="24"/>
              </w:rPr>
              <w:t xml:space="preserve">% response rate from the organisation. Of those respondents, </w:t>
            </w:r>
            <w:r>
              <w:rPr>
                <w:rFonts w:ascii="Calibri" w:eastAsia="Times New Roman" w:hAnsi="Calibri" w:cs="Calibri"/>
                <w:b w:val="0"/>
                <w:szCs w:val="24"/>
              </w:rPr>
              <w:t>81</w:t>
            </w:r>
            <w:r w:rsidRPr="00512BDA">
              <w:rPr>
                <w:rFonts w:ascii="Calibri" w:eastAsia="Times New Roman" w:hAnsi="Calibri" w:cs="Calibri"/>
                <w:b w:val="0"/>
                <w:szCs w:val="24"/>
              </w:rPr>
              <w:t xml:space="preserve">% </w:t>
            </w:r>
            <w:r>
              <w:rPr>
                <w:rFonts w:ascii="Calibri" w:eastAsia="Times New Roman" w:hAnsi="Calibri" w:cs="Calibri"/>
                <w:b w:val="0"/>
                <w:szCs w:val="24"/>
              </w:rPr>
              <w:t>stated that they had had a PDC in 2022/23; however, 19% stated they had not had a PDC when asked if they had a PDC booked before the end of 2022/23. Of those 19% 61% stated, they did not have a PDC booked</w:t>
            </w:r>
            <w:r w:rsidRPr="00512BDA">
              <w:rPr>
                <w:rFonts w:ascii="Calibri" w:eastAsia="Times New Roman" w:hAnsi="Calibri" w:cs="Calibri"/>
                <w:b w:val="0"/>
                <w:szCs w:val="24"/>
              </w:rPr>
              <w:t xml:space="preserve">. </w:t>
            </w:r>
            <w:r>
              <w:rPr>
                <w:rFonts w:ascii="Calibri" w:eastAsia="Times New Roman" w:hAnsi="Calibri" w:cs="Calibri"/>
                <w:b w:val="0"/>
                <w:szCs w:val="24"/>
              </w:rPr>
              <w:t xml:space="preserve"> In the survey, 66</w:t>
            </w:r>
            <w:r w:rsidRPr="00512BDA">
              <w:rPr>
                <w:rFonts w:ascii="Calibri" w:eastAsia="Times New Roman" w:hAnsi="Calibri" w:cs="Calibri"/>
                <w:b w:val="0"/>
                <w:szCs w:val="24"/>
              </w:rPr>
              <w:t xml:space="preserve">% </w:t>
            </w:r>
            <w:r>
              <w:rPr>
                <w:rFonts w:ascii="Calibri" w:eastAsia="Times New Roman" w:hAnsi="Calibri" w:cs="Calibri"/>
                <w:b w:val="0"/>
                <w:szCs w:val="24"/>
              </w:rPr>
              <w:t>found a PDC was useful in prioritising their workload and 53% are able to maintain a manageable workload. 65% feel trusted and empowered at work</w:t>
            </w:r>
            <w:r w:rsidRPr="00512BDA">
              <w:rPr>
                <w:rFonts w:ascii="Calibri" w:eastAsia="Times New Roman" w:hAnsi="Calibri" w:cs="Calibri"/>
                <w:b w:val="0"/>
                <w:szCs w:val="24"/>
              </w:rPr>
              <w:t>.</w:t>
            </w:r>
            <w:r>
              <w:rPr>
                <w:rFonts w:ascii="Calibri" w:eastAsia="Times New Roman" w:hAnsi="Calibri" w:cs="Calibri"/>
                <w:b w:val="0"/>
                <w:szCs w:val="24"/>
              </w:rPr>
              <w:t xml:space="preserve"> 46% indicated that they rarely feel stressed.</w:t>
            </w:r>
            <w:r w:rsidRPr="00512BDA">
              <w:rPr>
                <w:rFonts w:ascii="Calibri" w:eastAsia="Times New Roman" w:hAnsi="Calibri" w:cs="Calibri"/>
                <w:b w:val="0"/>
                <w:szCs w:val="24"/>
              </w:rPr>
              <w:t xml:space="preserve"> </w:t>
            </w:r>
            <w:r>
              <w:rPr>
                <w:rFonts w:ascii="Calibri" w:eastAsia="Times New Roman" w:hAnsi="Calibri" w:cs="Calibri"/>
                <w:b w:val="0"/>
                <w:szCs w:val="24"/>
              </w:rPr>
              <w:t xml:space="preserve">The new Performance approach launching in April will ensure that there is a more formal approach to recording PDC’s and ensuring that conversations are undertaken. Career MOT’s will also be an opportunity for employees to explore their professional development/pathways. In December and January, we ran the Road to Well programme which replaced the previous winter carnival. The programme focused on personal development and wellbeing; it </w:t>
            </w:r>
            <w:r w:rsidRPr="00E96764">
              <w:rPr>
                <w:rStyle w:val="ui-provider"/>
                <w:rFonts w:ascii="Calibri" w:hAnsi="Calibri" w:cs="Calibri"/>
                <w:b w:val="0"/>
                <w:szCs w:val="24"/>
              </w:rPr>
              <w:t>included a wide range of different events and engagement opportunities: mindfulness sessions, decider skills training</w:t>
            </w:r>
          </w:p>
        </w:tc>
        <w:tc>
          <w:tcPr>
            <w:tcW w:w="1579" w:type="dxa"/>
            <w:shd w:val="clear" w:color="auto" w:fill="auto"/>
          </w:tcPr>
          <w:p w14:paraId="6746809A" w14:textId="77777777" w:rsidR="0092491F" w:rsidRPr="0073147A" w:rsidRDefault="0092491F" w:rsidP="00AC6E31">
            <w:pPr>
              <w:keepNext/>
              <w:keepLines/>
              <w:contextualSpacing/>
              <w:outlineLvl w:val="1"/>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Cs w:val="24"/>
              </w:rPr>
            </w:pPr>
            <w:r>
              <w:rPr>
                <w:rFonts w:ascii="Calibri" w:eastAsia="Times New Roman" w:hAnsi="Calibri" w:cs="Calibri"/>
                <w:b w:val="0"/>
                <w:szCs w:val="24"/>
              </w:rPr>
              <w:t>Green</w:t>
            </w:r>
          </w:p>
        </w:tc>
      </w:tr>
      <w:tr w:rsidR="0092491F" w:rsidRPr="0073147A" w14:paraId="181D695C" w14:textId="77777777" w:rsidTr="007420DE">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7792" w:type="dxa"/>
            <w:shd w:val="clear" w:color="auto" w:fill="00B050"/>
          </w:tcPr>
          <w:p w14:paraId="702F1EF4" w14:textId="77777777" w:rsidR="0092491F" w:rsidRPr="004A3395" w:rsidRDefault="0092491F" w:rsidP="00AC6E31">
            <w:r w:rsidRPr="0073147A">
              <w:rPr>
                <w:lang w:eastAsia="en-GB"/>
              </w:rPr>
              <w:t>Capacity</w:t>
            </w:r>
          </w:p>
        </w:tc>
        <w:tc>
          <w:tcPr>
            <w:tcW w:w="1579" w:type="dxa"/>
            <w:shd w:val="clear" w:color="auto" w:fill="00B050"/>
          </w:tcPr>
          <w:p w14:paraId="5AC3799D" w14:textId="77777777" w:rsidR="0092491F" w:rsidRPr="0073147A" w:rsidRDefault="0092491F" w:rsidP="00AC6E31">
            <w:pPr>
              <w:keepNext/>
              <w:keepLines/>
              <w:contextualSpacing/>
              <w:outlineLvl w:val="1"/>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Cs w:val="24"/>
              </w:rPr>
            </w:pPr>
          </w:p>
        </w:tc>
      </w:tr>
      <w:tr w:rsidR="0092491F" w:rsidRPr="0073147A" w14:paraId="01B0E90F" w14:textId="77777777" w:rsidTr="007420DE">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7792" w:type="dxa"/>
            <w:shd w:val="clear" w:color="auto" w:fill="FFFFFF" w:themeFill="background1"/>
          </w:tcPr>
          <w:p w14:paraId="7092A3DE" w14:textId="77777777" w:rsidR="007420DE" w:rsidRPr="007420DE" w:rsidRDefault="007420DE" w:rsidP="007420DE">
            <w:pPr>
              <w:keepNext/>
              <w:keepLines/>
              <w:outlineLvl w:val="1"/>
              <w:rPr>
                <w:rFonts w:ascii="Calibri" w:eastAsia="Times New Roman" w:hAnsi="Calibri" w:cs="Calibri"/>
                <w:b w:val="0"/>
                <w:szCs w:val="24"/>
              </w:rPr>
            </w:pPr>
            <w:r w:rsidRPr="007420DE">
              <w:rPr>
                <w:rFonts w:ascii="Calibri" w:eastAsia="Times New Roman" w:hAnsi="Calibri" w:cs="Calibri"/>
                <w:b w:val="0"/>
                <w:szCs w:val="24"/>
              </w:rPr>
              <w:t xml:space="preserve">Sickness – Target: under 2 days per person per quarter. </w:t>
            </w:r>
          </w:p>
          <w:p w14:paraId="5AF85DB1" w14:textId="44A57016" w:rsidR="0092491F" w:rsidRPr="00F86A9A" w:rsidRDefault="007420DE" w:rsidP="007420DE">
            <w:pPr>
              <w:keepNext/>
              <w:keepLines/>
              <w:outlineLvl w:val="1"/>
              <w:rPr>
                <w:rFonts w:ascii="Calibri" w:eastAsia="Times New Roman" w:hAnsi="Calibri" w:cs="Calibri"/>
                <w:b w:val="0"/>
                <w:sz w:val="23"/>
                <w:szCs w:val="23"/>
              </w:rPr>
            </w:pPr>
            <w:r w:rsidRPr="007420DE">
              <w:rPr>
                <w:rFonts w:ascii="Calibri" w:eastAsia="Times New Roman" w:hAnsi="Calibri" w:cs="Calibri"/>
                <w:b w:val="0"/>
                <w:szCs w:val="24"/>
              </w:rPr>
              <w:t>Q4: 1.48 days, with an annual figure of 6.2. This is above the Civil Service average working days lost which is 6.1. However, we are starting to return to the pattern we saw pre-pandemic, where annual days lost were 6.62 days, compared to 3.94 in 2020/21. The majority of the absences are short-term; only 1.38% of sick absences are long term (an absence of 12 weeks or longer).</w:t>
            </w:r>
          </w:p>
        </w:tc>
        <w:tc>
          <w:tcPr>
            <w:tcW w:w="1579" w:type="dxa"/>
            <w:shd w:val="clear" w:color="auto" w:fill="FFFFFF" w:themeFill="background1"/>
          </w:tcPr>
          <w:p w14:paraId="052F4684" w14:textId="77777777" w:rsidR="0092491F" w:rsidRPr="0073147A" w:rsidRDefault="0092491F" w:rsidP="00AC6E31">
            <w:pPr>
              <w:keepNext/>
              <w:keepLines/>
              <w:contextualSpacing/>
              <w:outlineLvl w:val="1"/>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Cs w:val="24"/>
              </w:rPr>
            </w:pPr>
            <w:r>
              <w:rPr>
                <w:rFonts w:ascii="Calibri" w:eastAsia="Times New Roman" w:hAnsi="Calibri" w:cs="Calibri"/>
                <w:b w:val="0"/>
                <w:szCs w:val="24"/>
              </w:rPr>
              <w:t>Green</w:t>
            </w:r>
          </w:p>
        </w:tc>
      </w:tr>
      <w:tr w:rsidR="0092491F" w:rsidRPr="0073147A" w14:paraId="46BF46E6" w14:textId="77777777" w:rsidTr="007420DE">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7792" w:type="dxa"/>
            <w:shd w:val="clear" w:color="auto" w:fill="FFFFFF" w:themeFill="background1"/>
          </w:tcPr>
          <w:p w14:paraId="6DC3F8CA" w14:textId="5C6BB0AC" w:rsidR="0092491F" w:rsidRPr="003E059A" w:rsidRDefault="0092491F" w:rsidP="00AC6E31">
            <w:pPr>
              <w:keepNext/>
              <w:keepLines/>
              <w:outlineLvl w:val="1"/>
              <w:rPr>
                <w:rFonts w:ascii="Calibri" w:eastAsia="Times New Roman" w:hAnsi="Calibri" w:cs="Calibri"/>
                <w:b w:val="0"/>
                <w:sz w:val="23"/>
                <w:szCs w:val="23"/>
              </w:rPr>
            </w:pPr>
            <w:r w:rsidRPr="003E059A">
              <w:rPr>
                <w:rFonts w:ascii="Calibri" w:eastAsia="Times New Roman" w:hAnsi="Calibri" w:cs="Calibri"/>
                <w:b w:val="0"/>
                <w:sz w:val="23"/>
                <w:szCs w:val="23"/>
              </w:rPr>
              <w:t>Q</w:t>
            </w:r>
            <w:r>
              <w:rPr>
                <w:rFonts w:ascii="Calibri" w:eastAsia="Times New Roman" w:hAnsi="Calibri" w:cs="Calibri"/>
                <w:b w:val="0"/>
                <w:sz w:val="23"/>
                <w:szCs w:val="23"/>
              </w:rPr>
              <w:t>4</w:t>
            </w:r>
            <w:r w:rsidRPr="003E059A">
              <w:rPr>
                <w:rFonts w:ascii="Calibri" w:eastAsia="Times New Roman" w:hAnsi="Calibri" w:cs="Calibri"/>
                <w:b w:val="0"/>
                <w:sz w:val="23"/>
                <w:szCs w:val="23"/>
              </w:rPr>
              <w:t>: 91% of holiday leave taken</w:t>
            </w:r>
            <w:r>
              <w:rPr>
                <w:rFonts w:ascii="Calibri" w:eastAsia="Times New Roman" w:hAnsi="Calibri" w:cs="Calibri"/>
                <w:b w:val="0"/>
                <w:sz w:val="23"/>
                <w:szCs w:val="23"/>
              </w:rPr>
              <w:t>;</w:t>
            </w:r>
            <w:r w:rsidRPr="003E059A">
              <w:rPr>
                <w:rFonts w:ascii="Calibri" w:eastAsia="Times New Roman" w:hAnsi="Calibri" w:cs="Calibri"/>
                <w:b w:val="0"/>
                <w:sz w:val="23"/>
                <w:szCs w:val="23"/>
              </w:rPr>
              <w:t xml:space="preserve"> this is within target.  </w:t>
            </w:r>
            <w:r>
              <w:rPr>
                <w:rFonts w:ascii="Calibri" w:eastAsia="Times New Roman" w:hAnsi="Calibri" w:cs="Calibri"/>
                <w:b w:val="0"/>
                <w:sz w:val="23"/>
                <w:szCs w:val="23"/>
              </w:rPr>
              <w:t xml:space="preserve">The notional target at the end of the holiday leave year is 100%, however as we allow a 5 day carry-over, an acceptable level is 88% or higher. </w:t>
            </w:r>
          </w:p>
        </w:tc>
        <w:tc>
          <w:tcPr>
            <w:tcW w:w="1579" w:type="dxa"/>
            <w:shd w:val="clear" w:color="auto" w:fill="FFFFFF" w:themeFill="background1"/>
          </w:tcPr>
          <w:p w14:paraId="122C40D1" w14:textId="77777777" w:rsidR="0092491F" w:rsidRPr="001C6243" w:rsidRDefault="0092491F" w:rsidP="00AC6E31">
            <w:pPr>
              <w:keepNext/>
              <w:keepLines/>
              <w:contextualSpacing/>
              <w:outlineLvl w:val="1"/>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Cs w:val="24"/>
              </w:rPr>
            </w:pPr>
            <w:r>
              <w:rPr>
                <w:rFonts w:ascii="Calibri" w:eastAsia="Times New Roman" w:hAnsi="Calibri" w:cs="Calibri"/>
                <w:b w:val="0"/>
                <w:szCs w:val="24"/>
              </w:rPr>
              <w:t>Green</w:t>
            </w:r>
          </w:p>
        </w:tc>
      </w:tr>
      <w:tr w:rsidR="0092491F" w:rsidRPr="0073147A" w14:paraId="6FFD52AA" w14:textId="77777777" w:rsidTr="007420DE">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7792" w:type="dxa"/>
            <w:shd w:val="clear" w:color="auto" w:fill="00B050"/>
          </w:tcPr>
          <w:p w14:paraId="330FCF81" w14:textId="77777777" w:rsidR="0092491F" w:rsidRPr="0073147A" w:rsidRDefault="0092491F" w:rsidP="00AC6E31">
            <w:pPr>
              <w:keepNext/>
              <w:keepLines/>
              <w:outlineLvl w:val="1"/>
              <w:rPr>
                <w:rFonts w:ascii="Calibri" w:eastAsia="Times New Roman" w:hAnsi="Calibri" w:cs="Calibri"/>
                <w:szCs w:val="24"/>
              </w:rPr>
            </w:pPr>
            <w:r w:rsidRPr="0073147A">
              <w:rPr>
                <w:rFonts w:ascii="Calibri" w:eastAsia="Times New Roman" w:hAnsi="Calibri" w:cs="Calibri"/>
                <w:szCs w:val="24"/>
              </w:rPr>
              <w:t>Development</w:t>
            </w:r>
          </w:p>
        </w:tc>
        <w:tc>
          <w:tcPr>
            <w:tcW w:w="1579" w:type="dxa"/>
            <w:shd w:val="clear" w:color="auto" w:fill="00B050"/>
          </w:tcPr>
          <w:p w14:paraId="00985B90" w14:textId="77777777" w:rsidR="0092491F" w:rsidRPr="0073147A" w:rsidRDefault="0092491F" w:rsidP="00AC6E31">
            <w:pPr>
              <w:keepNext/>
              <w:keepLines/>
              <w:contextualSpacing/>
              <w:outlineLvl w:val="1"/>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Cs w:val="24"/>
              </w:rPr>
            </w:pPr>
          </w:p>
        </w:tc>
      </w:tr>
      <w:tr w:rsidR="0092491F" w:rsidRPr="0073147A" w14:paraId="4F29D596" w14:textId="77777777" w:rsidTr="007420DE">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7792" w:type="dxa"/>
            <w:shd w:val="clear" w:color="auto" w:fill="FFFFFF" w:themeFill="background1"/>
          </w:tcPr>
          <w:p w14:paraId="64593C2B" w14:textId="77777777" w:rsidR="0092491F" w:rsidRPr="001129E1" w:rsidRDefault="0092491F" w:rsidP="00AC6E31">
            <w:pPr>
              <w:keepNext/>
              <w:keepLines/>
              <w:outlineLvl w:val="1"/>
              <w:rPr>
                <w:rFonts w:ascii="Calibri" w:eastAsia="Times New Roman" w:hAnsi="Calibri" w:cs="Calibri"/>
                <w:b w:val="0"/>
                <w:szCs w:val="24"/>
              </w:rPr>
            </w:pPr>
            <w:r w:rsidRPr="001129E1">
              <w:rPr>
                <w:rFonts w:ascii="Calibri" w:eastAsia="Times New Roman" w:hAnsi="Calibri" w:cs="Calibri"/>
                <w:b w:val="0"/>
                <w:szCs w:val="24"/>
              </w:rPr>
              <w:t>Formal Casework - target &lt;=50% of informal casework</w:t>
            </w:r>
          </w:p>
          <w:p w14:paraId="3EC40E59" w14:textId="46BE0A6F" w:rsidR="0092491F" w:rsidRPr="00F86A9A" w:rsidRDefault="0092491F" w:rsidP="00AC6E31">
            <w:pPr>
              <w:keepNext/>
              <w:keepLines/>
              <w:outlineLvl w:val="1"/>
              <w:rPr>
                <w:rFonts w:ascii="Calibri" w:eastAsia="Times New Roman" w:hAnsi="Calibri" w:cs="Calibri"/>
                <w:b w:val="0"/>
                <w:sz w:val="23"/>
                <w:szCs w:val="23"/>
              </w:rPr>
            </w:pPr>
            <w:r w:rsidRPr="00F86A9A">
              <w:rPr>
                <w:rFonts w:ascii="Calibri" w:eastAsia="Times New Roman" w:hAnsi="Calibri" w:cs="Calibri"/>
                <w:b w:val="0"/>
                <w:sz w:val="23"/>
                <w:szCs w:val="23"/>
              </w:rPr>
              <w:t>Q</w:t>
            </w:r>
            <w:r>
              <w:rPr>
                <w:rFonts w:ascii="Calibri" w:eastAsia="Times New Roman" w:hAnsi="Calibri" w:cs="Calibri"/>
                <w:b w:val="0"/>
                <w:sz w:val="23"/>
                <w:szCs w:val="23"/>
              </w:rPr>
              <w:t>4</w:t>
            </w:r>
            <w:r w:rsidRPr="00F86A9A">
              <w:rPr>
                <w:rFonts w:ascii="Calibri" w:eastAsia="Times New Roman" w:hAnsi="Calibri" w:cs="Calibri"/>
                <w:b w:val="0"/>
                <w:sz w:val="23"/>
                <w:szCs w:val="23"/>
              </w:rPr>
              <w:t xml:space="preserve">: </w:t>
            </w:r>
            <w:r>
              <w:rPr>
                <w:rFonts w:ascii="Calibri" w:eastAsia="Times New Roman" w:hAnsi="Calibri" w:cs="Calibri"/>
                <w:b w:val="0"/>
                <w:sz w:val="23"/>
                <w:szCs w:val="23"/>
              </w:rPr>
              <w:t>16.7</w:t>
            </w:r>
            <w:r w:rsidRPr="00F86A9A">
              <w:rPr>
                <w:rFonts w:ascii="Calibri" w:eastAsia="Times New Roman" w:hAnsi="Calibri" w:cs="Calibri"/>
                <w:b w:val="0"/>
                <w:sz w:val="23"/>
                <w:szCs w:val="23"/>
              </w:rPr>
              <w:t>% (</w:t>
            </w:r>
            <w:r>
              <w:rPr>
                <w:rFonts w:ascii="Calibri" w:eastAsia="Times New Roman" w:hAnsi="Calibri" w:cs="Calibri"/>
                <w:b w:val="0"/>
                <w:sz w:val="23"/>
                <w:szCs w:val="23"/>
              </w:rPr>
              <w:t>6</w:t>
            </w:r>
            <w:r w:rsidRPr="00F86A9A">
              <w:rPr>
                <w:rFonts w:ascii="Calibri" w:eastAsia="Times New Roman" w:hAnsi="Calibri" w:cs="Calibri"/>
                <w:b w:val="0"/>
                <w:sz w:val="23"/>
                <w:szCs w:val="23"/>
              </w:rPr>
              <w:t xml:space="preserve"> cases)</w:t>
            </w:r>
            <w:r>
              <w:rPr>
                <w:rFonts w:ascii="Calibri" w:eastAsia="Times New Roman" w:hAnsi="Calibri" w:cs="Calibri"/>
                <w:b w:val="0"/>
                <w:sz w:val="23"/>
                <w:szCs w:val="23"/>
              </w:rPr>
              <w:t xml:space="preserve"> with an annual average of 27.85%</w:t>
            </w:r>
            <w:r w:rsidRPr="00F86A9A">
              <w:rPr>
                <w:rFonts w:ascii="Calibri" w:eastAsia="Times New Roman" w:hAnsi="Calibri" w:cs="Calibri"/>
                <w:b w:val="0"/>
                <w:sz w:val="23"/>
                <w:szCs w:val="23"/>
              </w:rPr>
              <w:t>, well within normal</w:t>
            </w:r>
            <w:r>
              <w:rPr>
                <w:rFonts w:ascii="Calibri" w:eastAsia="Times New Roman" w:hAnsi="Calibri" w:cs="Calibri"/>
                <w:b w:val="0"/>
                <w:sz w:val="23"/>
                <w:szCs w:val="23"/>
              </w:rPr>
              <w:t xml:space="preserve"> range for this type of casework.</w:t>
            </w:r>
          </w:p>
        </w:tc>
        <w:tc>
          <w:tcPr>
            <w:tcW w:w="1579" w:type="dxa"/>
            <w:shd w:val="clear" w:color="auto" w:fill="FFFFFF" w:themeFill="background1"/>
          </w:tcPr>
          <w:p w14:paraId="02674760" w14:textId="77777777" w:rsidR="0092491F" w:rsidRPr="0073147A" w:rsidRDefault="0092491F" w:rsidP="00AC6E31">
            <w:pPr>
              <w:keepNext/>
              <w:keepLines/>
              <w:contextualSpacing/>
              <w:outlineLvl w:val="1"/>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Cs w:val="24"/>
              </w:rPr>
            </w:pPr>
            <w:r>
              <w:rPr>
                <w:rFonts w:ascii="Calibri" w:eastAsia="Times New Roman" w:hAnsi="Calibri" w:cs="Calibri"/>
                <w:b w:val="0"/>
                <w:szCs w:val="24"/>
              </w:rPr>
              <w:t>Green</w:t>
            </w:r>
          </w:p>
        </w:tc>
      </w:tr>
      <w:tr w:rsidR="0092491F" w:rsidRPr="0073147A" w14:paraId="113D66AE" w14:textId="77777777" w:rsidTr="007420DE">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7792" w:type="dxa"/>
            <w:shd w:val="clear" w:color="auto" w:fill="FFFFFF" w:themeFill="background1"/>
          </w:tcPr>
          <w:p w14:paraId="12F3BFAD" w14:textId="77777777" w:rsidR="0092491F" w:rsidRPr="0073147A" w:rsidRDefault="0092491F" w:rsidP="00AC6E31">
            <w:pPr>
              <w:keepNext/>
              <w:keepLines/>
              <w:outlineLvl w:val="1"/>
              <w:rPr>
                <w:rFonts w:ascii="Calibri" w:eastAsia="Times New Roman" w:hAnsi="Calibri" w:cs="Calibri"/>
                <w:b w:val="0"/>
                <w:szCs w:val="24"/>
              </w:rPr>
            </w:pPr>
            <w:r w:rsidRPr="0073147A">
              <w:rPr>
                <w:rFonts w:ascii="Calibri" w:eastAsia="Times New Roman" w:hAnsi="Calibri" w:cs="Calibri"/>
                <w:b w:val="0"/>
                <w:szCs w:val="24"/>
              </w:rPr>
              <w:t xml:space="preserve">Informal Casework </w:t>
            </w:r>
          </w:p>
          <w:p w14:paraId="2C0D14B5" w14:textId="77777777" w:rsidR="0092491F" w:rsidRPr="00F86A9A" w:rsidRDefault="0092491F" w:rsidP="00AC6E31">
            <w:pPr>
              <w:keepNext/>
              <w:keepLines/>
              <w:outlineLvl w:val="1"/>
              <w:rPr>
                <w:rFonts w:ascii="Calibri" w:eastAsia="Times New Roman" w:hAnsi="Calibri" w:cs="Calibri"/>
                <w:b w:val="0"/>
                <w:sz w:val="23"/>
                <w:szCs w:val="23"/>
              </w:rPr>
            </w:pPr>
            <w:r w:rsidRPr="00F86A9A">
              <w:rPr>
                <w:rFonts w:ascii="Calibri" w:eastAsia="Times New Roman" w:hAnsi="Calibri" w:cs="Calibri"/>
                <w:b w:val="0"/>
                <w:sz w:val="23"/>
                <w:szCs w:val="23"/>
              </w:rPr>
              <w:t>Q</w:t>
            </w:r>
            <w:r>
              <w:rPr>
                <w:rFonts w:ascii="Calibri" w:eastAsia="Times New Roman" w:hAnsi="Calibri" w:cs="Calibri"/>
                <w:b w:val="0"/>
                <w:sz w:val="23"/>
                <w:szCs w:val="23"/>
              </w:rPr>
              <w:t>4</w:t>
            </w:r>
            <w:r w:rsidRPr="00F86A9A">
              <w:rPr>
                <w:rFonts w:ascii="Calibri" w:eastAsia="Times New Roman" w:hAnsi="Calibri" w:cs="Calibri"/>
                <w:b w:val="0"/>
                <w:sz w:val="23"/>
                <w:szCs w:val="23"/>
              </w:rPr>
              <w:t xml:space="preserve">: </w:t>
            </w:r>
            <w:r>
              <w:rPr>
                <w:rFonts w:ascii="Calibri" w:eastAsia="Times New Roman" w:hAnsi="Calibri" w:cs="Calibri"/>
                <w:b w:val="0"/>
                <w:sz w:val="23"/>
                <w:szCs w:val="23"/>
              </w:rPr>
              <w:t>27</w:t>
            </w:r>
            <w:r w:rsidRPr="00F86A9A">
              <w:rPr>
                <w:rFonts w:ascii="Calibri" w:eastAsia="Times New Roman" w:hAnsi="Calibri" w:cs="Calibri"/>
                <w:b w:val="0"/>
                <w:sz w:val="23"/>
                <w:szCs w:val="23"/>
              </w:rPr>
              <w:t xml:space="preserve"> cases</w:t>
            </w:r>
            <w:r>
              <w:rPr>
                <w:rFonts w:ascii="Calibri" w:eastAsia="Times New Roman" w:hAnsi="Calibri" w:cs="Calibri"/>
                <w:b w:val="0"/>
                <w:sz w:val="23"/>
                <w:szCs w:val="23"/>
              </w:rPr>
              <w:t>.</w:t>
            </w:r>
            <w:r w:rsidRPr="00F86A9A">
              <w:rPr>
                <w:rFonts w:ascii="Calibri" w:eastAsia="Times New Roman" w:hAnsi="Calibri" w:cs="Calibri"/>
                <w:b w:val="0"/>
                <w:sz w:val="23"/>
                <w:szCs w:val="23"/>
              </w:rPr>
              <w:t xml:space="preserve"> </w:t>
            </w:r>
            <w:r>
              <w:rPr>
                <w:rFonts w:ascii="Calibri" w:eastAsia="Times New Roman" w:hAnsi="Calibri" w:cs="Calibri"/>
                <w:b w:val="0"/>
                <w:sz w:val="23"/>
                <w:szCs w:val="23"/>
              </w:rPr>
              <w:t>W</w:t>
            </w:r>
            <w:r w:rsidRPr="00F86A9A">
              <w:rPr>
                <w:rFonts w:ascii="Calibri" w:eastAsia="Times New Roman" w:hAnsi="Calibri" w:cs="Calibri"/>
                <w:b w:val="0"/>
                <w:sz w:val="23"/>
                <w:szCs w:val="23"/>
              </w:rPr>
              <w:t>ell with</w:t>
            </w:r>
            <w:r>
              <w:rPr>
                <w:rFonts w:ascii="Calibri" w:eastAsia="Times New Roman" w:hAnsi="Calibri" w:cs="Calibri"/>
                <w:b w:val="0"/>
                <w:sz w:val="23"/>
                <w:szCs w:val="23"/>
              </w:rPr>
              <w:t>in the</w:t>
            </w:r>
            <w:r w:rsidRPr="00F86A9A">
              <w:rPr>
                <w:rFonts w:ascii="Calibri" w:eastAsia="Times New Roman" w:hAnsi="Calibri" w:cs="Calibri"/>
                <w:b w:val="0"/>
                <w:sz w:val="23"/>
                <w:szCs w:val="23"/>
              </w:rPr>
              <w:t xml:space="preserve"> normal range for this type of casework</w:t>
            </w:r>
            <w:r>
              <w:rPr>
                <w:rFonts w:ascii="Calibri" w:eastAsia="Times New Roman" w:hAnsi="Calibri" w:cs="Calibri"/>
                <w:b w:val="0"/>
                <w:sz w:val="23"/>
                <w:szCs w:val="23"/>
              </w:rPr>
              <w:t>, however Q4 has seen an increase of 9 cases. This is in line with the trend for Q4 since 2019/20. The increase in Q4 is in relation to health and wellbeing casework.</w:t>
            </w:r>
          </w:p>
        </w:tc>
        <w:tc>
          <w:tcPr>
            <w:tcW w:w="1579" w:type="dxa"/>
            <w:shd w:val="clear" w:color="auto" w:fill="FFFFFF" w:themeFill="background1"/>
          </w:tcPr>
          <w:p w14:paraId="0CE03AD3" w14:textId="77777777" w:rsidR="0092491F" w:rsidRPr="0073147A" w:rsidRDefault="0092491F" w:rsidP="00AC6E31">
            <w:pPr>
              <w:keepNext/>
              <w:keepLines/>
              <w:contextualSpacing/>
              <w:outlineLvl w:val="1"/>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Cs w:val="24"/>
              </w:rPr>
            </w:pPr>
            <w:r>
              <w:rPr>
                <w:rFonts w:ascii="Calibri" w:eastAsia="Times New Roman" w:hAnsi="Calibri" w:cs="Calibri"/>
                <w:b w:val="0"/>
                <w:szCs w:val="24"/>
              </w:rPr>
              <w:t>Green</w:t>
            </w:r>
          </w:p>
        </w:tc>
      </w:tr>
    </w:tbl>
    <w:p w14:paraId="00CEC466" w14:textId="77777777" w:rsidR="0092491F" w:rsidRDefault="0092491F" w:rsidP="0092491F">
      <w:pPr>
        <w:rPr>
          <w:rFonts w:ascii="Calibri" w:hAnsi="Calibri" w:cs="Calibri"/>
          <w:b/>
        </w:rPr>
      </w:pPr>
    </w:p>
    <w:p w14:paraId="4DCDE6CD" w14:textId="77777777" w:rsidR="00AC6E31" w:rsidRDefault="00AC6E31" w:rsidP="0092491F">
      <w:pPr>
        <w:rPr>
          <w:rFonts w:ascii="Calibri" w:hAnsi="Calibri" w:cs="Calibri"/>
          <w:b/>
        </w:rPr>
      </w:pPr>
    </w:p>
    <w:p w14:paraId="26F07924" w14:textId="77777777" w:rsidR="00AC6E31" w:rsidRDefault="00AC6E31" w:rsidP="0092491F">
      <w:pPr>
        <w:rPr>
          <w:rFonts w:ascii="Calibri" w:hAnsi="Calibri" w:cs="Calibri"/>
          <w:b/>
        </w:rPr>
      </w:pPr>
    </w:p>
    <w:tbl>
      <w:tblPr>
        <w:tblStyle w:val="PlainTable1"/>
        <w:tblpPr w:leftFromText="180" w:rightFromText="180" w:vertAnchor="text" w:horzAnchor="margin" w:tblpX="-20" w:tblpY="456"/>
        <w:tblW w:w="9371" w:type="dxa"/>
        <w:tblLook w:val="04A0" w:firstRow="1" w:lastRow="0" w:firstColumn="1" w:lastColumn="0" w:noHBand="0" w:noVBand="1"/>
        <w:tblCaption w:val="POD Table of metrics"/>
      </w:tblPr>
      <w:tblGrid>
        <w:gridCol w:w="7518"/>
        <w:gridCol w:w="1853"/>
      </w:tblGrid>
      <w:tr w:rsidR="00AC6E31" w:rsidRPr="0073147A" w14:paraId="557D3F21" w14:textId="77777777" w:rsidTr="00AC6E31">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7518" w:type="dxa"/>
            <w:shd w:val="clear" w:color="auto" w:fill="00B050"/>
          </w:tcPr>
          <w:p w14:paraId="3A8D6139" w14:textId="77777777" w:rsidR="00AC6E31" w:rsidRPr="0073147A" w:rsidRDefault="00AC6E31" w:rsidP="00AC6E31">
            <w:pPr>
              <w:keepNext/>
              <w:keepLines/>
              <w:outlineLvl w:val="1"/>
              <w:rPr>
                <w:rFonts w:ascii="Calibri" w:eastAsia="Times New Roman" w:hAnsi="Calibri" w:cs="Calibri"/>
                <w:szCs w:val="24"/>
              </w:rPr>
            </w:pPr>
            <w:r w:rsidRPr="0073147A">
              <w:rPr>
                <w:rFonts w:ascii="Calibri" w:eastAsia="Times New Roman" w:hAnsi="Calibri" w:cs="Calibri"/>
                <w:szCs w:val="24"/>
              </w:rPr>
              <w:t>Workforce Profile</w:t>
            </w:r>
          </w:p>
        </w:tc>
        <w:tc>
          <w:tcPr>
            <w:tcW w:w="1853" w:type="dxa"/>
            <w:shd w:val="clear" w:color="auto" w:fill="00B050"/>
          </w:tcPr>
          <w:p w14:paraId="5CD79508" w14:textId="77777777" w:rsidR="00AC6E31" w:rsidRPr="0073147A" w:rsidRDefault="00AC6E31" w:rsidP="00AC6E31">
            <w:pPr>
              <w:keepNext/>
              <w:keepLines/>
              <w:contextualSpacing/>
              <w:outlineLvl w:val="1"/>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Cs w:val="24"/>
              </w:rPr>
            </w:pPr>
          </w:p>
        </w:tc>
      </w:tr>
      <w:tr w:rsidR="00AC6E31" w:rsidRPr="0073147A" w14:paraId="4A11AE3D" w14:textId="77777777" w:rsidTr="00AC6E31">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7518" w:type="dxa"/>
            <w:shd w:val="clear" w:color="auto" w:fill="FFFFFF" w:themeFill="background1"/>
          </w:tcPr>
          <w:p w14:paraId="40EBAC0E" w14:textId="405B54E7" w:rsidR="00AC6E31" w:rsidRPr="0073147A" w:rsidRDefault="00AC6E31" w:rsidP="00AC6E31">
            <w:pPr>
              <w:keepNext/>
              <w:keepLines/>
              <w:outlineLvl w:val="1"/>
              <w:rPr>
                <w:rFonts w:ascii="Calibri" w:eastAsia="Times New Roman" w:hAnsi="Calibri" w:cs="Calibri"/>
                <w:b w:val="0"/>
                <w:szCs w:val="24"/>
              </w:rPr>
            </w:pPr>
            <w:r w:rsidRPr="0073147A">
              <w:rPr>
                <w:rFonts w:ascii="Calibri" w:eastAsia="Times New Roman" w:hAnsi="Calibri" w:cs="Calibri"/>
                <w:b w:val="0"/>
                <w:szCs w:val="24"/>
              </w:rPr>
              <w:t xml:space="preserve">Turnover – </w:t>
            </w:r>
            <w:r w:rsidR="007420DE">
              <w:t xml:space="preserve"> </w:t>
            </w:r>
            <w:r w:rsidR="007420DE" w:rsidRPr="007420DE">
              <w:rPr>
                <w:rFonts w:ascii="Calibri" w:eastAsia="Times New Roman" w:hAnsi="Calibri" w:cs="Calibri"/>
                <w:b w:val="0"/>
                <w:szCs w:val="24"/>
              </w:rPr>
              <w:t>target: maintain in the range of 8-10%</w:t>
            </w:r>
          </w:p>
          <w:p w14:paraId="2C347179" w14:textId="77777777" w:rsidR="00AC6E31" w:rsidRPr="0073147A" w:rsidRDefault="00AC6E31" w:rsidP="00AC6E31">
            <w:pPr>
              <w:keepNext/>
              <w:keepLines/>
              <w:outlineLvl w:val="1"/>
              <w:rPr>
                <w:rFonts w:ascii="Calibri" w:eastAsia="Times New Roman" w:hAnsi="Calibri" w:cs="Calibri"/>
                <w:b w:val="0"/>
                <w:szCs w:val="24"/>
              </w:rPr>
            </w:pPr>
            <w:r w:rsidRPr="00F86A9A">
              <w:rPr>
                <w:rFonts w:ascii="Calibri" w:eastAsia="Times New Roman" w:hAnsi="Calibri" w:cs="Calibri"/>
                <w:b w:val="0"/>
                <w:sz w:val="23"/>
                <w:szCs w:val="23"/>
              </w:rPr>
              <w:t>Q</w:t>
            </w:r>
            <w:r>
              <w:rPr>
                <w:rFonts w:ascii="Calibri" w:eastAsia="Times New Roman" w:hAnsi="Calibri" w:cs="Calibri"/>
                <w:b w:val="0"/>
                <w:sz w:val="23"/>
                <w:szCs w:val="23"/>
              </w:rPr>
              <w:t>4</w:t>
            </w:r>
            <w:r w:rsidRPr="00F86A9A">
              <w:rPr>
                <w:rFonts w:ascii="Calibri" w:eastAsia="Times New Roman" w:hAnsi="Calibri" w:cs="Calibri"/>
                <w:b w:val="0"/>
                <w:sz w:val="23"/>
                <w:szCs w:val="23"/>
              </w:rPr>
              <w:t>: average turnover is 10.</w:t>
            </w:r>
            <w:r>
              <w:rPr>
                <w:rFonts w:ascii="Calibri" w:eastAsia="Times New Roman" w:hAnsi="Calibri" w:cs="Calibri"/>
                <w:b w:val="0"/>
                <w:sz w:val="23"/>
                <w:szCs w:val="23"/>
              </w:rPr>
              <w:t>52</w:t>
            </w:r>
            <w:r w:rsidRPr="00F86A9A">
              <w:rPr>
                <w:rFonts w:ascii="Calibri" w:eastAsia="Times New Roman" w:hAnsi="Calibri" w:cs="Calibri"/>
                <w:b w:val="0"/>
                <w:sz w:val="23"/>
                <w:szCs w:val="23"/>
              </w:rPr>
              <w:t>% (over last 12 months)</w:t>
            </w:r>
            <w:r>
              <w:rPr>
                <w:rFonts w:ascii="Calibri" w:eastAsia="Times New Roman" w:hAnsi="Calibri" w:cs="Calibri"/>
                <w:b w:val="0"/>
                <w:sz w:val="23"/>
                <w:szCs w:val="23"/>
              </w:rPr>
              <w:t>.The leavers in total are 28 in Q4, with 81 leavers to date. Of the leavers in Q4, 21.43% were retirements and 37.71% were employees going to alternative employment. In 2022/23 24.69% of leavers were retirements and 30.86% were employees leaving for alternative employment.  For our exit questionnaire, in 2022/23</w:t>
            </w:r>
            <w:r w:rsidRPr="003C656F">
              <w:rPr>
                <w:rFonts w:ascii="Calibri" w:eastAsia="Times New Roman" w:hAnsi="Calibri" w:cs="Calibri"/>
                <w:b w:val="0"/>
                <w:sz w:val="23"/>
                <w:szCs w:val="23"/>
              </w:rPr>
              <w:t xml:space="preserve"> </w:t>
            </w:r>
            <w:r>
              <w:rPr>
                <w:rFonts w:ascii="Calibri" w:eastAsia="Times New Roman" w:hAnsi="Calibri" w:cs="Calibri"/>
                <w:b w:val="0"/>
                <w:sz w:val="23"/>
                <w:szCs w:val="23"/>
              </w:rPr>
              <w:t>we have had a 43% response rate (35 responses from 81 leavers). This shows further promotion of the exit questionnaire is required for 2023/24. There are no broader corporate issues emerging from the feedback so far.</w:t>
            </w:r>
          </w:p>
        </w:tc>
        <w:tc>
          <w:tcPr>
            <w:tcW w:w="1853" w:type="dxa"/>
            <w:shd w:val="clear" w:color="auto" w:fill="FFFFFF" w:themeFill="background1"/>
          </w:tcPr>
          <w:p w14:paraId="72F2075F" w14:textId="77777777" w:rsidR="00AC6E31" w:rsidRPr="0073147A" w:rsidRDefault="00AC6E31" w:rsidP="00AC6E31">
            <w:pPr>
              <w:keepNext/>
              <w:keepLines/>
              <w:contextualSpacing/>
              <w:outlineLvl w:val="1"/>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Cs w:val="24"/>
              </w:rPr>
            </w:pPr>
            <w:r>
              <w:rPr>
                <w:rFonts w:ascii="Calibri" w:eastAsia="Times New Roman" w:hAnsi="Calibri" w:cs="Calibri"/>
                <w:b w:val="0"/>
                <w:szCs w:val="24"/>
              </w:rPr>
              <w:t>Green</w:t>
            </w:r>
          </w:p>
        </w:tc>
      </w:tr>
      <w:tr w:rsidR="00AC6E31" w:rsidRPr="0073147A" w14:paraId="704142D7" w14:textId="77777777" w:rsidTr="00AC6E31">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7518" w:type="dxa"/>
            <w:shd w:val="clear" w:color="auto" w:fill="FFFFFF" w:themeFill="background1"/>
          </w:tcPr>
          <w:p w14:paraId="23563533" w14:textId="77777777" w:rsidR="00AC6E31" w:rsidRPr="0073147A" w:rsidRDefault="00AC6E31" w:rsidP="00AC6E31">
            <w:pPr>
              <w:keepNext/>
              <w:keepLines/>
              <w:outlineLvl w:val="1"/>
              <w:rPr>
                <w:rFonts w:ascii="Calibri" w:eastAsia="Times New Roman" w:hAnsi="Calibri" w:cs="Calibri"/>
                <w:b w:val="0"/>
                <w:szCs w:val="24"/>
              </w:rPr>
            </w:pPr>
            <w:r w:rsidRPr="0073147A">
              <w:rPr>
                <w:rFonts w:ascii="Calibri" w:eastAsia="Times New Roman" w:hAnsi="Calibri" w:cs="Calibri"/>
                <w:b w:val="0"/>
                <w:szCs w:val="24"/>
              </w:rPr>
              <w:t xml:space="preserve">Internal Movement – target: increase </w:t>
            </w:r>
          </w:p>
          <w:p w14:paraId="3D43B39A" w14:textId="7F2CC20E" w:rsidR="00AC6E31" w:rsidRPr="00F86A9A" w:rsidRDefault="00AC6E31" w:rsidP="00AC6E31">
            <w:pPr>
              <w:keepNext/>
              <w:keepLines/>
              <w:outlineLvl w:val="1"/>
              <w:rPr>
                <w:rFonts w:ascii="Calibri" w:eastAsia="Times New Roman" w:hAnsi="Calibri" w:cs="Calibri"/>
              </w:rPr>
            </w:pPr>
            <w:r w:rsidRPr="00F86A9A">
              <w:rPr>
                <w:rFonts w:ascii="Calibri" w:eastAsia="Times New Roman" w:hAnsi="Calibri" w:cs="Calibri"/>
                <w:b w:val="0"/>
              </w:rPr>
              <w:t>Q</w:t>
            </w:r>
            <w:r>
              <w:rPr>
                <w:rFonts w:ascii="Calibri" w:eastAsia="Times New Roman" w:hAnsi="Calibri" w:cs="Calibri"/>
                <w:b w:val="0"/>
              </w:rPr>
              <w:t>4</w:t>
            </w:r>
            <w:r w:rsidRPr="00F86A9A">
              <w:rPr>
                <w:rFonts w:ascii="Calibri" w:eastAsia="Times New Roman" w:hAnsi="Calibri" w:cs="Calibri"/>
                <w:b w:val="0"/>
              </w:rPr>
              <w:t xml:space="preserve">: </w:t>
            </w:r>
            <w:r w:rsidRPr="00F86A9A">
              <w:rPr>
                <w:rFonts w:ascii="Calibri" w:hAnsi="Calibri" w:cs="Calibri"/>
              </w:rPr>
              <w:t xml:space="preserve"> </w:t>
            </w:r>
            <w:r w:rsidR="007420DE">
              <w:t xml:space="preserve"> </w:t>
            </w:r>
            <w:r w:rsidR="007420DE" w:rsidRPr="007420DE">
              <w:rPr>
                <w:rFonts w:ascii="Calibri" w:hAnsi="Calibri" w:cs="Calibri"/>
                <w:b w:val="0"/>
              </w:rPr>
              <w:t>Internal moves have reduced in this quarter, with 41 internal moves compared to 50 in the previous quarter. In 2022/23 there have been 145 internal moves, (an average of 4.7% of the headcount), into alternative roles through promotion or level transfers. There were a number of failed internal recruitments, which meant posts moving to external recruitment. To date in 2022/23 there have been 231 recruitment exercises. This is comparable to 2021/22 (229 recruitment exercises). Of the 231 exercises, there have been 34 failed recruitments; 17 of those were successful when re-advertised. The failed recruitment rate has increased from 8.7% in 2021/22 to 14.7% in 2022/23.  2022/23 has seen the highest number of new starts in the last 4 years, with a total of 114 new employees. The majority of these were in full-time, fixed term posts which is similar to previous years. The greatest proportion of new starts was in the 25-34 age range.</w:t>
            </w:r>
          </w:p>
        </w:tc>
        <w:tc>
          <w:tcPr>
            <w:tcW w:w="1853" w:type="dxa"/>
            <w:shd w:val="clear" w:color="auto" w:fill="FFFFFF" w:themeFill="background1"/>
          </w:tcPr>
          <w:p w14:paraId="694DFF1F" w14:textId="77777777" w:rsidR="00AC6E31" w:rsidRPr="0073147A" w:rsidRDefault="00AC6E31" w:rsidP="00AC6E31">
            <w:pPr>
              <w:keepNext/>
              <w:keepLines/>
              <w:contextualSpacing/>
              <w:outlineLvl w:val="1"/>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Cs w:val="24"/>
              </w:rPr>
            </w:pPr>
            <w:r>
              <w:rPr>
                <w:rFonts w:ascii="Calibri" w:eastAsia="Times New Roman" w:hAnsi="Calibri" w:cs="Calibri"/>
                <w:b w:val="0"/>
                <w:szCs w:val="24"/>
              </w:rPr>
              <w:t>Green</w:t>
            </w:r>
          </w:p>
        </w:tc>
      </w:tr>
      <w:tr w:rsidR="00AC6E31" w:rsidRPr="0073147A" w14:paraId="794FAA10" w14:textId="77777777" w:rsidTr="00AC6E31">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7518" w:type="dxa"/>
            <w:shd w:val="clear" w:color="auto" w:fill="FFFFFF" w:themeFill="background1"/>
          </w:tcPr>
          <w:p w14:paraId="12AE389B" w14:textId="77777777" w:rsidR="00AC6E31" w:rsidRPr="0073147A" w:rsidRDefault="00AC6E31" w:rsidP="00AC6E31">
            <w:pPr>
              <w:keepNext/>
              <w:keepLines/>
              <w:outlineLvl w:val="1"/>
              <w:rPr>
                <w:rFonts w:ascii="Calibri" w:eastAsia="Times New Roman" w:hAnsi="Calibri" w:cs="Calibri"/>
                <w:b w:val="0"/>
                <w:szCs w:val="24"/>
              </w:rPr>
            </w:pPr>
            <w:r w:rsidRPr="0073147A">
              <w:rPr>
                <w:rFonts w:ascii="Calibri" w:eastAsia="Times New Roman" w:hAnsi="Calibri" w:cs="Calibri"/>
                <w:b w:val="0"/>
                <w:szCs w:val="24"/>
              </w:rPr>
              <w:t xml:space="preserve">Retirement Profile </w:t>
            </w:r>
          </w:p>
          <w:p w14:paraId="40BE4795" w14:textId="220B732F" w:rsidR="00AC6E31" w:rsidRPr="00F86A9A" w:rsidRDefault="00AC6E31" w:rsidP="00AC6E31">
            <w:pPr>
              <w:keepNext/>
              <w:keepLines/>
              <w:outlineLvl w:val="1"/>
              <w:rPr>
                <w:rFonts w:ascii="Calibri" w:eastAsia="Times New Roman" w:hAnsi="Calibri" w:cs="Calibri"/>
                <w:b w:val="0"/>
                <w:sz w:val="23"/>
                <w:szCs w:val="23"/>
              </w:rPr>
            </w:pPr>
            <w:r>
              <w:rPr>
                <w:rFonts w:ascii="Calibri" w:eastAsia="Times New Roman" w:hAnsi="Calibri" w:cs="Calibri"/>
                <w:b w:val="0"/>
                <w:sz w:val="23"/>
                <w:szCs w:val="23"/>
              </w:rPr>
              <w:t>Q4</w:t>
            </w:r>
            <w:r w:rsidRPr="00F86A9A">
              <w:rPr>
                <w:rFonts w:ascii="Calibri" w:eastAsia="Times New Roman" w:hAnsi="Calibri" w:cs="Calibri"/>
                <w:b w:val="0"/>
                <w:sz w:val="23"/>
                <w:szCs w:val="23"/>
              </w:rPr>
              <w:t xml:space="preserve">: </w:t>
            </w:r>
            <w:r w:rsidRPr="00CB3687">
              <w:rPr>
                <w:rFonts w:ascii="Calibri" w:eastAsia="Times New Roman" w:hAnsi="Calibri" w:cs="Calibri"/>
                <w:b w:val="0"/>
                <w:sz w:val="23"/>
                <w:szCs w:val="23"/>
              </w:rPr>
              <w:t>1</w:t>
            </w:r>
            <w:r>
              <w:rPr>
                <w:rFonts w:ascii="Calibri" w:eastAsia="Times New Roman" w:hAnsi="Calibri" w:cs="Calibri"/>
                <w:b w:val="0"/>
                <w:sz w:val="23"/>
                <w:szCs w:val="23"/>
              </w:rPr>
              <w:t>77</w:t>
            </w:r>
            <w:r w:rsidRPr="00CB3687">
              <w:rPr>
                <w:rFonts w:ascii="Calibri" w:eastAsia="Times New Roman" w:hAnsi="Calibri" w:cs="Calibri"/>
                <w:b w:val="0"/>
                <w:sz w:val="23"/>
                <w:szCs w:val="23"/>
              </w:rPr>
              <w:t xml:space="preserve"> employees are aged 57+ currently, predicted to rise to </w:t>
            </w:r>
            <w:r>
              <w:rPr>
                <w:rFonts w:ascii="Calibri" w:eastAsia="Times New Roman" w:hAnsi="Calibri" w:cs="Calibri"/>
                <w:b w:val="0"/>
                <w:sz w:val="23"/>
                <w:szCs w:val="23"/>
              </w:rPr>
              <w:t>227</w:t>
            </w:r>
            <w:r w:rsidRPr="00CB3687">
              <w:rPr>
                <w:rFonts w:ascii="Calibri" w:eastAsia="Times New Roman" w:hAnsi="Calibri" w:cs="Calibri"/>
                <w:b w:val="0"/>
                <w:sz w:val="23"/>
                <w:szCs w:val="23"/>
              </w:rPr>
              <w:t xml:space="preserve"> in 2024/25 (</w:t>
            </w:r>
            <w:r w:rsidR="007420DE">
              <w:rPr>
                <w:rFonts w:ascii="Calibri" w:eastAsia="Times New Roman" w:hAnsi="Calibri" w:cs="Calibri"/>
                <w:b w:val="0"/>
                <w:sz w:val="23"/>
                <w:szCs w:val="23"/>
              </w:rPr>
              <w:t>21</w:t>
            </w:r>
            <w:r w:rsidRPr="00CB3687">
              <w:rPr>
                <w:rFonts w:ascii="Calibri" w:eastAsia="Times New Roman" w:hAnsi="Calibri" w:cs="Calibri"/>
                <w:b w:val="0"/>
                <w:sz w:val="23"/>
                <w:szCs w:val="23"/>
              </w:rPr>
              <w:t xml:space="preserve">% of current headcount).  </w:t>
            </w:r>
            <w:r>
              <w:rPr>
                <w:rFonts w:ascii="Calibri" w:eastAsia="Times New Roman" w:hAnsi="Calibri" w:cs="Calibri"/>
                <w:b w:val="0"/>
                <w:sz w:val="23"/>
                <w:szCs w:val="23"/>
              </w:rPr>
              <w:t>A</w:t>
            </w:r>
            <w:r w:rsidRPr="00CB3687">
              <w:rPr>
                <w:rFonts w:ascii="Calibri" w:eastAsia="Times New Roman" w:hAnsi="Calibri" w:cs="Calibri"/>
                <w:b w:val="0"/>
                <w:sz w:val="23"/>
                <w:szCs w:val="23"/>
              </w:rPr>
              <w:t xml:space="preserve"> further </w:t>
            </w:r>
            <w:r>
              <w:rPr>
                <w:rFonts w:ascii="Calibri" w:eastAsia="Times New Roman" w:hAnsi="Calibri" w:cs="Calibri"/>
                <w:b w:val="0"/>
                <w:sz w:val="23"/>
                <w:szCs w:val="23"/>
              </w:rPr>
              <w:t xml:space="preserve">6 retirements were confirmed for the rest of the financial year, with a total of 19 retirements in 2022/23.This is lower than the predicted figure of 34. The average retirement age for Q4 is 59.5; however the year to date average retirement age is 63. </w:t>
            </w:r>
          </w:p>
        </w:tc>
        <w:tc>
          <w:tcPr>
            <w:tcW w:w="1853" w:type="dxa"/>
            <w:shd w:val="clear" w:color="auto" w:fill="FFFFFF" w:themeFill="background1"/>
          </w:tcPr>
          <w:p w14:paraId="5ECCFE96" w14:textId="77777777" w:rsidR="00AC6E31" w:rsidRPr="0073147A" w:rsidRDefault="00AC6E31" w:rsidP="00AC6E31">
            <w:pPr>
              <w:keepNext/>
              <w:keepLines/>
              <w:contextualSpacing/>
              <w:outlineLvl w:val="1"/>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Cs w:val="24"/>
              </w:rPr>
            </w:pPr>
            <w:r>
              <w:rPr>
                <w:rFonts w:ascii="Calibri" w:eastAsia="Times New Roman" w:hAnsi="Calibri" w:cs="Calibri"/>
                <w:b w:val="0"/>
                <w:szCs w:val="24"/>
              </w:rPr>
              <w:t>Amber</w:t>
            </w:r>
          </w:p>
        </w:tc>
      </w:tr>
    </w:tbl>
    <w:p w14:paraId="03B38EE6" w14:textId="77777777" w:rsidR="00AC6E31" w:rsidRDefault="00AC6E31" w:rsidP="0092491F">
      <w:pPr>
        <w:rPr>
          <w:rFonts w:ascii="Calibri" w:hAnsi="Calibri" w:cs="Calibri"/>
          <w:b/>
        </w:rPr>
      </w:pPr>
    </w:p>
    <w:p w14:paraId="1E7357A7" w14:textId="0442402D" w:rsidR="00EE60A2" w:rsidRDefault="00EE60A2">
      <w:pPr>
        <w:rPr>
          <w:rFonts w:ascii="Calibri" w:hAnsi="Calibri" w:cs="Calibri"/>
          <w:b/>
        </w:rPr>
      </w:pPr>
      <w:r>
        <w:rPr>
          <w:rFonts w:ascii="Calibri" w:hAnsi="Calibri" w:cs="Calibri"/>
          <w:b/>
        </w:rPr>
        <w:br w:type="page"/>
      </w:r>
    </w:p>
    <w:p w14:paraId="175128F7" w14:textId="41F5FCC5" w:rsidR="0092491F" w:rsidRPr="00022B65" w:rsidRDefault="0092491F" w:rsidP="0092491F">
      <w:pPr>
        <w:rPr>
          <w:rFonts w:ascii="Calibri" w:hAnsi="Calibri" w:cs="Calibri"/>
        </w:rPr>
      </w:pPr>
      <w:r w:rsidRPr="00022B65">
        <w:rPr>
          <w:rFonts w:ascii="Calibri" w:hAnsi="Calibri" w:cs="Calibri"/>
          <w:b/>
        </w:rPr>
        <w:lastRenderedPageBreak/>
        <w:t>Internal Movement</w:t>
      </w:r>
    </w:p>
    <w:p w14:paraId="4D6305ED" w14:textId="6EA5A992" w:rsidR="0092491F" w:rsidRDefault="0092491F" w:rsidP="0092491F">
      <w:pPr>
        <w:rPr>
          <w:rFonts w:ascii="Calibri" w:hAnsi="Calibri" w:cs="Calibri"/>
        </w:rPr>
      </w:pPr>
      <w:r w:rsidRPr="009226CE">
        <w:rPr>
          <w:rFonts w:ascii="Calibri" w:hAnsi="Calibri" w:cs="Calibri"/>
        </w:rPr>
        <w:t xml:space="preserve">Q4 </w:t>
      </w:r>
      <w:r>
        <w:rPr>
          <w:rFonts w:ascii="Calibri" w:hAnsi="Calibri" w:cs="Calibri"/>
        </w:rPr>
        <w:t>saw an increase in recruitment exercises and</w:t>
      </w:r>
      <w:r w:rsidR="007420DE">
        <w:rPr>
          <w:rFonts w:ascii="Calibri" w:hAnsi="Calibri" w:cs="Calibri"/>
        </w:rPr>
        <w:t>, positively,</w:t>
      </w:r>
      <w:r>
        <w:rPr>
          <w:rFonts w:ascii="Calibri" w:hAnsi="Calibri" w:cs="Calibri"/>
        </w:rPr>
        <w:t xml:space="preserve"> an increase in the number of applications for the vacancies being advertised. The number o</w:t>
      </w:r>
      <w:r w:rsidR="007420DE">
        <w:rPr>
          <w:rFonts w:ascii="Calibri" w:hAnsi="Calibri" w:cs="Calibri"/>
        </w:rPr>
        <w:t>f applications went up by 124</w:t>
      </w:r>
      <w:r>
        <w:rPr>
          <w:rFonts w:ascii="Calibri" w:hAnsi="Calibri" w:cs="Calibri"/>
        </w:rPr>
        <w:t xml:space="preserve">% from 329 in Q3 to 807 in Q4.  This may be due to the increase in people </w:t>
      </w:r>
      <w:r w:rsidR="00734E52">
        <w:rPr>
          <w:rFonts w:ascii="Calibri" w:hAnsi="Calibri" w:cs="Calibri"/>
        </w:rPr>
        <w:t>looking for alternative employment</w:t>
      </w:r>
      <w:r>
        <w:rPr>
          <w:rFonts w:ascii="Calibri" w:hAnsi="Calibri" w:cs="Calibri"/>
        </w:rPr>
        <w:t xml:space="preserve"> after the New Year and the decrease in the number of vacancies nationwide for applicants to apply for, as reported by ONS in December 2022. </w:t>
      </w:r>
    </w:p>
    <w:p w14:paraId="64672B6A" w14:textId="48780994" w:rsidR="008A0E44" w:rsidRDefault="001B67AC" w:rsidP="0092491F">
      <w:pPr>
        <w:rPr>
          <w:rFonts w:ascii="Calibri" w:hAnsi="Calibri" w:cs="Calibri"/>
        </w:rPr>
      </w:pPr>
      <w:r>
        <w:rPr>
          <w:rFonts w:ascii="Calibri" w:hAnsi="Calibri" w:cs="Calibri"/>
          <w:noProof/>
          <w:lang w:eastAsia="en-GB"/>
        </w:rPr>
        <w:drawing>
          <wp:inline distT="0" distB="0" distL="0" distR="0" wp14:anchorId="66766527" wp14:editId="64041101">
            <wp:extent cx="4933950" cy="2476500"/>
            <wp:effectExtent l="0" t="0" r="0" b="0"/>
            <wp:docPr id="7" name="Picture 7" title="FTE Gra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4933950" cy="2476500"/>
                    </a:xfrm>
                    <a:prstGeom prst="rect">
                      <a:avLst/>
                    </a:prstGeom>
                    <a:noFill/>
                  </pic:spPr>
                </pic:pic>
              </a:graphicData>
            </a:graphic>
          </wp:inline>
        </w:drawing>
      </w:r>
    </w:p>
    <w:p w14:paraId="51934491" w14:textId="163EF3F6" w:rsidR="008A0E44" w:rsidRDefault="00EC788F" w:rsidP="0092491F">
      <w:pPr>
        <w:rPr>
          <w:rFonts w:ascii="Calibri" w:hAnsi="Calibri" w:cs="Calibri"/>
        </w:rPr>
      </w:pPr>
      <w:r>
        <w:rPr>
          <w:rFonts w:ascii="Calibri" w:hAnsi="Calibri" w:cs="Calibri"/>
        </w:rPr>
        <w:t>The head count and FTE has been steadily increasing since</w:t>
      </w:r>
      <w:r w:rsidR="000E7A54">
        <w:rPr>
          <w:rFonts w:ascii="Calibri" w:hAnsi="Calibri" w:cs="Calibri"/>
        </w:rPr>
        <w:t xml:space="preserve"> 31</w:t>
      </w:r>
      <w:r>
        <w:rPr>
          <w:rFonts w:ascii="Calibri" w:hAnsi="Calibri" w:cs="Calibri"/>
        </w:rPr>
        <w:t xml:space="preserve"> March 22, by 31 March 23 the headcount had increased by 42, and an increase of 52 in FTE</w:t>
      </w:r>
      <w:r w:rsidR="000E7A54">
        <w:rPr>
          <w:rFonts w:ascii="Calibri" w:hAnsi="Calibri" w:cs="Calibri"/>
        </w:rPr>
        <w:t>. The increase in FTE indicates that in 22/23 there has been an increase in full-time employees compared to March 2022.</w:t>
      </w:r>
    </w:p>
    <w:p w14:paraId="0821E0D7" w14:textId="493BB18C" w:rsidR="001E181A" w:rsidRDefault="001E181A" w:rsidP="0092491F">
      <w:pPr>
        <w:rPr>
          <w:rFonts w:ascii="Calibri" w:hAnsi="Calibri" w:cs="Calibri"/>
        </w:rPr>
      </w:pPr>
      <w:r>
        <w:rPr>
          <w:rFonts w:ascii="Calibri" w:hAnsi="Calibri" w:cs="Calibri"/>
          <w:noProof/>
          <w:lang w:eastAsia="en-GB"/>
        </w:rPr>
        <w:drawing>
          <wp:inline distT="0" distB="0" distL="0" distR="0" wp14:anchorId="75867783" wp14:editId="172F7709">
            <wp:extent cx="4584700" cy="2749550"/>
            <wp:effectExtent l="0" t="0" r="6350" b="0"/>
            <wp:docPr id="17" name="Picture 17" title="Paybill funding gra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4584700" cy="2749550"/>
                    </a:xfrm>
                    <a:prstGeom prst="rect">
                      <a:avLst/>
                    </a:prstGeom>
                    <a:noFill/>
                  </pic:spPr>
                </pic:pic>
              </a:graphicData>
            </a:graphic>
          </wp:inline>
        </w:drawing>
      </w:r>
    </w:p>
    <w:p w14:paraId="2FA0F645" w14:textId="7B3C60C1" w:rsidR="00AC6E31" w:rsidRDefault="001E181A" w:rsidP="00AC6E31">
      <w:pPr>
        <w:spacing w:after="0"/>
        <w:rPr>
          <w:rFonts w:ascii="Calibri" w:hAnsi="Calibri" w:cs="Calibri"/>
        </w:rPr>
      </w:pPr>
      <w:r>
        <w:rPr>
          <w:rFonts w:ascii="Calibri" w:hAnsi="Calibri" w:cs="Calibri"/>
        </w:rPr>
        <w:t>2022/23 saw an increase in project funded posts</w:t>
      </w:r>
      <w:r w:rsidR="006F55CD">
        <w:rPr>
          <w:rFonts w:ascii="Calibri" w:hAnsi="Calibri" w:cs="Calibri"/>
        </w:rPr>
        <w:t>,</w:t>
      </w:r>
      <w:r>
        <w:rPr>
          <w:rFonts w:ascii="Calibri" w:hAnsi="Calibri" w:cs="Calibri"/>
        </w:rPr>
        <w:t xml:space="preserve"> which will have contributed to the increase in </w:t>
      </w:r>
      <w:r w:rsidR="006F55CD">
        <w:rPr>
          <w:rFonts w:ascii="Calibri" w:hAnsi="Calibri" w:cs="Calibri"/>
        </w:rPr>
        <w:t>the headcount during this financial year.</w:t>
      </w:r>
    </w:p>
    <w:p w14:paraId="5658C040" w14:textId="77777777" w:rsidR="006F55CD" w:rsidRPr="001E181A" w:rsidRDefault="006F55CD" w:rsidP="00AC6E31">
      <w:pPr>
        <w:spacing w:after="0"/>
        <w:rPr>
          <w:rFonts w:ascii="Calibri" w:hAnsi="Calibri" w:cs="Calibri"/>
        </w:rPr>
      </w:pPr>
    </w:p>
    <w:p w14:paraId="6AE72BCA" w14:textId="26DE0CE2" w:rsidR="0092491F" w:rsidRPr="009226CE" w:rsidRDefault="0092491F" w:rsidP="0092491F">
      <w:pPr>
        <w:rPr>
          <w:rFonts w:ascii="Calibri" w:hAnsi="Calibri" w:cs="Calibri"/>
          <w:b/>
        </w:rPr>
      </w:pPr>
      <w:r w:rsidRPr="009226CE">
        <w:rPr>
          <w:rFonts w:ascii="Calibri" w:hAnsi="Calibri" w:cs="Calibri"/>
          <w:b/>
        </w:rPr>
        <w:t>Equality Report</w:t>
      </w:r>
      <w:r>
        <w:rPr>
          <w:rFonts w:ascii="Calibri" w:hAnsi="Calibri" w:cs="Calibri"/>
          <w:b/>
        </w:rPr>
        <w:t xml:space="preserve"> Highlights</w:t>
      </w:r>
      <w:r w:rsidRPr="009226CE">
        <w:rPr>
          <w:rFonts w:ascii="Calibri" w:hAnsi="Calibri" w:cs="Calibri"/>
          <w:b/>
        </w:rPr>
        <w:t xml:space="preserve"> - </w:t>
      </w:r>
    </w:p>
    <w:p w14:paraId="4187C44B" w14:textId="77777777" w:rsidR="0092491F" w:rsidRDefault="0092491F" w:rsidP="003E7B62">
      <w:pPr>
        <w:pStyle w:val="ListParagraph"/>
        <w:numPr>
          <w:ilvl w:val="0"/>
          <w:numId w:val="17"/>
        </w:numPr>
        <w:rPr>
          <w:rFonts w:ascii="Calibri" w:eastAsiaTheme="majorEastAsia" w:hAnsi="Calibri" w:cs="Calibri"/>
          <w:szCs w:val="26"/>
        </w:rPr>
      </w:pPr>
      <w:r>
        <w:rPr>
          <w:rFonts w:ascii="Calibri" w:eastAsiaTheme="majorEastAsia" w:hAnsi="Calibri" w:cs="Calibri"/>
          <w:szCs w:val="26"/>
        </w:rPr>
        <w:lastRenderedPageBreak/>
        <w:t>Gender Pay gap ha</w:t>
      </w:r>
      <w:r w:rsidRPr="009A2C23">
        <w:rPr>
          <w:rFonts w:ascii="Calibri" w:eastAsiaTheme="majorEastAsia" w:hAnsi="Calibri" w:cs="Calibri"/>
          <w:szCs w:val="26"/>
        </w:rPr>
        <w:t>s reduced to 7.5%</w:t>
      </w:r>
      <w:r>
        <w:rPr>
          <w:rFonts w:ascii="Calibri" w:eastAsiaTheme="majorEastAsia" w:hAnsi="Calibri" w:cs="Calibri"/>
          <w:szCs w:val="26"/>
        </w:rPr>
        <w:t>, from 15.01% in 2017, going beyond the target of 9% in our Equality Outcomes.</w:t>
      </w:r>
    </w:p>
    <w:p w14:paraId="108237E8" w14:textId="77777777" w:rsidR="0092491F" w:rsidRDefault="0092491F" w:rsidP="003E7B62">
      <w:pPr>
        <w:pStyle w:val="ListParagraph"/>
        <w:numPr>
          <w:ilvl w:val="0"/>
          <w:numId w:val="17"/>
        </w:numPr>
        <w:rPr>
          <w:rFonts w:ascii="Calibri" w:eastAsiaTheme="majorEastAsia" w:hAnsi="Calibri" w:cs="Calibri"/>
          <w:szCs w:val="26"/>
        </w:rPr>
      </w:pPr>
      <w:r>
        <w:rPr>
          <w:rFonts w:ascii="Calibri" w:eastAsiaTheme="majorEastAsia" w:hAnsi="Calibri" w:cs="Calibri"/>
          <w:szCs w:val="26"/>
        </w:rPr>
        <w:t>As at the 31</w:t>
      </w:r>
      <w:r w:rsidRPr="009A2C23">
        <w:rPr>
          <w:rFonts w:ascii="Calibri" w:eastAsiaTheme="majorEastAsia" w:hAnsi="Calibri" w:cs="Calibri"/>
          <w:szCs w:val="26"/>
          <w:vertAlign w:val="superscript"/>
        </w:rPr>
        <w:t>st</w:t>
      </w:r>
      <w:r>
        <w:rPr>
          <w:rFonts w:ascii="Calibri" w:eastAsiaTheme="majorEastAsia" w:hAnsi="Calibri" w:cs="Calibri"/>
          <w:szCs w:val="26"/>
        </w:rPr>
        <w:t xml:space="preserve"> March 2023 our gender headcount is:</w:t>
      </w:r>
    </w:p>
    <w:p w14:paraId="6EA77DC5" w14:textId="77777777" w:rsidR="0092491F" w:rsidRDefault="0092491F" w:rsidP="0092491F">
      <w:pPr>
        <w:pStyle w:val="ListParagraph"/>
        <w:rPr>
          <w:rFonts w:ascii="Calibri" w:eastAsiaTheme="majorEastAsia" w:hAnsi="Calibri" w:cs="Calibri"/>
          <w:szCs w:val="26"/>
        </w:rPr>
      </w:pPr>
    </w:p>
    <w:tbl>
      <w:tblPr>
        <w:tblStyle w:val="TableGrid"/>
        <w:tblW w:w="0" w:type="auto"/>
        <w:tblInd w:w="720" w:type="dxa"/>
        <w:tblLook w:val="04A0" w:firstRow="1" w:lastRow="0" w:firstColumn="1" w:lastColumn="0" w:noHBand="0" w:noVBand="1"/>
        <w:tblCaption w:val="Headcount and FTE table"/>
      </w:tblPr>
      <w:tblGrid>
        <w:gridCol w:w="1020"/>
        <w:gridCol w:w="1306"/>
        <w:gridCol w:w="1020"/>
      </w:tblGrid>
      <w:tr w:rsidR="0092491F" w:rsidRPr="001B49CD" w14:paraId="7C172236" w14:textId="77777777" w:rsidTr="00C51CB3">
        <w:trPr>
          <w:trHeight w:val="537"/>
          <w:tblHeader/>
        </w:trPr>
        <w:tc>
          <w:tcPr>
            <w:tcW w:w="1020" w:type="dxa"/>
          </w:tcPr>
          <w:p w14:paraId="2A90DB24" w14:textId="77777777" w:rsidR="0092491F" w:rsidRPr="001B49CD" w:rsidRDefault="0092491F" w:rsidP="00AC6E31">
            <w:pPr>
              <w:pStyle w:val="ListParagraph"/>
              <w:spacing w:after="200" w:line="276" w:lineRule="auto"/>
              <w:ind w:left="0"/>
              <w:rPr>
                <w:rFonts w:ascii="Calibri" w:eastAsiaTheme="majorEastAsia" w:hAnsi="Calibri" w:cs="Calibri"/>
                <w:b/>
                <w:szCs w:val="26"/>
              </w:rPr>
            </w:pPr>
            <w:r w:rsidRPr="001B49CD">
              <w:rPr>
                <w:rFonts w:ascii="Calibri" w:eastAsiaTheme="majorEastAsia" w:hAnsi="Calibri" w:cs="Calibri"/>
                <w:b/>
                <w:szCs w:val="26"/>
              </w:rPr>
              <w:t>Gender</w:t>
            </w:r>
          </w:p>
        </w:tc>
        <w:tc>
          <w:tcPr>
            <w:tcW w:w="1020" w:type="dxa"/>
          </w:tcPr>
          <w:p w14:paraId="1233AF33" w14:textId="77777777" w:rsidR="0092491F" w:rsidRPr="001B49CD" w:rsidRDefault="0092491F" w:rsidP="00AC6E31">
            <w:pPr>
              <w:pStyle w:val="ListParagraph"/>
              <w:spacing w:after="200" w:line="276" w:lineRule="auto"/>
              <w:ind w:left="0"/>
              <w:jc w:val="center"/>
              <w:rPr>
                <w:rFonts w:ascii="Calibri" w:eastAsiaTheme="majorEastAsia" w:hAnsi="Calibri" w:cs="Calibri"/>
                <w:b/>
                <w:szCs w:val="26"/>
              </w:rPr>
            </w:pPr>
            <w:r w:rsidRPr="001B49CD">
              <w:rPr>
                <w:rFonts w:ascii="Calibri" w:eastAsiaTheme="majorEastAsia" w:hAnsi="Calibri" w:cs="Calibri"/>
                <w:b/>
                <w:szCs w:val="26"/>
              </w:rPr>
              <w:t>Headcount</w:t>
            </w:r>
            <w:r>
              <w:rPr>
                <w:rFonts w:ascii="Calibri" w:eastAsiaTheme="majorEastAsia" w:hAnsi="Calibri" w:cs="Calibri"/>
                <w:b/>
                <w:szCs w:val="26"/>
              </w:rPr>
              <w:t xml:space="preserve"> </w:t>
            </w:r>
          </w:p>
        </w:tc>
        <w:tc>
          <w:tcPr>
            <w:tcW w:w="1020" w:type="dxa"/>
          </w:tcPr>
          <w:p w14:paraId="63D4F711" w14:textId="77777777" w:rsidR="0092491F" w:rsidRPr="001B49CD" w:rsidRDefault="0092491F" w:rsidP="00AC6E31">
            <w:pPr>
              <w:pStyle w:val="ListParagraph"/>
              <w:spacing w:after="200" w:line="276" w:lineRule="auto"/>
              <w:ind w:left="0"/>
              <w:jc w:val="center"/>
              <w:rPr>
                <w:rFonts w:ascii="Calibri" w:eastAsiaTheme="majorEastAsia" w:hAnsi="Calibri" w:cs="Calibri"/>
                <w:b/>
                <w:szCs w:val="26"/>
              </w:rPr>
            </w:pPr>
            <w:r>
              <w:rPr>
                <w:rFonts w:ascii="Calibri" w:eastAsiaTheme="majorEastAsia" w:hAnsi="Calibri" w:cs="Calibri"/>
                <w:b/>
                <w:szCs w:val="26"/>
              </w:rPr>
              <w:t>FTE</w:t>
            </w:r>
          </w:p>
        </w:tc>
      </w:tr>
      <w:tr w:rsidR="0092491F" w14:paraId="069928CD" w14:textId="77777777" w:rsidTr="00AC6E31">
        <w:trPr>
          <w:trHeight w:val="537"/>
        </w:trPr>
        <w:tc>
          <w:tcPr>
            <w:tcW w:w="1020" w:type="dxa"/>
          </w:tcPr>
          <w:p w14:paraId="1E88660F" w14:textId="77777777" w:rsidR="0092491F" w:rsidRDefault="0092491F" w:rsidP="00AC6E31">
            <w:pPr>
              <w:pStyle w:val="ListParagraph"/>
              <w:spacing w:after="200" w:line="276" w:lineRule="auto"/>
              <w:ind w:left="0"/>
              <w:rPr>
                <w:rFonts w:ascii="Calibri" w:eastAsiaTheme="majorEastAsia" w:hAnsi="Calibri" w:cs="Calibri"/>
                <w:szCs w:val="26"/>
              </w:rPr>
            </w:pPr>
            <w:r>
              <w:rPr>
                <w:rFonts w:ascii="Calibri" w:eastAsiaTheme="majorEastAsia" w:hAnsi="Calibri" w:cs="Calibri"/>
                <w:szCs w:val="26"/>
              </w:rPr>
              <w:t>Female</w:t>
            </w:r>
          </w:p>
        </w:tc>
        <w:tc>
          <w:tcPr>
            <w:tcW w:w="1020" w:type="dxa"/>
          </w:tcPr>
          <w:p w14:paraId="71C00B6A" w14:textId="77777777" w:rsidR="0092491F" w:rsidRDefault="0092491F" w:rsidP="00AC6E31">
            <w:pPr>
              <w:pStyle w:val="ListParagraph"/>
              <w:spacing w:after="200" w:line="276" w:lineRule="auto"/>
              <w:ind w:left="0"/>
              <w:rPr>
                <w:rFonts w:ascii="Calibri" w:eastAsiaTheme="majorEastAsia" w:hAnsi="Calibri" w:cs="Calibri"/>
                <w:szCs w:val="26"/>
              </w:rPr>
            </w:pPr>
            <w:r>
              <w:rPr>
                <w:rFonts w:ascii="Calibri" w:eastAsiaTheme="majorEastAsia" w:hAnsi="Calibri" w:cs="Calibri"/>
                <w:szCs w:val="26"/>
              </w:rPr>
              <w:t>462</w:t>
            </w:r>
          </w:p>
        </w:tc>
        <w:tc>
          <w:tcPr>
            <w:tcW w:w="1020" w:type="dxa"/>
          </w:tcPr>
          <w:p w14:paraId="6F82C3A9" w14:textId="77777777" w:rsidR="0092491F" w:rsidRDefault="0092491F" w:rsidP="00AC6E31">
            <w:pPr>
              <w:pStyle w:val="ListParagraph"/>
              <w:spacing w:after="200" w:line="276" w:lineRule="auto"/>
              <w:ind w:left="0"/>
              <w:rPr>
                <w:rFonts w:ascii="Calibri" w:eastAsiaTheme="majorEastAsia" w:hAnsi="Calibri" w:cs="Calibri"/>
                <w:szCs w:val="26"/>
              </w:rPr>
            </w:pPr>
            <w:r>
              <w:rPr>
                <w:rFonts w:ascii="Calibri" w:eastAsiaTheme="majorEastAsia" w:hAnsi="Calibri" w:cs="Calibri"/>
                <w:szCs w:val="26"/>
              </w:rPr>
              <w:t>414</w:t>
            </w:r>
          </w:p>
        </w:tc>
      </w:tr>
      <w:tr w:rsidR="0092491F" w14:paraId="7F5BC3F4" w14:textId="77777777" w:rsidTr="00AC6E31">
        <w:trPr>
          <w:trHeight w:val="537"/>
        </w:trPr>
        <w:tc>
          <w:tcPr>
            <w:tcW w:w="1020" w:type="dxa"/>
          </w:tcPr>
          <w:p w14:paraId="3CBF046F" w14:textId="77777777" w:rsidR="0092491F" w:rsidRDefault="0092491F" w:rsidP="00AC6E31">
            <w:pPr>
              <w:pStyle w:val="ListParagraph"/>
              <w:spacing w:after="200" w:line="276" w:lineRule="auto"/>
              <w:ind w:left="0"/>
              <w:rPr>
                <w:rFonts w:ascii="Calibri" w:eastAsiaTheme="majorEastAsia" w:hAnsi="Calibri" w:cs="Calibri"/>
                <w:szCs w:val="26"/>
              </w:rPr>
            </w:pPr>
            <w:r>
              <w:rPr>
                <w:rFonts w:ascii="Calibri" w:eastAsiaTheme="majorEastAsia" w:hAnsi="Calibri" w:cs="Calibri"/>
                <w:szCs w:val="26"/>
              </w:rPr>
              <w:t>Male</w:t>
            </w:r>
          </w:p>
        </w:tc>
        <w:tc>
          <w:tcPr>
            <w:tcW w:w="1020" w:type="dxa"/>
          </w:tcPr>
          <w:p w14:paraId="0719E680" w14:textId="77777777" w:rsidR="0092491F" w:rsidRDefault="0092491F" w:rsidP="00AC6E31">
            <w:pPr>
              <w:pStyle w:val="ListParagraph"/>
              <w:spacing w:after="200" w:line="276" w:lineRule="auto"/>
              <w:ind w:left="0"/>
              <w:rPr>
                <w:rFonts w:ascii="Calibri" w:eastAsiaTheme="majorEastAsia" w:hAnsi="Calibri" w:cs="Calibri"/>
                <w:szCs w:val="26"/>
              </w:rPr>
            </w:pPr>
            <w:r>
              <w:rPr>
                <w:rFonts w:ascii="Calibri" w:eastAsiaTheme="majorEastAsia" w:hAnsi="Calibri" w:cs="Calibri"/>
                <w:szCs w:val="26"/>
              </w:rPr>
              <w:t>315</w:t>
            </w:r>
          </w:p>
        </w:tc>
        <w:tc>
          <w:tcPr>
            <w:tcW w:w="1020" w:type="dxa"/>
          </w:tcPr>
          <w:p w14:paraId="07AC7D9E" w14:textId="77777777" w:rsidR="0092491F" w:rsidRDefault="0092491F" w:rsidP="00AC6E31">
            <w:pPr>
              <w:pStyle w:val="ListParagraph"/>
              <w:spacing w:after="200" w:line="276" w:lineRule="auto"/>
              <w:ind w:left="0"/>
              <w:rPr>
                <w:rFonts w:ascii="Calibri" w:eastAsiaTheme="majorEastAsia" w:hAnsi="Calibri" w:cs="Calibri"/>
                <w:szCs w:val="26"/>
              </w:rPr>
            </w:pPr>
            <w:r>
              <w:rPr>
                <w:rFonts w:ascii="Calibri" w:eastAsiaTheme="majorEastAsia" w:hAnsi="Calibri" w:cs="Calibri"/>
                <w:szCs w:val="26"/>
              </w:rPr>
              <w:t>305</w:t>
            </w:r>
          </w:p>
        </w:tc>
      </w:tr>
      <w:tr w:rsidR="0092491F" w14:paraId="17241230" w14:textId="77777777" w:rsidTr="00AC6E31">
        <w:trPr>
          <w:trHeight w:val="537"/>
        </w:trPr>
        <w:tc>
          <w:tcPr>
            <w:tcW w:w="1020" w:type="dxa"/>
          </w:tcPr>
          <w:p w14:paraId="7E795243" w14:textId="77777777" w:rsidR="0092491F" w:rsidRPr="009A2C23" w:rsidRDefault="0092491F" w:rsidP="00AC6E31">
            <w:pPr>
              <w:pStyle w:val="ListParagraph"/>
              <w:spacing w:after="200" w:line="276" w:lineRule="auto"/>
              <w:ind w:left="0"/>
              <w:rPr>
                <w:rFonts w:ascii="Calibri" w:eastAsiaTheme="majorEastAsia" w:hAnsi="Calibri" w:cs="Calibri"/>
                <w:b/>
                <w:szCs w:val="26"/>
              </w:rPr>
            </w:pPr>
            <w:r w:rsidRPr="009A2C23">
              <w:rPr>
                <w:rFonts w:ascii="Calibri" w:eastAsiaTheme="majorEastAsia" w:hAnsi="Calibri" w:cs="Calibri"/>
                <w:b/>
                <w:szCs w:val="26"/>
              </w:rPr>
              <w:t>Total</w:t>
            </w:r>
          </w:p>
        </w:tc>
        <w:tc>
          <w:tcPr>
            <w:tcW w:w="1020" w:type="dxa"/>
          </w:tcPr>
          <w:p w14:paraId="0F55C077" w14:textId="77777777" w:rsidR="0092491F" w:rsidRDefault="0092491F" w:rsidP="00AC6E31">
            <w:pPr>
              <w:pStyle w:val="ListParagraph"/>
              <w:spacing w:after="200" w:line="276" w:lineRule="auto"/>
              <w:ind w:left="0"/>
              <w:rPr>
                <w:rFonts w:ascii="Calibri" w:eastAsiaTheme="majorEastAsia" w:hAnsi="Calibri" w:cs="Calibri"/>
                <w:szCs w:val="26"/>
              </w:rPr>
            </w:pPr>
            <w:r>
              <w:rPr>
                <w:rFonts w:ascii="Calibri" w:eastAsiaTheme="majorEastAsia" w:hAnsi="Calibri" w:cs="Calibri"/>
                <w:szCs w:val="26"/>
              </w:rPr>
              <w:t>777</w:t>
            </w:r>
          </w:p>
        </w:tc>
        <w:tc>
          <w:tcPr>
            <w:tcW w:w="1020" w:type="dxa"/>
          </w:tcPr>
          <w:p w14:paraId="67C54CE6" w14:textId="77777777" w:rsidR="0092491F" w:rsidRDefault="0092491F" w:rsidP="00AC6E31">
            <w:pPr>
              <w:pStyle w:val="ListParagraph"/>
              <w:spacing w:after="200" w:line="276" w:lineRule="auto"/>
              <w:ind w:left="0"/>
              <w:rPr>
                <w:rFonts w:ascii="Calibri" w:eastAsiaTheme="majorEastAsia" w:hAnsi="Calibri" w:cs="Calibri"/>
                <w:szCs w:val="26"/>
              </w:rPr>
            </w:pPr>
            <w:r>
              <w:rPr>
                <w:rFonts w:ascii="Calibri" w:eastAsiaTheme="majorEastAsia" w:hAnsi="Calibri" w:cs="Calibri"/>
                <w:szCs w:val="26"/>
              </w:rPr>
              <w:t>719</w:t>
            </w:r>
          </w:p>
        </w:tc>
      </w:tr>
    </w:tbl>
    <w:p w14:paraId="7CE6F0A9" w14:textId="77777777" w:rsidR="00AC6E31" w:rsidRDefault="00AC6E31" w:rsidP="0092491F">
      <w:pPr>
        <w:pStyle w:val="ListParagraph"/>
        <w:rPr>
          <w:rFonts w:ascii="Calibri" w:eastAsiaTheme="majorEastAsia" w:hAnsi="Calibri" w:cs="Calibri"/>
          <w:szCs w:val="26"/>
        </w:rPr>
      </w:pPr>
    </w:p>
    <w:p w14:paraId="5DDA6DDD" w14:textId="03F58473" w:rsidR="0092491F" w:rsidRDefault="0092491F" w:rsidP="0092491F">
      <w:pPr>
        <w:pStyle w:val="ListParagraph"/>
        <w:rPr>
          <w:rFonts w:ascii="Calibri" w:eastAsiaTheme="majorEastAsia" w:hAnsi="Calibri" w:cs="Calibri"/>
          <w:szCs w:val="26"/>
        </w:rPr>
      </w:pPr>
      <w:r>
        <w:rPr>
          <w:rFonts w:ascii="Calibri" w:eastAsiaTheme="majorEastAsia" w:hAnsi="Calibri" w:cs="Calibri"/>
          <w:szCs w:val="26"/>
        </w:rPr>
        <w:t>This is broadly in line with 20/21 &amp; 21/22, with females being 59% of the headcount in each reporting year.</w:t>
      </w:r>
    </w:p>
    <w:p w14:paraId="1FB59A7E" w14:textId="77777777" w:rsidR="0092491F" w:rsidRDefault="0092491F" w:rsidP="003E7B62">
      <w:pPr>
        <w:pStyle w:val="ListParagraph"/>
        <w:numPr>
          <w:ilvl w:val="0"/>
          <w:numId w:val="17"/>
        </w:numPr>
        <w:rPr>
          <w:rFonts w:ascii="Calibri" w:eastAsiaTheme="majorEastAsia" w:hAnsi="Calibri" w:cs="Calibri"/>
          <w:szCs w:val="26"/>
        </w:rPr>
      </w:pPr>
      <w:r>
        <w:rPr>
          <w:rFonts w:ascii="Calibri" w:eastAsiaTheme="majorEastAsia" w:hAnsi="Calibri" w:cs="Calibri"/>
          <w:szCs w:val="26"/>
        </w:rPr>
        <w:t>During the period of the Equality Report 2021/21 to 2022/23, 19 employees took maternity leave, with 18 employees taking paternity leave.</w:t>
      </w:r>
    </w:p>
    <w:p w14:paraId="14F49A22" w14:textId="77777777" w:rsidR="0092491F" w:rsidRPr="009A2C23" w:rsidRDefault="0092491F" w:rsidP="003E7B62">
      <w:pPr>
        <w:pStyle w:val="ListParagraph"/>
        <w:numPr>
          <w:ilvl w:val="0"/>
          <w:numId w:val="17"/>
        </w:numPr>
        <w:rPr>
          <w:rFonts w:ascii="Calibri" w:eastAsiaTheme="majorEastAsia" w:hAnsi="Calibri" w:cs="Calibri"/>
          <w:szCs w:val="26"/>
        </w:rPr>
      </w:pPr>
      <w:r>
        <w:rPr>
          <w:rFonts w:ascii="Calibri" w:eastAsiaTheme="majorEastAsia" w:hAnsi="Calibri" w:cs="Calibri"/>
          <w:szCs w:val="26"/>
        </w:rPr>
        <w:t>Disclosure of protected characteristics remains very low, with only approximately 25% of employees disclosing the information. A low disclosure rate means that NatureScot is unable to provide a full picture of our workforces protected characteristics. This may lead to equality actions not being fully responsive to the needs of our workforce.</w:t>
      </w:r>
    </w:p>
    <w:p w14:paraId="07BD3A93" w14:textId="03BF5C7D" w:rsidR="0092491F" w:rsidRDefault="0092491F" w:rsidP="00AC6E31">
      <w:pPr>
        <w:keepNext/>
        <w:keepLines/>
        <w:spacing w:after="120"/>
        <w:outlineLvl w:val="1"/>
        <w:rPr>
          <w:rFonts w:ascii="Calibri" w:eastAsiaTheme="majorEastAsia" w:hAnsi="Calibri" w:cs="Calibri"/>
          <w:b/>
          <w:szCs w:val="24"/>
        </w:rPr>
      </w:pPr>
      <w:r w:rsidRPr="00E96764">
        <w:rPr>
          <w:rFonts w:ascii="Calibri" w:eastAsiaTheme="majorEastAsia" w:hAnsi="Calibri" w:cs="Calibri"/>
          <w:b/>
          <w:szCs w:val="24"/>
        </w:rPr>
        <w:t xml:space="preserve">Retirement Profile </w:t>
      </w:r>
    </w:p>
    <w:p w14:paraId="5F4BD3C4" w14:textId="77777777" w:rsidR="00AC6E31" w:rsidRPr="00AC6E31" w:rsidRDefault="00AC6E31" w:rsidP="00AC6E31">
      <w:pPr>
        <w:keepNext/>
        <w:keepLines/>
        <w:spacing w:after="120"/>
        <w:outlineLvl w:val="1"/>
        <w:rPr>
          <w:rFonts w:ascii="Calibri" w:eastAsiaTheme="majorEastAsia" w:hAnsi="Calibri" w:cs="Calibri"/>
          <w:b/>
          <w:szCs w:val="24"/>
        </w:rPr>
      </w:pPr>
    </w:p>
    <w:p w14:paraId="017CD2F4" w14:textId="77777777" w:rsidR="0092491F" w:rsidRPr="00022B65" w:rsidRDefault="0092491F" w:rsidP="0092491F">
      <w:r>
        <w:rPr>
          <w:noProof/>
          <w:lang w:eastAsia="en-GB"/>
        </w:rPr>
        <w:drawing>
          <wp:inline distT="0" distB="0" distL="0" distR="0" wp14:anchorId="4CE37A77" wp14:editId="67C0CD15">
            <wp:extent cx="4791710" cy="2076450"/>
            <wp:effectExtent l="0" t="0" r="8890" b="0"/>
            <wp:docPr id="3" name="Picture 3" title="Retirement Pro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4791710" cy="2076450"/>
                    </a:xfrm>
                    <a:prstGeom prst="rect">
                      <a:avLst/>
                    </a:prstGeom>
                    <a:noFill/>
                  </pic:spPr>
                </pic:pic>
              </a:graphicData>
            </a:graphic>
          </wp:inline>
        </w:drawing>
      </w:r>
    </w:p>
    <w:p w14:paraId="35438F94" w14:textId="77777777" w:rsidR="00EE60A2" w:rsidRDefault="00EE60A2">
      <w:r>
        <w:br w:type="page"/>
      </w:r>
    </w:p>
    <w:p w14:paraId="07508F60" w14:textId="0489CB29" w:rsidR="005E4FA9" w:rsidRPr="00EE60A2" w:rsidRDefault="005E4FA9" w:rsidP="003E7B62">
      <w:pPr>
        <w:pStyle w:val="ListParagraph"/>
        <w:numPr>
          <w:ilvl w:val="0"/>
          <w:numId w:val="21"/>
        </w:numPr>
        <w:rPr>
          <w:b/>
        </w:rPr>
      </w:pPr>
      <w:r w:rsidRPr="005E4FA9">
        <w:lastRenderedPageBreak/>
        <w:t>People &amp; Organisational Development (POD) continue to work with Activity and National Operations Team leaders to look at age profiles within teams, to highlight particular resilience and skills gap risks. We are encouraging open conversations about future plans and needs.</w:t>
      </w:r>
    </w:p>
    <w:p w14:paraId="38991185" w14:textId="77777777" w:rsidR="005E4FA9" w:rsidRPr="00EE60A2" w:rsidRDefault="005E4FA9" w:rsidP="003E7B62">
      <w:pPr>
        <w:pStyle w:val="ListParagraph"/>
        <w:numPr>
          <w:ilvl w:val="0"/>
          <w:numId w:val="21"/>
        </w:numPr>
        <w:rPr>
          <w:b/>
        </w:rPr>
      </w:pPr>
      <w:r w:rsidRPr="005E4FA9">
        <w:t xml:space="preserve">Through the People Programme into 2023/24 we will be reviewing our talent acquisition and recruitment processes to ensure we have the right people in the right roles, attracting and retaining the best people.  </w:t>
      </w:r>
    </w:p>
    <w:p w14:paraId="6341E545" w14:textId="11DD42F7" w:rsidR="005E4FA9" w:rsidRPr="00EE60A2" w:rsidRDefault="005E4FA9" w:rsidP="003E7B62">
      <w:pPr>
        <w:pStyle w:val="ListParagraph"/>
        <w:numPr>
          <w:ilvl w:val="0"/>
          <w:numId w:val="21"/>
        </w:numPr>
        <w:rPr>
          <w:b/>
        </w:rPr>
      </w:pPr>
      <w:r w:rsidRPr="005E4FA9">
        <w:t>We will be piloting a Career MOT service in April to support colleagues in fulfilling their aspirations, at whatever stage in their careers they are. Alongside partial retirement and flexible hours, this is intended to help manage the transition to retirement.</w:t>
      </w:r>
    </w:p>
    <w:p w14:paraId="4859BF9D" w14:textId="77777777" w:rsidR="005E4FA9" w:rsidRPr="005E4FA9" w:rsidRDefault="005E4FA9" w:rsidP="005E4FA9"/>
    <w:p w14:paraId="4F34407C" w14:textId="73757D6A" w:rsidR="005B5B5E" w:rsidRDefault="005E2EB0" w:rsidP="005B5B5E">
      <w:pPr>
        <w:pStyle w:val="Heading2"/>
        <w:spacing w:before="0" w:after="120" w:line="240" w:lineRule="auto"/>
        <w:rPr>
          <w:rFonts w:ascii="Calibri" w:hAnsi="Calibri" w:cs="Calibri"/>
          <w:szCs w:val="24"/>
        </w:rPr>
      </w:pPr>
      <w:r w:rsidRPr="005B5B5E">
        <w:rPr>
          <w:rFonts w:ascii="Calibri" w:hAnsi="Calibri" w:cs="Calibri"/>
          <w:szCs w:val="24"/>
        </w:rPr>
        <w:t>Recommendations</w:t>
      </w:r>
    </w:p>
    <w:p w14:paraId="7D593B99" w14:textId="77777777" w:rsidR="005B5B5E" w:rsidRPr="005B5B5E" w:rsidRDefault="005B5B5E" w:rsidP="005B5B5E">
      <w:pPr>
        <w:pStyle w:val="ListParagraph"/>
        <w:jc w:val="both"/>
      </w:pPr>
    </w:p>
    <w:p w14:paraId="793C2911" w14:textId="4F9B294B" w:rsidR="005E2EB0" w:rsidRPr="005E2EB0" w:rsidRDefault="00257C14" w:rsidP="003E7B62">
      <w:pPr>
        <w:pStyle w:val="ListParagraph"/>
        <w:numPr>
          <w:ilvl w:val="0"/>
          <w:numId w:val="1"/>
        </w:numPr>
        <w:spacing w:after="0"/>
        <w:rPr>
          <w:rFonts w:ascii="Calibri" w:eastAsia="Arial" w:hAnsi="Calibri" w:cs="Calibri"/>
          <w:i/>
          <w:color w:val="000000" w:themeColor="text1"/>
          <w:szCs w:val="24"/>
        </w:rPr>
      </w:pPr>
      <w:r>
        <w:rPr>
          <w:rFonts w:ascii="Calibri" w:eastAsia="Arial" w:hAnsi="Calibri" w:cs="Calibri"/>
          <w:color w:val="000000" w:themeColor="text1"/>
          <w:szCs w:val="24"/>
        </w:rPr>
        <w:t>Board</w:t>
      </w:r>
      <w:r w:rsidR="005E2EB0" w:rsidRPr="005E2EB0">
        <w:rPr>
          <w:rFonts w:ascii="Calibri" w:eastAsia="Arial" w:hAnsi="Calibri" w:cs="Calibri"/>
          <w:color w:val="000000" w:themeColor="text1"/>
          <w:szCs w:val="24"/>
        </w:rPr>
        <w:t xml:space="preserve"> are asked to:</w:t>
      </w:r>
    </w:p>
    <w:p w14:paraId="558A279F" w14:textId="77777777" w:rsidR="005E2EB0" w:rsidRPr="005E2EB0" w:rsidRDefault="005E2EB0" w:rsidP="005E2EB0">
      <w:pPr>
        <w:pStyle w:val="ListParagraph"/>
        <w:spacing w:after="0"/>
        <w:ind w:left="360"/>
        <w:rPr>
          <w:rFonts w:ascii="Calibri" w:eastAsia="Arial" w:hAnsi="Calibri" w:cs="Calibri"/>
          <w:i/>
          <w:color w:val="000000" w:themeColor="text1"/>
          <w:szCs w:val="24"/>
        </w:rPr>
      </w:pPr>
    </w:p>
    <w:p w14:paraId="140076C7" w14:textId="168D9E04" w:rsidR="005E2EB0" w:rsidRPr="00B41BBB" w:rsidRDefault="007A33E7" w:rsidP="003E7B62">
      <w:pPr>
        <w:pStyle w:val="ListParagraph"/>
        <w:numPr>
          <w:ilvl w:val="1"/>
          <w:numId w:val="2"/>
        </w:numPr>
        <w:rPr>
          <w:rFonts w:ascii="Calibri" w:eastAsia="Arial" w:hAnsi="Calibri" w:cs="Calibri"/>
          <w:szCs w:val="24"/>
        </w:rPr>
      </w:pPr>
      <w:r>
        <w:rPr>
          <w:rFonts w:ascii="Calibri" w:eastAsia="Arial" w:hAnsi="Calibri" w:cs="Calibri"/>
          <w:szCs w:val="24"/>
        </w:rPr>
        <w:t xml:space="preserve">Approve </w:t>
      </w:r>
      <w:r w:rsidR="005E2EB0" w:rsidRPr="00B41BBB">
        <w:rPr>
          <w:rFonts w:ascii="Calibri" w:eastAsia="Arial" w:hAnsi="Calibri" w:cs="Calibri"/>
          <w:szCs w:val="24"/>
        </w:rPr>
        <w:t xml:space="preserve">the overall performance of the Corporate Plan objectives </w:t>
      </w:r>
      <w:r w:rsidR="005E2EB0">
        <w:rPr>
          <w:rFonts w:ascii="Calibri" w:eastAsia="Arial" w:hAnsi="Calibri" w:cs="Calibri"/>
          <w:szCs w:val="24"/>
        </w:rPr>
        <w:t>(Performance Report)</w:t>
      </w:r>
    </w:p>
    <w:p w14:paraId="70D95EAC" w14:textId="3BC28C94" w:rsidR="005E2EB0" w:rsidRPr="00B41BBB" w:rsidRDefault="007A33E7" w:rsidP="003E7B62">
      <w:pPr>
        <w:pStyle w:val="ListParagraph"/>
        <w:numPr>
          <w:ilvl w:val="1"/>
          <w:numId w:val="2"/>
        </w:numPr>
        <w:rPr>
          <w:rFonts w:ascii="Calibri" w:eastAsia="Arial" w:hAnsi="Calibri" w:cs="Calibri"/>
          <w:szCs w:val="24"/>
        </w:rPr>
      </w:pPr>
      <w:r>
        <w:rPr>
          <w:rFonts w:ascii="Calibri" w:eastAsia="Arial" w:hAnsi="Calibri" w:cs="Calibri"/>
          <w:szCs w:val="24"/>
        </w:rPr>
        <w:t>Approve</w:t>
      </w:r>
      <w:r w:rsidR="005E2EB0" w:rsidRPr="00B41BBB">
        <w:rPr>
          <w:rFonts w:ascii="Calibri" w:eastAsia="Arial" w:hAnsi="Calibri" w:cs="Calibri"/>
          <w:szCs w:val="24"/>
        </w:rPr>
        <w:t xml:space="preserve"> the position of the operating and capital budgets (Finance Report)</w:t>
      </w:r>
    </w:p>
    <w:p w14:paraId="682F678F" w14:textId="1F7ECE37" w:rsidR="005E2EB0" w:rsidRPr="005E2EB0" w:rsidRDefault="007A33E7" w:rsidP="003E7B62">
      <w:pPr>
        <w:pStyle w:val="ListParagraph"/>
        <w:numPr>
          <w:ilvl w:val="1"/>
          <w:numId w:val="2"/>
        </w:numPr>
        <w:jc w:val="both"/>
        <w:rPr>
          <w:rFonts w:ascii="Calibri" w:hAnsi="Calibri" w:cs="Calibri"/>
          <w:szCs w:val="24"/>
        </w:rPr>
      </w:pPr>
      <w:r>
        <w:rPr>
          <w:rFonts w:ascii="Calibri" w:eastAsia="Arial" w:hAnsi="Calibri" w:cs="Calibri"/>
          <w:szCs w:val="24"/>
        </w:rPr>
        <w:t>Approve</w:t>
      </w:r>
      <w:r w:rsidR="005E2EB0" w:rsidRPr="005E2EB0">
        <w:rPr>
          <w:rFonts w:ascii="Calibri" w:eastAsia="Arial" w:hAnsi="Calibri" w:cs="Calibri"/>
          <w:szCs w:val="24"/>
        </w:rPr>
        <w:t xml:space="preserve"> the performance of the corp</w:t>
      </w:r>
      <w:r w:rsidR="00AC6E31">
        <w:rPr>
          <w:rFonts w:ascii="Calibri" w:eastAsia="Arial" w:hAnsi="Calibri" w:cs="Calibri"/>
          <w:szCs w:val="24"/>
        </w:rPr>
        <w:t>orate risks noted in paragraph 12</w:t>
      </w:r>
      <w:r w:rsidR="005E2EB0" w:rsidRPr="005E2EB0">
        <w:rPr>
          <w:rFonts w:ascii="Calibri" w:eastAsia="Arial" w:hAnsi="Calibri" w:cs="Calibri"/>
          <w:szCs w:val="24"/>
        </w:rPr>
        <w:t xml:space="preserve"> (Risk Report)</w:t>
      </w:r>
    </w:p>
    <w:p w14:paraId="52156F08" w14:textId="23171863" w:rsidR="00DA6BF4" w:rsidRDefault="007A33E7" w:rsidP="003E7B62">
      <w:pPr>
        <w:pStyle w:val="ListParagraph"/>
        <w:numPr>
          <w:ilvl w:val="1"/>
          <w:numId w:val="2"/>
        </w:numPr>
        <w:jc w:val="both"/>
        <w:rPr>
          <w:rFonts w:ascii="Calibri" w:eastAsia="Arial" w:hAnsi="Calibri" w:cs="Calibri"/>
          <w:szCs w:val="24"/>
        </w:rPr>
      </w:pPr>
      <w:r>
        <w:rPr>
          <w:rFonts w:ascii="Calibri" w:eastAsia="Arial" w:hAnsi="Calibri" w:cs="Calibri"/>
          <w:szCs w:val="24"/>
        </w:rPr>
        <w:t>Approve</w:t>
      </w:r>
      <w:r w:rsidR="005E2EB0" w:rsidRPr="005E2EB0">
        <w:rPr>
          <w:rFonts w:ascii="Calibri" w:eastAsia="Arial" w:hAnsi="Calibri" w:cs="Calibri"/>
          <w:szCs w:val="24"/>
        </w:rPr>
        <w:t xml:space="preserve"> the overall performance of the People Measures (People Report)</w:t>
      </w:r>
    </w:p>
    <w:p w14:paraId="0F5C3247" w14:textId="77777777" w:rsidR="00436F2C" w:rsidRDefault="00436F2C">
      <w:pPr>
        <w:rPr>
          <w:rFonts w:ascii="Calibri" w:eastAsia="Arial" w:hAnsi="Calibri" w:cs="Calibri"/>
          <w:szCs w:val="24"/>
        </w:rPr>
      </w:pPr>
      <w:r>
        <w:rPr>
          <w:rFonts w:ascii="Calibri" w:eastAsia="Arial" w:hAnsi="Calibri" w:cs="Calibri"/>
          <w:szCs w:val="24"/>
        </w:rPr>
        <w:br w:type="page"/>
      </w:r>
    </w:p>
    <w:p w14:paraId="5F0186D0" w14:textId="77777777" w:rsidR="00436F2C" w:rsidRDefault="00436F2C" w:rsidP="00436F2C">
      <w:pPr>
        <w:pStyle w:val="Heading2"/>
        <w:rPr>
          <w:rFonts w:eastAsia="Arial"/>
        </w:rPr>
      </w:pPr>
      <w:r>
        <w:rPr>
          <w:rFonts w:eastAsia="Arial"/>
        </w:rPr>
        <w:lastRenderedPageBreak/>
        <w:t>Annex A - Progress on Corporate Plan at the end of Year 1</w:t>
      </w:r>
    </w:p>
    <w:p w14:paraId="6AD46091" w14:textId="11CF4974" w:rsidR="0007184E" w:rsidRPr="0007184E" w:rsidRDefault="0007184E" w:rsidP="0007184E">
      <w:pPr>
        <w:spacing w:after="0"/>
        <w:rPr>
          <w:rFonts w:ascii="Calibri" w:eastAsia="Calibri" w:hAnsi="Calibri" w:cs="Calibri"/>
          <w:color w:val="000000" w:themeColor="text1"/>
          <w:szCs w:val="24"/>
        </w:rPr>
      </w:pPr>
    </w:p>
    <w:p w14:paraId="39465C10" w14:textId="3717C235" w:rsidR="008E1D74" w:rsidRPr="008E1D74" w:rsidRDefault="008E1D74" w:rsidP="003E7B62">
      <w:pPr>
        <w:pStyle w:val="ListParagraph"/>
        <w:numPr>
          <w:ilvl w:val="0"/>
          <w:numId w:val="1"/>
        </w:numPr>
        <w:spacing w:after="0"/>
        <w:rPr>
          <w:rFonts w:ascii="Calibri" w:eastAsia="Calibri" w:hAnsi="Calibri" w:cs="Calibri"/>
          <w:color w:val="000000" w:themeColor="text1"/>
          <w:szCs w:val="24"/>
        </w:rPr>
      </w:pPr>
      <w:r w:rsidRPr="008E1D74">
        <w:rPr>
          <w:rFonts w:ascii="Calibri" w:eastAsia="Calibri" w:hAnsi="Calibri" w:cs="Calibri"/>
          <w:color w:val="000000" w:themeColor="text1"/>
          <w:szCs w:val="24"/>
        </w:rPr>
        <w:t>At the end of this first year of ‘A nature-rich future for all’, we can be confident that the significant blocks of effort which underpin our Corporate Plan either are on track, or gathering traction. This is encouraging in the context of meeting the ambition of the Bute House Agreement. However, there are headwinds being experienced in a number of areas and uncertainty as to whether they will abate or potentially slow progress in the year ahead towards our 2030 targets. We will provide a fuller analysis of this and return to Board later this year.</w:t>
      </w:r>
    </w:p>
    <w:p w14:paraId="5B4698C5" w14:textId="77777777" w:rsidR="008E1D74" w:rsidRPr="008E1D74" w:rsidRDefault="008E1D74" w:rsidP="008E1D74">
      <w:pPr>
        <w:pStyle w:val="ListParagraph"/>
        <w:spacing w:after="0"/>
        <w:ind w:left="360"/>
        <w:rPr>
          <w:rFonts w:ascii="Calibri" w:eastAsia="Calibri" w:hAnsi="Calibri" w:cs="Calibri"/>
          <w:color w:val="000000" w:themeColor="text1"/>
          <w:szCs w:val="24"/>
        </w:rPr>
      </w:pPr>
    </w:p>
    <w:p w14:paraId="3E5F97EE" w14:textId="47E8D5F4" w:rsidR="008E1D74" w:rsidRPr="008E1D74" w:rsidRDefault="008E1D74" w:rsidP="003E7B62">
      <w:pPr>
        <w:pStyle w:val="ListParagraph"/>
        <w:numPr>
          <w:ilvl w:val="0"/>
          <w:numId w:val="1"/>
        </w:numPr>
        <w:spacing w:after="0"/>
        <w:rPr>
          <w:rFonts w:ascii="Calibri" w:eastAsia="Calibri" w:hAnsi="Calibri" w:cs="Calibri"/>
          <w:color w:val="000000" w:themeColor="text1"/>
          <w:szCs w:val="24"/>
        </w:rPr>
      </w:pPr>
      <w:r w:rsidRPr="008E1D74">
        <w:rPr>
          <w:rFonts w:ascii="Calibri" w:eastAsia="Calibri" w:hAnsi="Calibri" w:cs="Calibri"/>
          <w:color w:val="000000" w:themeColor="text1"/>
          <w:szCs w:val="24"/>
        </w:rPr>
        <w:t>A common feature of the</w:t>
      </w:r>
      <w:r w:rsidR="00FD3996">
        <w:rPr>
          <w:rFonts w:ascii="Calibri" w:eastAsia="Calibri" w:hAnsi="Calibri" w:cs="Calibri"/>
          <w:color w:val="000000" w:themeColor="text1"/>
          <w:szCs w:val="24"/>
        </w:rPr>
        <w:t xml:space="preserve"> first half of this Plan is </w:t>
      </w:r>
      <w:r w:rsidRPr="008E1D74">
        <w:rPr>
          <w:rFonts w:ascii="Calibri" w:eastAsia="Calibri" w:hAnsi="Calibri" w:cs="Calibri"/>
          <w:color w:val="000000" w:themeColor="text1"/>
          <w:szCs w:val="24"/>
        </w:rPr>
        <w:t>laying down the policy framework and consultation processes which enable delivery of the actions in the second half of the Plan period and beyond. In particular we have made significant progress in developing a new overarching Biodiversity Strategy for Scotland, and developing its delivery right across Government.</w:t>
      </w:r>
    </w:p>
    <w:p w14:paraId="7454618C" w14:textId="77777777" w:rsidR="008E1D74" w:rsidRPr="008E1D74" w:rsidRDefault="008E1D74" w:rsidP="008E1D74">
      <w:pPr>
        <w:pStyle w:val="ListParagraph"/>
        <w:spacing w:after="0"/>
        <w:ind w:left="360"/>
        <w:rPr>
          <w:rFonts w:ascii="Calibri" w:eastAsia="Calibri" w:hAnsi="Calibri" w:cs="Calibri"/>
          <w:color w:val="000000" w:themeColor="text1"/>
          <w:szCs w:val="24"/>
        </w:rPr>
      </w:pPr>
    </w:p>
    <w:p w14:paraId="642F1AC3" w14:textId="67D34C1B" w:rsidR="008E1D74" w:rsidRPr="008E1D74" w:rsidRDefault="008E1D74" w:rsidP="003E7B62">
      <w:pPr>
        <w:pStyle w:val="ListParagraph"/>
        <w:numPr>
          <w:ilvl w:val="0"/>
          <w:numId w:val="1"/>
        </w:numPr>
        <w:spacing w:after="0"/>
        <w:rPr>
          <w:rFonts w:ascii="Calibri" w:eastAsia="Calibri" w:hAnsi="Calibri" w:cs="Calibri"/>
          <w:color w:val="000000" w:themeColor="text1"/>
          <w:szCs w:val="24"/>
        </w:rPr>
      </w:pPr>
      <w:r w:rsidRPr="008E1D74">
        <w:rPr>
          <w:rFonts w:ascii="Calibri" w:eastAsia="Calibri" w:hAnsi="Calibri" w:cs="Calibri"/>
          <w:color w:val="000000" w:themeColor="text1"/>
          <w:szCs w:val="24"/>
        </w:rPr>
        <w:t xml:space="preserve">There have been recognised challenges in getting to this point in year one, including building resilience and resource in existing teams in new areas. We finish the year having made </w:t>
      </w:r>
      <w:r w:rsidR="00FD3996">
        <w:rPr>
          <w:rFonts w:ascii="Calibri" w:eastAsia="Calibri" w:hAnsi="Calibri" w:cs="Calibri"/>
          <w:color w:val="000000" w:themeColor="text1"/>
          <w:szCs w:val="24"/>
        </w:rPr>
        <w:t xml:space="preserve">strong </w:t>
      </w:r>
      <w:r w:rsidRPr="008E1D74">
        <w:rPr>
          <w:rFonts w:ascii="Calibri" w:eastAsia="Calibri" w:hAnsi="Calibri" w:cs="Calibri"/>
          <w:color w:val="000000" w:themeColor="text1"/>
          <w:szCs w:val="24"/>
        </w:rPr>
        <w:t>progress in areas which will underpin nature’s recovery. What follows is a short assessment of the headline themes against the Plan.</w:t>
      </w:r>
    </w:p>
    <w:p w14:paraId="7E22A20C" w14:textId="77777777" w:rsidR="008E1D74" w:rsidRPr="008E1D74" w:rsidRDefault="008E1D74" w:rsidP="008E1D74">
      <w:pPr>
        <w:pStyle w:val="ListParagraph"/>
        <w:spacing w:after="0"/>
        <w:ind w:left="360"/>
        <w:rPr>
          <w:rFonts w:ascii="Calibri" w:eastAsia="Calibri" w:hAnsi="Calibri" w:cs="Calibri"/>
          <w:color w:val="000000" w:themeColor="text1"/>
          <w:szCs w:val="24"/>
        </w:rPr>
      </w:pPr>
    </w:p>
    <w:p w14:paraId="11AFA631" w14:textId="77777777" w:rsidR="008E1D74" w:rsidRPr="008E1D74" w:rsidRDefault="008E1D74" w:rsidP="008E1D74">
      <w:pPr>
        <w:spacing w:after="0"/>
        <w:rPr>
          <w:rFonts w:ascii="Calibri" w:eastAsia="Calibri" w:hAnsi="Calibri" w:cs="Calibri"/>
          <w:b/>
          <w:color w:val="000000" w:themeColor="text1"/>
          <w:szCs w:val="24"/>
        </w:rPr>
      </w:pPr>
      <w:r w:rsidRPr="008E1D74">
        <w:rPr>
          <w:rFonts w:ascii="Calibri" w:eastAsia="Calibri" w:hAnsi="Calibri" w:cs="Calibri"/>
          <w:b/>
          <w:color w:val="000000" w:themeColor="text1"/>
          <w:szCs w:val="24"/>
        </w:rPr>
        <w:t>Protect</w:t>
      </w:r>
    </w:p>
    <w:p w14:paraId="1A8754C9" w14:textId="77777777" w:rsidR="008E1D74" w:rsidRPr="008E1D74" w:rsidRDefault="008E1D74" w:rsidP="003E7B62">
      <w:pPr>
        <w:pStyle w:val="ListParagraph"/>
        <w:numPr>
          <w:ilvl w:val="0"/>
          <w:numId w:val="1"/>
        </w:numPr>
        <w:spacing w:after="0"/>
        <w:rPr>
          <w:rFonts w:ascii="Calibri" w:eastAsia="Calibri" w:hAnsi="Calibri" w:cs="Calibri"/>
          <w:color w:val="000000" w:themeColor="text1"/>
          <w:szCs w:val="24"/>
        </w:rPr>
      </w:pPr>
      <w:r w:rsidRPr="008E1D74">
        <w:rPr>
          <w:rFonts w:ascii="Calibri" w:eastAsia="Calibri" w:hAnsi="Calibri" w:cs="Calibri"/>
          <w:color w:val="000000" w:themeColor="text1"/>
          <w:szCs w:val="24"/>
        </w:rPr>
        <w:t>A key strand of work this year has been the delivery of the underpinning principles in support of our drive towards 30x30 co-produced with a range of organisations and a building block towards nature recovery. Attention now turns to the data analysis needed to identify potential sites, work to develop new approaches to monitoring and work with stakeholders to ensure effective communication. More resource in-year may have allowed us to move at greater pace and in parallel with the scoping work but we stand well prepared now to move into this next phase.</w:t>
      </w:r>
    </w:p>
    <w:p w14:paraId="54CC5239" w14:textId="0FC0E488" w:rsidR="008E1D74" w:rsidRPr="008E1D74" w:rsidRDefault="008E1D74" w:rsidP="008E1D74">
      <w:pPr>
        <w:pStyle w:val="ListParagraph"/>
        <w:spacing w:after="0"/>
        <w:ind w:left="360"/>
        <w:rPr>
          <w:rFonts w:ascii="Calibri" w:eastAsia="Calibri" w:hAnsi="Calibri" w:cs="Calibri"/>
          <w:color w:val="000000" w:themeColor="text1"/>
          <w:szCs w:val="24"/>
        </w:rPr>
      </w:pPr>
    </w:p>
    <w:p w14:paraId="3D7B3F2E" w14:textId="6F97BBE2" w:rsidR="008E1D74" w:rsidRPr="008E1D74" w:rsidRDefault="008E1D74" w:rsidP="003E7B62">
      <w:pPr>
        <w:pStyle w:val="ListParagraph"/>
        <w:numPr>
          <w:ilvl w:val="0"/>
          <w:numId w:val="1"/>
        </w:numPr>
        <w:spacing w:after="0"/>
        <w:rPr>
          <w:rFonts w:ascii="Calibri" w:eastAsia="Calibri" w:hAnsi="Calibri" w:cs="Calibri"/>
          <w:color w:val="000000" w:themeColor="text1"/>
          <w:szCs w:val="24"/>
        </w:rPr>
      </w:pPr>
      <w:r w:rsidRPr="008E1D74">
        <w:rPr>
          <w:rFonts w:ascii="Calibri" w:eastAsia="Calibri" w:hAnsi="Calibri" w:cs="Calibri"/>
          <w:color w:val="000000" w:themeColor="text1"/>
          <w:szCs w:val="24"/>
        </w:rPr>
        <w:t xml:space="preserve">We know that our licencing functions are central to delivering high quality wildlife regulatory functions, particularly in support of the legislative timetable over the period of our Plan. Progress has been made towards modernising </w:t>
      </w:r>
      <w:proofErr w:type="spellStart"/>
      <w:r w:rsidRPr="008E1D74">
        <w:rPr>
          <w:rFonts w:ascii="Calibri" w:eastAsia="Calibri" w:hAnsi="Calibri" w:cs="Calibri"/>
          <w:color w:val="000000" w:themeColor="text1"/>
          <w:szCs w:val="24"/>
        </w:rPr>
        <w:t>Deerline</w:t>
      </w:r>
      <w:proofErr w:type="spellEnd"/>
      <w:r w:rsidRPr="008E1D74">
        <w:rPr>
          <w:rFonts w:ascii="Calibri" w:eastAsia="Calibri" w:hAnsi="Calibri" w:cs="Calibri"/>
          <w:color w:val="000000" w:themeColor="text1"/>
          <w:szCs w:val="24"/>
        </w:rPr>
        <w:t xml:space="preserve"> and online licensing development and in some instances we have needed to move at the pace of others, including Scottish Governmen</w:t>
      </w:r>
      <w:r w:rsidR="00FD3996">
        <w:rPr>
          <w:rFonts w:ascii="Calibri" w:eastAsia="Calibri" w:hAnsi="Calibri" w:cs="Calibri"/>
          <w:color w:val="000000" w:themeColor="text1"/>
          <w:szCs w:val="24"/>
        </w:rPr>
        <w:t>t, where they have faced</w:t>
      </w:r>
      <w:r w:rsidRPr="008E1D74">
        <w:rPr>
          <w:rFonts w:ascii="Calibri" w:eastAsia="Calibri" w:hAnsi="Calibri" w:cs="Calibri"/>
          <w:color w:val="000000" w:themeColor="text1"/>
          <w:szCs w:val="24"/>
        </w:rPr>
        <w:t xml:space="preserve"> capacity issues. In parallel, a clear signal has been evident in our regulatory action both in terms of direct action (as seen at Loch </w:t>
      </w:r>
      <w:proofErr w:type="spellStart"/>
      <w:r w:rsidRPr="008E1D74">
        <w:rPr>
          <w:rFonts w:ascii="Calibri" w:eastAsia="Calibri" w:hAnsi="Calibri" w:cs="Calibri"/>
          <w:color w:val="000000" w:themeColor="text1"/>
          <w:szCs w:val="24"/>
        </w:rPr>
        <w:t>Choire</w:t>
      </w:r>
      <w:proofErr w:type="spellEnd"/>
      <w:r w:rsidRPr="008E1D74">
        <w:rPr>
          <w:rFonts w:ascii="Calibri" w:eastAsia="Calibri" w:hAnsi="Calibri" w:cs="Calibri"/>
          <w:color w:val="000000" w:themeColor="text1"/>
          <w:szCs w:val="24"/>
        </w:rPr>
        <w:t xml:space="preserve">) but also working through legislative processes, such as Section 7 agreements at </w:t>
      </w:r>
      <w:proofErr w:type="spellStart"/>
      <w:r w:rsidRPr="008E1D74">
        <w:rPr>
          <w:rFonts w:ascii="Calibri" w:eastAsia="Calibri" w:hAnsi="Calibri" w:cs="Calibri"/>
          <w:color w:val="000000" w:themeColor="text1"/>
          <w:szCs w:val="24"/>
        </w:rPr>
        <w:t>Caenlochan</w:t>
      </w:r>
      <w:proofErr w:type="spellEnd"/>
      <w:r w:rsidRPr="008E1D74">
        <w:rPr>
          <w:rFonts w:ascii="Calibri" w:eastAsia="Calibri" w:hAnsi="Calibri" w:cs="Calibri"/>
          <w:color w:val="000000" w:themeColor="text1"/>
          <w:szCs w:val="24"/>
        </w:rPr>
        <w:t>. Both these examples, and other engagement through Deer Management Groups, reflect a more robust stance at the end of this first year.</w:t>
      </w:r>
    </w:p>
    <w:p w14:paraId="3C33A5D2" w14:textId="77777777" w:rsidR="008E1D74" w:rsidRPr="008E1D74" w:rsidRDefault="008E1D74" w:rsidP="008E1D74">
      <w:pPr>
        <w:spacing w:after="0"/>
        <w:rPr>
          <w:rFonts w:ascii="Calibri" w:eastAsia="Calibri" w:hAnsi="Calibri" w:cs="Calibri"/>
          <w:color w:val="000000" w:themeColor="text1"/>
          <w:szCs w:val="24"/>
        </w:rPr>
      </w:pPr>
    </w:p>
    <w:p w14:paraId="246D4886" w14:textId="77777777" w:rsidR="008E1D74" w:rsidRPr="008E1D74" w:rsidRDefault="008E1D74" w:rsidP="003E7B62">
      <w:pPr>
        <w:pStyle w:val="ListParagraph"/>
        <w:numPr>
          <w:ilvl w:val="0"/>
          <w:numId w:val="1"/>
        </w:numPr>
        <w:spacing w:after="0"/>
        <w:rPr>
          <w:rFonts w:ascii="Calibri" w:eastAsia="Calibri" w:hAnsi="Calibri" w:cs="Calibri"/>
          <w:color w:val="000000" w:themeColor="text1"/>
          <w:szCs w:val="24"/>
        </w:rPr>
      </w:pPr>
      <w:r w:rsidRPr="008E1D74">
        <w:rPr>
          <w:rFonts w:ascii="Calibri" w:eastAsia="Calibri" w:hAnsi="Calibri" w:cs="Calibri"/>
          <w:color w:val="000000" w:themeColor="text1"/>
          <w:szCs w:val="24"/>
        </w:rPr>
        <w:t xml:space="preserve">Additional marine protections are a key theme in this corporate plan. Work to implement the new Scottish fisheries management framework has commenced and </w:t>
      </w:r>
      <w:r w:rsidRPr="008E1D74">
        <w:rPr>
          <w:rFonts w:ascii="Calibri" w:eastAsia="Calibri" w:hAnsi="Calibri" w:cs="Calibri"/>
          <w:color w:val="000000" w:themeColor="text1"/>
          <w:szCs w:val="24"/>
        </w:rPr>
        <w:lastRenderedPageBreak/>
        <w:t xml:space="preserve">whilst timescales have been adjusted within Marine Scotland, we are now engaging with groups set up to progress the new approach. A welcomed injection of funding aligned to </w:t>
      </w:r>
      <w:proofErr w:type="spellStart"/>
      <w:r w:rsidRPr="008E1D74">
        <w:rPr>
          <w:rFonts w:ascii="Calibri" w:eastAsia="Calibri" w:hAnsi="Calibri" w:cs="Calibri"/>
          <w:color w:val="000000" w:themeColor="text1"/>
          <w:szCs w:val="24"/>
        </w:rPr>
        <w:t>Scotwind</w:t>
      </w:r>
      <w:proofErr w:type="spellEnd"/>
      <w:r w:rsidRPr="008E1D74">
        <w:rPr>
          <w:rFonts w:ascii="Calibri" w:eastAsia="Calibri" w:hAnsi="Calibri" w:cs="Calibri"/>
          <w:color w:val="000000" w:themeColor="text1"/>
          <w:szCs w:val="24"/>
        </w:rPr>
        <w:t xml:space="preserve"> in the past year has allowed us to build some further capacity in teams to handle the significant additional advice associated with the growth in marine renewables. </w:t>
      </w:r>
      <w:proofErr w:type="spellStart"/>
      <w:r w:rsidRPr="008E1D74">
        <w:rPr>
          <w:rFonts w:ascii="Calibri" w:eastAsia="Calibri" w:hAnsi="Calibri" w:cs="Calibri"/>
          <w:color w:val="000000" w:themeColor="text1"/>
          <w:szCs w:val="24"/>
        </w:rPr>
        <w:t>Onboarding</w:t>
      </w:r>
      <w:proofErr w:type="spellEnd"/>
      <w:r w:rsidRPr="008E1D74">
        <w:rPr>
          <w:rFonts w:ascii="Calibri" w:eastAsia="Calibri" w:hAnsi="Calibri" w:cs="Calibri"/>
          <w:color w:val="000000" w:themeColor="text1"/>
          <w:szCs w:val="24"/>
        </w:rPr>
        <w:t xml:space="preserve"> has been a slow process across the sector but this has driven closer collaboration between organisations which will help with the future implementation of Marine Protected Areas. At the end of this first year, we are seeing more focussed engagement on Highly Protected Marine Areas and this will be a significant feature of the coming year. </w:t>
      </w:r>
    </w:p>
    <w:p w14:paraId="0F84115A" w14:textId="77777777" w:rsidR="008E1D74" w:rsidRPr="008E1D74" w:rsidRDefault="008E1D74" w:rsidP="008E1D74">
      <w:pPr>
        <w:spacing w:after="0"/>
        <w:rPr>
          <w:rFonts w:ascii="Calibri" w:eastAsia="Calibri" w:hAnsi="Calibri" w:cs="Calibri"/>
          <w:color w:val="000000" w:themeColor="text1"/>
          <w:szCs w:val="24"/>
        </w:rPr>
      </w:pPr>
    </w:p>
    <w:p w14:paraId="589A66E9" w14:textId="77777777" w:rsidR="008E1D74" w:rsidRPr="008E1D74" w:rsidRDefault="008E1D74" w:rsidP="008E1D74">
      <w:pPr>
        <w:spacing w:after="0"/>
        <w:rPr>
          <w:rFonts w:ascii="Calibri" w:eastAsia="Calibri" w:hAnsi="Calibri" w:cs="Calibri"/>
          <w:b/>
          <w:color w:val="000000" w:themeColor="text1"/>
          <w:szCs w:val="24"/>
        </w:rPr>
      </w:pPr>
      <w:r w:rsidRPr="008E1D74">
        <w:rPr>
          <w:rFonts w:ascii="Calibri" w:eastAsia="Calibri" w:hAnsi="Calibri" w:cs="Calibri"/>
          <w:b/>
          <w:color w:val="000000" w:themeColor="text1"/>
          <w:szCs w:val="24"/>
        </w:rPr>
        <w:t>Restore</w:t>
      </w:r>
    </w:p>
    <w:p w14:paraId="366AE1D8" w14:textId="77777777" w:rsidR="008E1D74" w:rsidRPr="008E1D74" w:rsidRDefault="008E1D74" w:rsidP="003E7B62">
      <w:pPr>
        <w:pStyle w:val="ListParagraph"/>
        <w:numPr>
          <w:ilvl w:val="0"/>
          <w:numId w:val="1"/>
        </w:numPr>
        <w:spacing w:after="0"/>
        <w:rPr>
          <w:rFonts w:ascii="Calibri" w:eastAsia="Calibri" w:hAnsi="Calibri" w:cs="Calibri"/>
          <w:color w:val="000000" w:themeColor="text1"/>
          <w:szCs w:val="24"/>
        </w:rPr>
      </w:pPr>
      <w:r w:rsidRPr="008E1D74">
        <w:rPr>
          <w:rFonts w:ascii="Calibri" w:eastAsia="Calibri" w:hAnsi="Calibri" w:cs="Calibri"/>
          <w:color w:val="000000" w:themeColor="text1"/>
          <w:szCs w:val="24"/>
        </w:rPr>
        <w:t xml:space="preserve">We know that the legislative programme for nature and climate in this Parliamentary term is necessarily ambitious. At the end of the year, that remains the case. We have used the process to influence key stakeholders on the significance of land use and nature based solutions to tackling the nature/climate crises. Whilst there remains  uncertainty on the timing and scope of the Environment Bill, that hasn’t stopped us gathering evidence on key components of the Bill and influencing synergies with key bills (such as the Agricultural Bill). </w:t>
      </w:r>
    </w:p>
    <w:p w14:paraId="3D66F635" w14:textId="77777777" w:rsidR="008E1D74" w:rsidRPr="008E1D74" w:rsidRDefault="008E1D74" w:rsidP="008E1D74">
      <w:pPr>
        <w:pStyle w:val="ListParagraph"/>
        <w:spacing w:after="0"/>
        <w:ind w:left="360"/>
        <w:rPr>
          <w:rFonts w:ascii="Calibri" w:eastAsia="Calibri" w:hAnsi="Calibri" w:cs="Calibri"/>
          <w:color w:val="000000" w:themeColor="text1"/>
          <w:szCs w:val="24"/>
        </w:rPr>
      </w:pPr>
    </w:p>
    <w:p w14:paraId="320027D2" w14:textId="13E4E56F" w:rsidR="008E1D74" w:rsidRPr="008E1D74" w:rsidRDefault="008E1D74" w:rsidP="003E7B62">
      <w:pPr>
        <w:pStyle w:val="ListParagraph"/>
        <w:numPr>
          <w:ilvl w:val="0"/>
          <w:numId w:val="1"/>
        </w:numPr>
        <w:spacing w:after="0"/>
        <w:rPr>
          <w:rFonts w:ascii="Calibri" w:eastAsia="Calibri" w:hAnsi="Calibri" w:cs="Calibri"/>
          <w:color w:val="000000" w:themeColor="text1"/>
          <w:szCs w:val="24"/>
        </w:rPr>
      </w:pPr>
      <w:r w:rsidRPr="008E1D74">
        <w:rPr>
          <w:rFonts w:ascii="Calibri" w:eastAsia="Calibri" w:hAnsi="Calibri" w:cs="Calibri"/>
          <w:color w:val="000000" w:themeColor="text1"/>
          <w:szCs w:val="24"/>
        </w:rPr>
        <w:t>The Nature Restoration Fund and Peatland Action both continue to make strong and steady progress, with</w:t>
      </w:r>
      <w:r w:rsidR="00FD3996">
        <w:rPr>
          <w:rFonts w:ascii="Calibri" w:eastAsia="Calibri" w:hAnsi="Calibri" w:cs="Calibri"/>
          <w:color w:val="000000" w:themeColor="text1"/>
          <w:szCs w:val="24"/>
        </w:rPr>
        <w:t xml:space="preserve"> the</w:t>
      </w:r>
      <w:r w:rsidRPr="008E1D74">
        <w:rPr>
          <w:rFonts w:ascii="Calibri" w:eastAsia="Calibri" w:hAnsi="Calibri" w:cs="Calibri"/>
          <w:color w:val="000000" w:themeColor="text1"/>
          <w:szCs w:val="24"/>
        </w:rPr>
        <w:t xml:space="preserve"> latter restoring 4,700ha over the year. This was in</w:t>
      </w:r>
      <w:r w:rsidR="00FD3996">
        <w:rPr>
          <w:rFonts w:ascii="Calibri" w:eastAsia="Calibri" w:hAnsi="Calibri" w:cs="Calibri"/>
          <w:color w:val="000000" w:themeColor="text1"/>
          <w:szCs w:val="24"/>
        </w:rPr>
        <w:t xml:space="preserve"> line with expected outturn </w:t>
      </w:r>
      <w:r w:rsidRPr="008E1D74">
        <w:rPr>
          <w:rFonts w:ascii="Calibri" w:eastAsia="Calibri" w:hAnsi="Calibri" w:cs="Calibri"/>
          <w:color w:val="000000" w:themeColor="text1"/>
          <w:szCs w:val="24"/>
        </w:rPr>
        <w:t>agreed with Scottish Government.  At the end of the year, there are signs of wider public awareness emerging around the significance of nature based solutions and peatland restoration in driving Scotland towards a net zero economy. Advances have been made in the Peatland code and the development of private investment during 2022/23 which will allow the expansion of Peatlands in future years in line with proposed targets.</w:t>
      </w:r>
    </w:p>
    <w:p w14:paraId="4B047197" w14:textId="77777777" w:rsidR="008E1D74" w:rsidRPr="008E1D74" w:rsidRDefault="008E1D74" w:rsidP="008E1D74">
      <w:pPr>
        <w:pStyle w:val="ListParagraph"/>
        <w:spacing w:after="0"/>
        <w:ind w:left="360"/>
        <w:rPr>
          <w:rFonts w:ascii="Calibri" w:eastAsia="Calibri" w:hAnsi="Calibri" w:cs="Calibri"/>
          <w:color w:val="000000" w:themeColor="text1"/>
          <w:szCs w:val="24"/>
        </w:rPr>
      </w:pPr>
    </w:p>
    <w:p w14:paraId="04868095" w14:textId="77777777" w:rsidR="008E1D74" w:rsidRPr="008E1D74" w:rsidRDefault="008E1D74" w:rsidP="003E7B62">
      <w:pPr>
        <w:pStyle w:val="ListParagraph"/>
        <w:numPr>
          <w:ilvl w:val="0"/>
          <w:numId w:val="1"/>
        </w:numPr>
        <w:spacing w:after="0"/>
        <w:rPr>
          <w:rFonts w:ascii="Calibri" w:eastAsia="Calibri" w:hAnsi="Calibri" w:cs="Calibri"/>
          <w:color w:val="000000" w:themeColor="text1"/>
          <w:szCs w:val="24"/>
        </w:rPr>
      </w:pPr>
      <w:r w:rsidRPr="008E1D74">
        <w:rPr>
          <w:rFonts w:ascii="Calibri" w:eastAsia="Calibri" w:hAnsi="Calibri" w:cs="Calibri"/>
          <w:color w:val="000000" w:themeColor="text1"/>
          <w:szCs w:val="24"/>
        </w:rPr>
        <w:t xml:space="preserve">New governance arrangements around agriculture reform during Q4 will allow us to feed in to the necessary </w:t>
      </w:r>
      <w:proofErr w:type="spellStart"/>
      <w:r w:rsidRPr="008E1D74">
        <w:rPr>
          <w:rFonts w:ascii="Calibri" w:eastAsia="Calibri" w:hAnsi="Calibri" w:cs="Calibri"/>
          <w:color w:val="000000" w:themeColor="text1"/>
          <w:szCs w:val="24"/>
        </w:rPr>
        <w:t>workstreams</w:t>
      </w:r>
      <w:proofErr w:type="spellEnd"/>
      <w:r w:rsidRPr="008E1D74">
        <w:rPr>
          <w:rFonts w:ascii="Calibri" w:eastAsia="Calibri" w:hAnsi="Calibri" w:cs="Calibri"/>
          <w:color w:val="000000" w:themeColor="text1"/>
          <w:szCs w:val="24"/>
        </w:rPr>
        <w:t xml:space="preserve"> as we approach the Agricultural Bill in the year ahead. The Agricultural Bill will be vital to our ambition particularly beyond 2030 so a significant milestone remains on track in support of building the conditions for ongoing nature friendly farming. </w:t>
      </w:r>
    </w:p>
    <w:p w14:paraId="36FF759F" w14:textId="77777777" w:rsidR="008E1D74" w:rsidRPr="008E1D74" w:rsidRDefault="008E1D74" w:rsidP="008E1D74">
      <w:pPr>
        <w:pStyle w:val="ListParagraph"/>
        <w:spacing w:after="0"/>
        <w:ind w:left="360"/>
        <w:rPr>
          <w:rFonts w:ascii="Calibri" w:eastAsia="Calibri" w:hAnsi="Calibri" w:cs="Calibri"/>
          <w:color w:val="000000" w:themeColor="text1"/>
          <w:szCs w:val="24"/>
        </w:rPr>
      </w:pPr>
    </w:p>
    <w:p w14:paraId="01503606" w14:textId="77777777" w:rsidR="008E1D74" w:rsidRPr="008E1D74" w:rsidRDefault="008E1D74" w:rsidP="008E1D74">
      <w:pPr>
        <w:spacing w:after="0"/>
        <w:rPr>
          <w:rFonts w:ascii="Calibri" w:eastAsia="Calibri" w:hAnsi="Calibri" w:cs="Calibri"/>
          <w:b/>
          <w:color w:val="000000" w:themeColor="text1"/>
          <w:szCs w:val="24"/>
        </w:rPr>
      </w:pPr>
      <w:r w:rsidRPr="008E1D74">
        <w:rPr>
          <w:rFonts w:ascii="Calibri" w:eastAsia="Calibri" w:hAnsi="Calibri" w:cs="Calibri"/>
          <w:b/>
          <w:color w:val="000000" w:themeColor="text1"/>
          <w:szCs w:val="24"/>
        </w:rPr>
        <w:t>Value</w:t>
      </w:r>
    </w:p>
    <w:p w14:paraId="7D352ECF" w14:textId="256551DC" w:rsidR="008E1D74" w:rsidRPr="008E1D74" w:rsidRDefault="008E1D74" w:rsidP="003E7B62">
      <w:pPr>
        <w:pStyle w:val="ListParagraph"/>
        <w:numPr>
          <w:ilvl w:val="0"/>
          <w:numId w:val="1"/>
        </w:numPr>
        <w:spacing w:after="0"/>
        <w:rPr>
          <w:rFonts w:ascii="Calibri" w:eastAsia="Calibri" w:hAnsi="Calibri" w:cs="Calibri"/>
          <w:color w:val="000000" w:themeColor="text1"/>
          <w:szCs w:val="24"/>
        </w:rPr>
      </w:pPr>
      <w:r w:rsidRPr="008E1D74">
        <w:rPr>
          <w:rFonts w:ascii="Calibri" w:eastAsia="Calibri" w:hAnsi="Calibri" w:cs="Calibri"/>
          <w:color w:val="000000" w:themeColor="text1"/>
          <w:szCs w:val="24"/>
        </w:rPr>
        <w:t xml:space="preserve">Whilst this area of our Plan has modest resource attributed, we can point to progress arguably beyond expectation in this first year. We have brokered a first-of-its-kind £2bn agreement with UK private bank Hampden &amp; Co, Lombard </w:t>
      </w:r>
      <w:proofErr w:type="spellStart"/>
      <w:r w:rsidRPr="008E1D74">
        <w:rPr>
          <w:rFonts w:ascii="Calibri" w:eastAsia="Calibri" w:hAnsi="Calibri" w:cs="Calibri"/>
          <w:color w:val="000000" w:themeColor="text1"/>
          <w:szCs w:val="24"/>
        </w:rPr>
        <w:t>Odier</w:t>
      </w:r>
      <w:proofErr w:type="spellEnd"/>
      <w:r w:rsidRPr="008E1D74">
        <w:rPr>
          <w:rFonts w:ascii="Calibri" w:eastAsia="Calibri" w:hAnsi="Calibri" w:cs="Calibri"/>
          <w:color w:val="000000" w:themeColor="text1"/>
          <w:szCs w:val="24"/>
        </w:rPr>
        <w:t xml:space="preserve"> Investment Managers and global impact firm Palladium to drive nature restoration through natural capital investment. Alongside this we have developed our innovative £2m Facility for Investment Ready Nature in Scotland (FIRNS) and Investment Ready Nature Scotland (IRNS) fund.  This will expand the possibilities for future private investment in nature and </w:t>
      </w:r>
      <w:r w:rsidRPr="008E1D74">
        <w:rPr>
          <w:rFonts w:ascii="Calibri" w:eastAsia="Calibri" w:hAnsi="Calibri" w:cs="Calibri"/>
          <w:color w:val="000000" w:themeColor="text1"/>
          <w:szCs w:val="24"/>
        </w:rPr>
        <w:lastRenderedPageBreak/>
        <w:t>open doors to increase funding to benefit nature and tackle climate change in a time when public sector funding is reducing.</w:t>
      </w:r>
    </w:p>
    <w:p w14:paraId="7C51C8F6" w14:textId="77777777" w:rsidR="008E1D74" w:rsidRPr="008E1D74" w:rsidRDefault="008E1D74" w:rsidP="008E1D74">
      <w:pPr>
        <w:spacing w:after="0"/>
        <w:rPr>
          <w:rFonts w:ascii="Calibri" w:eastAsia="Calibri" w:hAnsi="Calibri" w:cs="Calibri"/>
          <w:color w:val="000000" w:themeColor="text1"/>
          <w:szCs w:val="24"/>
        </w:rPr>
      </w:pPr>
    </w:p>
    <w:p w14:paraId="68978438" w14:textId="77777777" w:rsidR="008E1D74" w:rsidRPr="008E1D74" w:rsidRDefault="008E1D74" w:rsidP="008E1D74">
      <w:pPr>
        <w:spacing w:after="0"/>
        <w:rPr>
          <w:rFonts w:ascii="Calibri" w:eastAsia="Calibri" w:hAnsi="Calibri" w:cs="Calibri"/>
          <w:b/>
          <w:color w:val="000000" w:themeColor="text1"/>
          <w:szCs w:val="24"/>
        </w:rPr>
      </w:pPr>
      <w:r w:rsidRPr="008E1D74">
        <w:rPr>
          <w:rFonts w:ascii="Calibri" w:eastAsia="Calibri" w:hAnsi="Calibri" w:cs="Calibri"/>
          <w:b/>
          <w:color w:val="000000" w:themeColor="text1"/>
          <w:szCs w:val="24"/>
        </w:rPr>
        <w:t>NatureScot Way</w:t>
      </w:r>
    </w:p>
    <w:p w14:paraId="17B8461E" w14:textId="2CFAE5CD" w:rsidR="008E1D74" w:rsidRDefault="008E1D74" w:rsidP="003E7B62">
      <w:pPr>
        <w:pStyle w:val="ListParagraph"/>
        <w:numPr>
          <w:ilvl w:val="0"/>
          <w:numId w:val="1"/>
        </w:numPr>
        <w:spacing w:after="0"/>
        <w:rPr>
          <w:rFonts w:ascii="Calibri" w:eastAsia="Calibri" w:hAnsi="Calibri" w:cs="Calibri"/>
          <w:color w:val="000000" w:themeColor="text1"/>
          <w:szCs w:val="24"/>
        </w:rPr>
      </w:pPr>
      <w:r w:rsidRPr="008E1D74">
        <w:rPr>
          <w:rFonts w:ascii="Calibri" w:eastAsia="Calibri" w:hAnsi="Calibri" w:cs="Calibri"/>
          <w:color w:val="000000" w:themeColor="text1"/>
          <w:szCs w:val="24"/>
        </w:rPr>
        <w:t xml:space="preserve">Public finances have remained under significant challenge over the year with NatureScot needing to respond to enhanced pay offers on the back of the cost of living crises. Despite that, we report strong progress against our Net Zero Plan, including our first net zero office, remaining on track to meet our 2035 target. Our Estates Strategy has yielded £250k of saving in-year with targeted action at a number of sites with </w:t>
      </w:r>
      <w:r w:rsidR="00DC6BC8">
        <w:rPr>
          <w:rFonts w:ascii="Calibri" w:eastAsia="Calibri" w:hAnsi="Calibri" w:cs="Calibri"/>
          <w:color w:val="000000" w:themeColor="text1"/>
          <w:szCs w:val="24"/>
        </w:rPr>
        <w:t xml:space="preserve">a </w:t>
      </w:r>
      <w:r w:rsidRPr="008E1D74">
        <w:rPr>
          <w:rFonts w:ascii="Calibri" w:eastAsia="Calibri" w:hAnsi="Calibri" w:cs="Calibri"/>
          <w:color w:val="000000" w:themeColor="text1"/>
          <w:szCs w:val="24"/>
        </w:rPr>
        <w:t>Programme now in place to drive transformation in our workplaces.</w:t>
      </w:r>
    </w:p>
    <w:p w14:paraId="6E08E9F2" w14:textId="77777777" w:rsidR="008E1D74" w:rsidRDefault="008E1D74" w:rsidP="008E1D74">
      <w:pPr>
        <w:pStyle w:val="ListParagraph"/>
        <w:spacing w:after="0"/>
        <w:ind w:left="360"/>
        <w:rPr>
          <w:rFonts w:ascii="Calibri" w:eastAsia="Calibri" w:hAnsi="Calibri" w:cs="Calibri"/>
          <w:color w:val="000000" w:themeColor="text1"/>
          <w:szCs w:val="24"/>
        </w:rPr>
      </w:pPr>
    </w:p>
    <w:p w14:paraId="3C18A91A" w14:textId="23E04082" w:rsidR="008E1D74" w:rsidRDefault="008E1D74" w:rsidP="003E7B62">
      <w:pPr>
        <w:pStyle w:val="ListParagraph"/>
        <w:numPr>
          <w:ilvl w:val="0"/>
          <w:numId w:val="1"/>
        </w:numPr>
        <w:spacing w:after="0"/>
        <w:rPr>
          <w:rFonts w:ascii="Calibri" w:eastAsia="Calibri" w:hAnsi="Calibri" w:cs="Calibri"/>
          <w:color w:val="000000" w:themeColor="text1"/>
          <w:szCs w:val="24"/>
        </w:rPr>
      </w:pPr>
      <w:r w:rsidRPr="008E1D74">
        <w:rPr>
          <w:rFonts w:ascii="Calibri" w:eastAsia="Calibri" w:hAnsi="Calibri" w:cs="Calibri"/>
          <w:color w:val="000000" w:themeColor="text1"/>
          <w:szCs w:val="24"/>
        </w:rPr>
        <w:t xml:space="preserve">2022/23 saw the home and hybrid working practices that began during the </w:t>
      </w:r>
      <w:proofErr w:type="spellStart"/>
      <w:r w:rsidRPr="008E1D74">
        <w:rPr>
          <w:rFonts w:ascii="Calibri" w:eastAsia="Calibri" w:hAnsi="Calibri" w:cs="Calibri"/>
          <w:color w:val="000000" w:themeColor="text1"/>
          <w:szCs w:val="24"/>
        </w:rPr>
        <w:t>Covid</w:t>
      </w:r>
      <w:proofErr w:type="spellEnd"/>
      <w:r w:rsidRPr="008E1D74">
        <w:rPr>
          <w:rFonts w:ascii="Calibri" w:eastAsia="Calibri" w:hAnsi="Calibri" w:cs="Calibri"/>
          <w:color w:val="000000" w:themeColor="text1"/>
          <w:szCs w:val="24"/>
        </w:rPr>
        <w:t xml:space="preserve"> Pandemic become business as usual for a significant proportion of the NatureScot workforce.  ICT solutions that were implemented and rolled out very rapidly in response to the pandemic have been adopted at scale and monitoring shows that upwards of 75% of the NatureScot workforce now connects to corporate systems from non-office locations as a matter of course. </w:t>
      </w:r>
    </w:p>
    <w:p w14:paraId="3C12069C" w14:textId="77777777" w:rsidR="008E1D74" w:rsidRPr="008E1D74" w:rsidRDefault="008E1D74" w:rsidP="008E1D74">
      <w:pPr>
        <w:pStyle w:val="ListParagraph"/>
        <w:rPr>
          <w:rFonts w:ascii="Calibri" w:eastAsia="Calibri" w:hAnsi="Calibri" w:cs="Calibri"/>
          <w:color w:val="000000" w:themeColor="text1"/>
          <w:szCs w:val="24"/>
        </w:rPr>
      </w:pPr>
    </w:p>
    <w:p w14:paraId="643674E5" w14:textId="4C44DB72" w:rsidR="008E1D74" w:rsidRDefault="008E1D74" w:rsidP="003E7B62">
      <w:pPr>
        <w:pStyle w:val="ListParagraph"/>
        <w:numPr>
          <w:ilvl w:val="0"/>
          <w:numId w:val="1"/>
        </w:numPr>
        <w:spacing w:after="0"/>
        <w:rPr>
          <w:rFonts w:ascii="Calibri" w:eastAsia="Calibri" w:hAnsi="Calibri" w:cs="Calibri"/>
          <w:color w:val="000000" w:themeColor="text1"/>
          <w:szCs w:val="24"/>
        </w:rPr>
      </w:pPr>
      <w:r w:rsidRPr="008E1D74">
        <w:rPr>
          <w:rFonts w:ascii="Calibri" w:eastAsia="Calibri" w:hAnsi="Calibri" w:cs="Calibri"/>
          <w:color w:val="000000" w:themeColor="text1"/>
          <w:szCs w:val="24"/>
        </w:rPr>
        <w:t>As a consequence, supporting legacy systems and technologies has proven to be a continuous challenge, especially when coupled with high levels of cyber threat. The result of NatureScot’s growing ICT infrastructure technical debt was apparent at various points in 2022/23, particularly where unresolved network performance issues impacted business operations (especially the eRDMS &amp; GIS performance issues on-going throughout much of 2022).</w:t>
      </w:r>
    </w:p>
    <w:p w14:paraId="04E441A2" w14:textId="77777777" w:rsidR="008E1D74" w:rsidRPr="008E1D74" w:rsidRDefault="008E1D74" w:rsidP="008E1D74">
      <w:pPr>
        <w:pStyle w:val="ListParagraph"/>
        <w:rPr>
          <w:rFonts w:ascii="Calibri" w:eastAsia="Calibri" w:hAnsi="Calibri" w:cs="Calibri"/>
          <w:color w:val="000000" w:themeColor="text1"/>
          <w:szCs w:val="24"/>
        </w:rPr>
      </w:pPr>
    </w:p>
    <w:p w14:paraId="6E2AC735" w14:textId="3FCC5D77" w:rsidR="008E1D74" w:rsidRDefault="008E1D74" w:rsidP="003E7B62">
      <w:pPr>
        <w:pStyle w:val="ListParagraph"/>
        <w:numPr>
          <w:ilvl w:val="0"/>
          <w:numId w:val="1"/>
        </w:numPr>
        <w:spacing w:after="0"/>
        <w:rPr>
          <w:rFonts w:ascii="Calibri" w:eastAsia="Calibri" w:hAnsi="Calibri" w:cs="Calibri"/>
          <w:color w:val="000000" w:themeColor="text1"/>
          <w:szCs w:val="24"/>
        </w:rPr>
      </w:pPr>
      <w:r w:rsidRPr="008E1D74">
        <w:rPr>
          <w:rFonts w:ascii="Calibri" w:eastAsia="Calibri" w:hAnsi="Calibri" w:cs="Calibri"/>
          <w:color w:val="000000" w:themeColor="text1"/>
          <w:szCs w:val="24"/>
        </w:rPr>
        <w:t>Balancing the competing demands of reactive systems support vs proactive work to progress strategic priorities has led to ongoing pressures, but, on balance, 2022/23 still saw good progress achieved in most of the highest priority areas of work.</w:t>
      </w:r>
    </w:p>
    <w:p w14:paraId="5F6C8F47" w14:textId="77777777" w:rsidR="008E1D74" w:rsidRPr="008E1D74" w:rsidRDefault="008E1D74" w:rsidP="008E1D74">
      <w:pPr>
        <w:pStyle w:val="ListParagraph"/>
        <w:rPr>
          <w:rFonts w:ascii="Calibri" w:eastAsia="Calibri" w:hAnsi="Calibri" w:cs="Calibri"/>
          <w:color w:val="000000" w:themeColor="text1"/>
          <w:szCs w:val="24"/>
        </w:rPr>
      </w:pPr>
    </w:p>
    <w:p w14:paraId="19ED32AB" w14:textId="5EF4498B" w:rsidR="008E1D74" w:rsidRPr="008E1D74" w:rsidRDefault="008E1D74" w:rsidP="003E7B62">
      <w:pPr>
        <w:pStyle w:val="ListParagraph"/>
        <w:numPr>
          <w:ilvl w:val="0"/>
          <w:numId w:val="1"/>
        </w:numPr>
        <w:spacing w:after="0"/>
        <w:rPr>
          <w:rFonts w:ascii="Calibri" w:eastAsia="Calibri" w:hAnsi="Calibri" w:cs="Calibri"/>
          <w:color w:val="000000" w:themeColor="text1"/>
          <w:szCs w:val="24"/>
        </w:rPr>
      </w:pPr>
      <w:r w:rsidRPr="008E1D74">
        <w:rPr>
          <w:rFonts w:ascii="Calibri" w:eastAsia="Calibri" w:hAnsi="Calibri" w:cs="Calibri"/>
          <w:color w:val="000000" w:themeColor="text1"/>
          <w:szCs w:val="24"/>
        </w:rPr>
        <w:t>A significant amount of work has also been undertaken during the year led by our organisational design programme. We start the next year of this corporate plan with an operating model designed to address the challenges of resources and prioritisation ensuring that we can continue to meet the ambition set for the remainder of the Plan.</w:t>
      </w:r>
    </w:p>
    <w:p w14:paraId="32034475" w14:textId="77777777" w:rsidR="008E1D74" w:rsidRPr="008E1D74" w:rsidRDefault="008E1D74" w:rsidP="008E1D74">
      <w:pPr>
        <w:pStyle w:val="ListParagraph"/>
        <w:spacing w:after="0"/>
        <w:ind w:left="360"/>
        <w:rPr>
          <w:rFonts w:ascii="Calibri" w:eastAsia="Calibri" w:hAnsi="Calibri" w:cs="Calibri"/>
          <w:color w:val="000000" w:themeColor="text1"/>
          <w:szCs w:val="24"/>
        </w:rPr>
      </w:pPr>
      <w:r w:rsidRPr="008E1D74">
        <w:rPr>
          <w:rFonts w:ascii="Calibri" w:eastAsia="Calibri" w:hAnsi="Calibri" w:cs="Calibri"/>
          <w:color w:val="000000" w:themeColor="text1"/>
          <w:szCs w:val="24"/>
        </w:rPr>
        <w:t> </w:t>
      </w:r>
    </w:p>
    <w:p w14:paraId="5D44DC5C" w14:textId="5D20400F" w:rsidR="0007184E" w:rsidRPr="0007184E" w:rsidRDefault="0007184E" w:rsidP="008E1D74">
      <w:pPr>
        <w:pStyle w:val="ListParagraph"/>
        <w:spacing w:after="0"/>
        <w:ind w:left="360"/>
        <w:rPr>
          <w:rFonts w:ascii="Calibri" w:eastAsia="Calibri" w:hAnsi="Calibri" w:cs="Calibri"/>
          <w:color w:val="000000" w:themeColor="text1"/>
          <w:szCs w:val="24"/>
        </w:rPr>
      </w:pPr>
    </w:p>
    <w:p w14:paraId="21C854E2" w14:textId="28D1B011" w:rsidR="00DA6BF4" w:rsidRDefault="00DA6BF4">
      <w:pPr>
        <w:rPr>
          <w:rFonts w:ascii="Calibri" w:eastAsia="Arial" w:hAnsi="Calibri" w:cs="Calibri"/>
          <w:szCs w:val="24"/>
        </w:rPr>
      </w:pPr>
      <w:r>
        <w:rPr>
          <w:rFonts w:ascii="Calibri" w:eastAsia="Arial" w:hAnsi="Calibri" w:cs="Calibri"/>
          <w:szCs w:val="24"/>
        </w:rPr>
        <w:br w:type="page"/>
      </w:r>
    </w:p>
    <w:p w14:paraId="45481FF6" w14:textId="77777777" w:rsidR="00DA6BF4" w:rsidRDefault="00DA6BF4" w:rsidP="00DA6BF4">
      <w:pPr>
        <w:pStyle w:val="ListParagraph"/>
        <w:ind w:left="360"/>
        <w:jc w:val="both"/>
        <w:rPr>
          <w:rFonts w:ascii="Calibri" w:hAnsi="Calibri" w:cs="Calibri"/>
          <w:szCs w:val="24"/>
        </w:rPr>
        <w:sectPr w:rsidR="00DA6BF4" w:rsidSect="000419B1">
          <w:pgSz w:w="11906" w:h="16838"/>
          <w:pgMar w:top="993" w:right="1440" w:bottom="1440" w:left="1440" w:header="567" w:footer="708" w:gutter="0"/>
          <w:cols w:space="708"/>
          <w:docGrid w:linePitch="360"/>
        </w:sectPr>
      </w:pPr>
    </w:p>
    <w:p w14:paraId="09DBA0FA" w14:textId="4AB76E0B" w:rsidR="00DA6BF4" w:rsidRPr="009B6D9E" w:rsidRDefault="00436F2C" w:rsidP="00DA6BF4">
      <w:pPr>
        <w:pStyle w:val="Heading2"/>
        <w:rPr>
          <w:rFonts w:ascii="Calibri" w:hAnsi="Calibri" w:cs="Calibri"/>
          <w:color w:val="4F81BD" w:themeColor="accent1"/>
          <w:sz w:val="28"/>
          <w:szCs w:val="28"/>
        </w:rPr>
      </w:pPr>
      <w:bookmarkStart w:id="1" w:name="_Annex_A_–"/>
      <w:bookmarkStart w:id="2" w:name="AnnexA"/>
      <w:bookmarkEnd w:id="1"/>
      <w:r>
        <w:rPr>
          <w:rFonts w:ascii="Calibri" w:eastAsia="Times New Roman" w:hAnsi="Calibri" w:cs="Calibri"/>
          <w:color w:val="4F81BD" w:themeColor="accent1"/>
          <w:sz w:val="28"/>
          <w:szCs w:val="28"/>
        </w:rPr>
        <w:lastRenderedPageBreak/>
        <w:t>Annex B</w:t>
      </w:r>
      <w:r w:rsidR="00DA6BF4" w:rsidRPr="009B6D9E">
        <w:rPr>
          <w:rFonts w:ascii="Calibri" w:eastAsia="Times New Roman" w:hAnsi="Calibri" w:cs="Calibri"/>
          <w:color w:val="4F81BD" w:themeColor="accent1"/>
          <w:sz w:val="28"/>
          <w:szCs w:val="28"/>
        </w:rPr>
        <w:t xml:space="preserve"> – Corporate Risk Register (High Risks</w:t>
      </w:r>
      <w:r w:rsidR="00DA6BF4" w:rsidRPr="009B6D9E">
        <w:rPr>
          <w:rFonts w:ascii="Calibri" w:hAnsi="Calibri" w:cs="Calibri"/>
          <w:color w:val="4F81BD" w:themeColor="accent1"/>
          <w:sz w:val="28"/>
          <w:szCs w:val="28"/>
        </w:rPr>
        <w:t>)</w:t>
      </w:r>
    </w:p>
    <w:tbl>
      <w:tblPr>
        <w:tblStyle w:val="TableGrid"/>
        <w:tblW w:w="22033" w:type="dxa"/>
        <w:tblInd w:w="-572" w:type="dxa"/>
        <w:tblLayout w:type="fixed"/>
        <w:tblLook w:val="04A0" w:firstRow="1" w:lastRow="0" w:firstColumn="1" w:lastColumn="0" w:noHBand="0" w:noVBand="1"/>
        <w:tblCaption w:val="Risks"/>
      </w:tblPr>
      <w:tblGrid>
        <w:gridCol w:w="2494"/>
        <w:gridCol w:w="3035"/>
        <w:gridCol w:w="5811"/>
        <w:gridCol w:w="1134"/>
        <w:gridCol w:w="851"/>
        <w:gridCol w:w="992"/>
        <w:gridCol w:w="7716"/>
      </w:tblGrid>
      <w:tr w:rsidR="009946D8" w:rsidRPr="00C13090" w14:paraId="0457AD34" w14:textId="77777777" w:rsidTr="00436F2C">
        <w:trPr>
          <w:trHeight w:val="442"/>
          <w:tblHeader/>
        </w:trPr>
        <w:tc>
          <w:tcPr>
            <w:tcW w:w="2494" w:type="dxa"/>
            <w:shd w:val="clear" w:color="auto" w:fill="244061" w:themeFill="accent1" w:themeFillShade="80"/>
            <w:hideMark/>
          </w:tcPr>
          <w:bookmarkEnd w:id="2"/>
          <w:p w14:paraId="130DA1EF" w14:textId="2B22E496" w:rsidR="00C13090" w:rsidRPr="00C13090" w:rsidRDefault="00C13090" w:rsidP="00C13090">
            <w:pPr>
              <w:jc w:val="both"/>
              <w:rPr>
                <w:rFonts w:ascii="Calibri" w:hAnsi="Calibri" w:cs="Calibri"/>
                <w:b/>
                <w:bCs/>
                <w:szCs w:val="24"/>
              </w:rPr>
            </w:pPr>
            <w:r w:rsidRPr="00C13090">
              <w:rPr>
                <w:b/>
              </w:rPr>
              <w:t>RISK TITLE</w:t>
            </w:r>
          </w:p>
        </w:tc>
        <w:tc>
          <w:tcPr>
            <w:tcW w:w="3035" w:type="dxa"/>
            <w:shd w:val="clear" w:color="auto" w:fill="244061" w:themeFill="accent1" w:themeFillShade="80"/>
            <w:hideMark/>
          </w:tcPr>
          <w:p w14:paraId="0D0A1529" w14:textId="77777777" w:rsidR="00C13090" w:rsidRPr="00C13090" w:rsidRDefault="00C13090" w:rsidP="00C13090">
            <w:pPr>
              <w:pStyle w:val="ListParagraph"/>
              <w:ind w:left="360" w:hanging="360"/>
              <w:jc w:val="both"/>
              <w:rPr>
                <w:rFonts w:ascii="Calibri" w:hAnsi="Calibri" w:cs="Calibri"/>
                <w:b/>
                <w:bCs/>
                <w:szCs w:val="24"/>
              </w:rPr>
            </w:pPr>
            <w:r w:rsidRPr="00C13090">
              <w:rPr>
                <w:rFonts w:ascii="Calibri" w:hAnsi="Calibri" w:cs="Calibri"/>
                <w:b/>
                <w:bCs/>
                <w:szCs w:val="24"/>
              </w:rPr>
              <w:t>DESCRIPTION</w:t>
            </w:r>
          </w:p>
        </w:tc>
        <w:tc>
          <w:tcPr>
            <w:tcW w:w="5811" w:type="dxa"/>
            <w:shd w:val="clear" w:color="auto" w:fill="244061" w:themeFill="accent1" w:themeFillShade="80"/>
            <w:hideMark/>
          </w:tcPr>
          <w:p w14:paraId="56DA765F" w14:textId="77777777" w:rsidR="00C13090" w:rsidRPr="00C13090" w:rsidRDefault="00C13090" w:rsidP="00C13090">
            <w:pPr>
              <w:pStyle w:val="ListParagraph"/>
              <w:ind w:left="-113" w:firstLine="113"/>
              <w:jc w:val="both"/>
              <w:rPr>
                <w:rFonts w:ascii="Calibri" w:hAnsi="Calibri" w:cs="Calibri"/>
                <w:b/>
                <w:bCs/>
                <w:szCs w:val="24"/>
              </w:rPr>
            </w:pPr>
            <w:r w:rsidRPr="00C13090">
              <w:rPr>
                <w:rFonts w:ascii="Calibri" w:hAnsi="Calibri" w:cs="Calibri"/>
                <w:b/>
                <w:bCs/>
                <w:szCs w:val="24"/>
              </w:rPr>
              <w:t>CONTROLS</w:t>
            </w:r>
          </w:p>
        </w:tc>
        <w:tc>
          <w:tcPr>
            <w:tcW w:w="1134" w:type="dxa"/>
            <w:shd w:val="clear" w:color="auto" w:fill="244061" w:themeFill="accent1" w:themeFillShade="80"/>
            <w:hideMark/>
          </w:tcPr>
          <w:p w14:paraId="15FC085C" w14:textId="77777777" w:rsidR="00C13090" w:rsidRPr="00C13090" w:rsidRDefault="00C13090" w:rsidP="009946D8">
            <w:pPr>
              <w:pStyle w:val="ListParagraph"/>
              <w:ind w:left="315" w:right="-102" w:hanging="371"/>
              <w:jc w:val="both"/>
              <w:rPr>
                <w:rFonts w:ascii="Calibri" w:hAnsi="Calibri" w:cs="Calibri"/>
                <w:b/>
                <w:bCs/>
                <w:szCs w:val="24"/>
              </w:rPr>
            </w:pPr>
            <w:r w:rsidRPr="00C13090">
              <w:rPr>
                <w:rFonts w:ascii="Calibri" w:hAnsi="Calibri" w:cs="Calibri"/>
                <w:b/>
                <w:bCs/>
                <w:szCs w:val="24"/>
              </w:rPr>
              <w:t>IMPACT</w:t>
            </w:r>
          </w:p>
        </w:tc>
        <w:tc>
          <w:tcPr>
            <w:tcW w:w="851" w:type="dxa"/>
            <w:shd w:val="clear" w:color="auto" w:fill="244061" w:themeFill="accent1" w:themeFillShade="80"/>
            <w:hideMark/>
          </w:tcPr>
          <w:p w14:paraId="00D96FD7" w14:textId="4E463EA9" w:rsidR="00C13090" w:rsidRPr="00C13090" w:rsidRDefault="00C13090" w:rsidP="00C13090">
            <w:pPr>
              <w:pStyle w:val="ListParagraph"/>
              <w:ind w:left="0"/>
              <w:jc w:val="both"/>
              <w:rPr>
                <w:rFonts w:ascii="Calibri" w:hAnsi="Calibri" w:cs="Calibri"/>
                <w:b/>
                <w:bCs/>
                <w:szCs w:val="24"/>
              </w:rPr>
            </w:pPr>
            <w:r w:rsidRPr="00C13090">
              <w:rPr>
                <w:rFonts w:ascii="Calibri" w:hAnsi="Calibri" w:cs="Calibri"/>
                <w:b/>
                <w:bCs/>
                <w:szCs w:val="24"/>
              </w:rPr>
              <w:t>LIKLE</w:t>
            </w:r>
            <w:r>
              <w:rPr>
                <w:rFonts w:ascii="Calibri" w:hAnsi="Calibri" w:cs="Calibri"/>
                <w:b/>
                <w:bCs/>
                <w:szCs w:val="24"/>
              </w:rPr>
              <w:t>-</w:t>
            </w:r>
            <w:r w:rsidRPr="00C13090">
              <w:rPr>
                <w:rFonts w:ascii="Calibri" w:hAnsi="Calibri" w:cs="Calibri"/>
                <w:b/>
                <w:bCs/>
                <w:szCs w:val="24"/>
              </w:rPr>
              <w:t>HOOD</w:t>
            </w:r>
          </w:p>
        </w:tc>
        <w:tc>
          <w:tcPr>
            <w:tcW w:w="992" w:type="dxa"/>
            <w:shd w:val="clear" w:color="auto" w:fill="244061" w:themeFill="accent1" w:themeFillShade="80"/>
            <w:hideMark/>
          </w:tcPr>
          <w:p w14:paraId="30A44A59" w14:textId="578BFBB8" w:rsidR="00C13090" w:rsidRPr="00C13090" w:rsidRDefault="00C13090" w:rsidP="00C13090">
            <w:pPr>
              <w:pStyle w:val="ListParagraph"/>
              <w:ind w:left="0" w:right="-13" w:hanging="20"/>
              <w:jc w:val="both"/>
              <w:rPr>
                <w:rFonts w:ascii="Calibri" w:hAnsi="Calibri" w:cs="Calibri"/>
                <w:b/>
                <w:bCs/>
                <w:szCs w:val="24"/>
              </w:rPr>
            </w:pPr>
            <w:r>
              <w:rPr>
                <w:rFonts w:ascii="Calibri" w:hAnsi="Calibri" w:cs="Calibri"/>
                <w:b/>
                <w:bCs/>
                <w:szCs w:val="24"/>
              </w:rPr>
              <w:t xml:space="preserve">RISK </w:t>
            </w:r>
            <w:r w:rsidRPr="00C13090">
              <w:rPr>
                <w:rFonts w:ascii="Calibri" w:hAnsi="Calibri" w:cs="Calibri"/>
                <w:b/>
                <w:bCs/>
                <w:szCs w:val="24"/>
              </w:rPr>
              <w:t>LEVEL</w:t>
            </w:r>
          </w:p>
        </w:tc>
        <w:tc>
          <w:tcPr>
            <w:tcW w:w="7716" w:type="dxa"/>
            <w:shd w:val="clear" w:color="auto" w:fill="244061" w:themeFill="accent1" w:themeFillShade="80"/>
            <w:hideMark/>
          </w:tcPr>
          <w:p w14:paraId="29C4F780" w14:textId="77777777" w:rsidR="00C13090" w:rsidRPr="00C13090" w:rsidRDefault="00C13090" w:rsidP="00C13090">
            <w:pPr>
              <w:pStyle w:val="ListParagraph"/>
              <w:ind w:left="360" w:hanging="360"/>
              <w:jc w:val="both"/>
              <w:rPr>
                <w:rFonts w:ascii="Calibri" w:hAnsi="Calibri" w:cs="Calibri"/>
                <w:b/>
                <w:bCs/>
                <w:szCs w:val="24"/>
              </w:rPr>
            </w:pPr>
            <w:r w:rsidRPr="00C13090">
              <w:rPr>
                <w:rFonts w:ascii="Calibri" w:hAnsi="Calibri" w:cs="Calibri"/>
                <w:b/>
                <w:bCs/>
                <w:szCs w:val="24"/>
              </w:rPr>
              <w:t>COMMENTS</w:t>
            </w:r>
          </w:p>
        </w:tc>
      </w:tr>
      <w:tr w:rsidR="009946D8" w:rsidRPr="00C13090" w14:paraId="4782C150" w14:textId="77777777" w:rsidTr="00436F2C">
        <w:trPr>
          <w:trHeight w:val="1857"/>
        </w:trPr>
        <w:tc>
          <w:tcPr>
            <w:tcW w:w="2494" w:type="dxa"/>
            <w:hideMark/>
          </w:tcPr>
          <w:p w14:paraId="329C487F" w14:textId="77777777" w:rsidR="00C13090" w:rsidRPr="009946D8" w:rsidRDefault="00C13090" w:rsidP="00C13090">
            <w:pPr>
              <w:pStyle w:val="ListParagraph"/>
              <w:ind w:left="-19" w:right="12" w:firstLine="19"/>
              <w:rPr>
                <w:rFonts w:ascii="Calibri" w:hAnsi="Calibri" w:cs="Calibri"/>
                <w:sz w:val="22"/>
              </w:rPr>
            </w:pPr>
            <w:r w:rsidRPr="009946D8">
              <w:rPr>
                <w:rFonts w:ascii="Calibri" w:hAnsi="Calibri" w:cs="Calibri"/>
                <w:sz w:val="22"/>
              </w:rPr>
              <w:t xml:space="preserve">47 - Computer Virus/Malware </w:t>
            </w:r>
          </w:p>
        </w:tc>
        <w:tc>
          <w:tcPr>
            <w:tcW w:w="3035" w:type="dxa"/>
            <w:hideMark/>
          </w:tcPr>
          <w:p w14:paraId="3095EC7E" w14:textId="0350D859" w:rsidR="00C13090" w:rsidRPr="009946D8" w:rsidRDefault="00C13090" w:rsidP="00C13090">
            <w:pPr>
              <w:pStyle w:val="ListParagraph"/>
              <w:ind w:left="-19" w:right="12" w:firstLine="19"/>
              <w:rPr>
                <w:rFonts w:ascii="Calibri" w:hAnsi="Calibri" w:cs="Calibri"/>
                <w:sz w:val="22"/>
              </w:rPr>
            </w:pPr>
            <w:r w:rsidRPr="009946D8">
              <w:rPr>
                <w:rFonts w:ascii="Calibri" w:hAnsi="Calibri" w:cs="Calibri"/>
                <w:sz w:val="22"/>
              </w:rPr>
              <w:t>As a result of inadequate protection, or inappropriate system use, including accidental activation of email links by that lead to malware downloads, there is a risk that NatureScot systems becoming infected  with a malware or virus agent, resulting in NatureScot systems and data become unavailable, encrypted or corrupted, significant system downtime and huge operational impacts</w:t>
            </w:r>
          </w:p>
        </w:tc>
        <w:tc>
          <w:tcPr>
            <w:tcW w:w="5811" w:type="dxa"/>
            <w:hideMark/>
          </w:tcPr>
          <w:p w14:paraId="029E7063" w14:textId="7C4F5D40" w:rsidR="00C13090" w:rsidRPr="009946D8" w:rsidRDefault="00C13090" w:rsidP="00C13090">
            <w:pPr>
              <w:pStyle w:val="ListParagraph"/>
              <w:ind w:left="-19" w:right="12" w:firstLine="19"/>
              <w:rPr>
                <w:rFonts w:ascii="Calibri" w:hAnsi="Calibri" w:cs="Calibri"/>
                <w:sz w:val="22"/>
              </w:rPr>
            </w:pPr>
            <w:r w:rsidRPr="009946D8">
              <w:rPr>
                <w:rFonts w:ascii="Calibri" w:hAnsi="Calibri" w:cs="Calibri"/>
                <w:sz w:val="22"/>
              </w:rPr>
              <w:t>*All file serve</w:t>
            </w:r>
            <w:r w:rsidR="009946D8" w:rsidRPr="009946D8">
              <w:rPr>
                <w:rFonts w:ascii="Calibri" w:hAnsi="Calibri" w:cs="Calibri"/>
                <w:sz w:val="22"/>
              </w:rPr>
              <w:t>rs are protected by Sophos anti</w:t>
            </w:r>
            <w:r w:rsidRPr="009946D8">
              <w:rPr>
                <w:rFonts w:ascii="Calibri" w:hAnsi="Calibri" w:cs="Calibri"/>
                <w:sz w:val="22"/>
              </w:rPr>
              <w:t>virus protection. Upgrades are performed automatically and can also be applied in an ad-hoc manner</w:t>
            </w:r>
            <w:r w:rsidRPr="009946D8">
              <w:rPr>
                <w:rFonts w:ascii="Calibri" w:hAnsi="Calibri" w:cs="Calibri"/>
                <w:sz w:val="22"/>
              </w:rPr>
              <w:br/>
              <w:t>*All P</w:t>
            </w:r>
            <w:r w:rsidR="009946D8" w:rsidRPr="009946D8">
              <w:rPr>
                <w:rFonts w:ascii="Calibri" w:hAnsi="Calibri" w:cs="Calibri"/>
                <w:sz w:val="22"/>
              </w:rPr>
              <w:t>Cs are protected by Sophos anti</w:t>
            </w:r>
            <w:r w:rsidRPr="009946D8">
              <w:rPr>
                <w:rFonts w:ascii="Calibri" w:hAnsi="Calibri" w:cs="Calibri"/>
                <w:sz w:val="22"/>
              </w:rPr>
              <w:t>virus protection. Upgrades are received on a daily basis but can be applied ad-hoc</w:t>
            </w:r>
            <w:r w:rsidRPr="009946D8">
              <w:rPr>
                <w:rFonts w:ascii="Calibri" w:hAnsi="Calibri" w:cs="Calibri"/>
                <w:sz w:val="22"/>
              </w:rPr>
              <w:br/>
              <w:t xml:space="preserve">*All incoming emails are scanned for viruses. </w:t>
            </w:r>
            <w:r w:rsidRPr="009946D8">
              <w:rPr>
                <w:rFonts w:ascii="Calibri" w:hAnsi="Calibri" w:cs="Calibri"/>
                <w:sz w:val="22"/>
              </w:rPr>
              <w:br/>
              <w:t xml:space="preserve">*All internet access, are scanned for viruses via </w:t>
            </w:r>
            <w:proofErr w:type="spellStart"/>
            <w:r w:rsidRPr="009946D8">
              <w:rPr>
                <w:rFonts w:ascii="Calibri" w:hAnsi="Calibri" w:cs="Calibri"/>
                <w:sz w:val="22"/>
              </w:rPr>
              <w:t>Zscaler</w:t>
            </w:r>
            <w:proofErr w:type="spellEnd"/>
            <w:r w:rsidRPr="009946D8">
              <w:rPr>
                <w:rFonts w:ascii="Calibri" w:hAnsi="Calibri" w:cs="Calibri"/>
                <w:sz w:val="22"/>
              </w:rPr>
              <w:t xml:space="preserve"> service.</w:t>
            </w:r>
            <w:r w:rsidRPr="009946D8">
              <w:rPr>
                <w:rFonts w:ascii="Calibri" w:hAnsi="Calibri" w:cs="Calibri"/>
                <w:sz w:val="22"/>
              </w:rPr>
              <w:br/>
              <w:t>*Raise staff awareness of potential risks relating to email links and infected documents through regular communications.</w:t>
            </w:r>
            <w:r w:rsidRPr="009946D8">
              <w:rPr>
                <w:rFonts w:ascii="Calibri" w:hAnsi="Calibri" w:cs="Calibri"/>
                <w:sz w:val="22"/>
              </w:rPr>
              <w:br/>
              <w:t>*Sandbox controls/ environment implemented</w:t>
            </w:r>
            <w:r w:rsidRPr="009946D8">
              <w:rPr>
                <w:rFonts w:ascii="Calibri" w:hAnsi="Calibri" w:cs="Calibri"/>
                <w:sz w:val="22"/>
              </w:rPr>
              <w:br/>
              <w:t xml:space="preserve">*Control of USB devices </w:t>
            </w:r>
            <w:r w:rsidRPr="009946D8">
              <w:rPr>
                <w:rFonts w:ascii="Calibri" w:hAnsi="Calibri" w:cs="Calibri"/>
                <w:sz w:val="22"/>
              </w:rPr>
              <w:br/>
              <w:t>*Awareness raising with staff via Blogs and update articles</w:t>
            </w:r>
            <w:r w:rsidRPr="009946D8">
              <w:rPr>
                <w:rFonts w:ascii="Calibri" w:hAnsi="Calibri" w:cs="Calibri"/>
                <w:sz w:val="22"/>
              </w:rPr>
              <w:br/>
              <w:t>*Incident Management Group in place</w:t>
            </w:r>
            <w:r w:rsidRPr="009946D8">
              <w:rPr>
                <w:rFonts w:ascii="Calibri" w:hAnsi="Calibri" w:cs="Calibri"/>
                <w:sz w:val="22"/>
              </w:rPr>
              <w:br/>
              <w:t xml:space="preserve">*Corporate data backed up to cloud </w:t>
            </w:r>
          </w:p>
        </w:tc>
        <w:tc>
          <w:tcPr>
            <w:tcW w:w="1134" w:type="dxa"/>
            <w:hideMark/>
          </w:tcPr>
          <w:p w14:paraId="134A3031" w14:textId="77777777" w:rsidR="00C13090" w:rsidRPr="009946D8" w:rsidRDefault="00C13090" w:rsidP="00C13090">
            <w:pPr>
              <w:pStyle w:val="ListParagraph"/>
              <w:ind w:left="-19" w:right="12" w:firstLine="19"/>
              <w:rPr>
                <w:rFonts w:ascii="Calibri" w:hAnsi="Calibri" w:cs="Calibri"/>
                <w:sz w:val="22"/>
              </w:rPr>
            </w:pPr>
            <w:r w:rsidRPr="009946D8">
              <w:rPr>
                <w:rFonts w:ascii="Calibri" w:hAnsi="Calibri" w:cs="Calibri"/>
                <w:sz w:val="22"/>
              </w:rPr>
              <w:t>4</w:t>
            </w:r>
          </w:p>
        </w:tc>
        <w:tc>
          <w:tcPr>
            <w:tcW w:w="851" w:type="dxa"/>
            <w:hideMark/>
          </w:tcPr>
          <w:p w14:paraId="202775B3" w14:textId="77777777" w:rsidR="00C13090" w:rsidRPr="009946D8" w:rsidRDefault="00C13090" w:rsidP="00C13090">
            <w:pPr>
              <w:pStyle w:val="ListParagraph"/>
              <w:ind w:left="-19" w:right="12" w:firstLine="19"/>
              <w:rPr>
                <w:rFonts w:ascii="Calibri" w:hAnsi="Calibri" w:cs="Calibri"/>
                <w:sz w:val="22"/>
              </w:rPr>
            </w:pPr>
            <w:r w:rsidRPr="009946D8">
              <w:rPr>
                <w:rFonts w:ascii="Calibri" w:hAnsi="Calibri" w:cs="Calibri"/>
                <w:sz w:val="22"/>
              </w:rPr>
              <w:t>3</w:t>
            </w:r>
          </w:p>
        </w:tc>
        <w:tc>
          <w:tcPr>
            <w:tcW w:w="992" w:type="dxa"/>
            <w:hideMark/>
          </w:tcPr>
          <w:p w14:paraId="24DB151B" w14:textId="77777777" w:rsidR="00C13090" w:rsidRPr="009946D8" w:rsidRDefault="00C13090" w:rsidP="00C13090">
            <w:pPr>
              <w:pStyle w:val="ListParagraph"/>
              <w:ind w:left="-19" w:right="12" w:firstLine="19"/>
              <w:rPr>
                <w:rFonts w:ascii="Calibri" w:hAnsi="Calibri" w:cs="Calibri"/>
                <w:sz w:val="22"/>
              </w:rPr>
            </w:pPr>
            <w:r w:rsidRPr="009946D8">
              <w:rPr>
                <w:rFonts w:ascii="Calibri" w:hAnsi="Calibri" w:cs="Calibri"/>
                <w:sz w:val="22"/>
              </w:rPr>
              <w:t>High</w:t>
            </w:r>
          </w:p>
        </w:tc>
        <w:tc>
          <w:tcPr>
            <w:tcW w:w="7716" w:type="dxa"/>
            <w:hideMark/>
          </w:tcPr>
          <w:p w14:paraId="03C56A11" w14:textId="77777777" w:rsidR="00C13090" w:rsidRPr="009946D8" w:rsidRDefault="00C13090" w:rsidP="00C13090">
            <w:pPr>
              <w:pStyle w:val="ListParagraph"/>
              <w:ind w:left="-19" w:right="12" w:firstLine="19"/>
              <w:rPr>
                <w:rFonts w:ascii="Calibri" w:hAnsi="Calibri" w:cs="Calibri"/>
                <w:sz w:val="22"/>
              </w:rPr>
            </w:pPr>
            <w:r w:rsidRPr="009946D8">
              <w:rPr>
                <w:rFonts w:ascii="Calibri" w:hAnsi="Calibri" w:cs="Calibri"/>
                <w:sz w:val="22"/>
              </w:rPr>
              <w:t xml:space="preserve">Quite a bit of infrastructure has changed since the last update. Email is now checked by a cloud based system managed by Sophos and we ensure that any external email is highlighted by banner alerting that it is from an external source. </w:t>
            </w:r>
            <w:proofErr w:type="spellStart"/>
            <w:r w:rsidRPr="009946D8">
              <w:rPr>
                <w:rFonts w:ascii="Calibri" w:hAnsi="Calibri" w:cs="Calibri"/>
                <w:sz w:val="22"/>
              </w:rPr>
              <w:t>Zfilter</w:t>
            </w:r>
            <w:proofErr w:type="spellEnd"/>
            <w:r w:rsidRPr="009946D8">
              <w:rPr>
                <w:rFonts w:ascii="Calibri" w:hAnsi="Calibri" w:cs="Calibri"/>
                <w:sz w:val="22"/>
              </w:rPr>
              <w:t xml:space="preserve"> continues to give us a huge amount of data on user behaviour. We have implemented a SIEM and are starting to pull through system logs so we can see the current state of the infrastructure.</w:t>
            </w:r>
          </w:p>
        </w:tc>
      </w:tr>
      <w:tr w:rsidR="00436F2C" w:rsidRPr="00C13090" w14:paraId="0E1C150C" w14:textId="77777777" w:rsidTr="00436F2C">
        <w:trPr>
          <w:trHeight w:val="1857"/>
        </w:trPr>
        <w:tc>
          <w:tcPr>
            <w:tcW w:w="2494" w:type="dxa"/>
            <w:shd w:val="clear" w:color="auto" w:fill="auto"/>
          </w:tcPr>
          <w:p w14:paraId="5C0B923A" w14:textId="5BB056C3" w:rsidR="00436F2C" w:rsidRPr="009946D8" w:rsidRDefault="00436F2C" w:rsidP="00436F2C">
            <w:pPr>
              <w:pStyle w:val="ListParagraph"/>
              <w:ind w:left="-19" w:right="12" w:firstLine="19"/>
              <w:rPr>
                <w:rFonts w:ascii="Calibri" w:hAnsi="Calibri" w:cs="Calibri"/>
                <w:sz w:val="22"/>
              </w:rPr>
            </w:pPr>
            <w:r w:rsidRPr="009946D8">
              <w:rPr>
                <w:sz w:val="22"/>
              </w:rPr>
              <w:t>253 - Peatland restoration target and budget.</w:t>
            </w:r>
          </w:p>
        </w:tc>
        <w:tc>
          <w:tcPr>
            <w:tcW w:w="3035" w:type="dxa"/>
            <w:shd w:val="clear" w:color="auto" w:fill="auto"/>
          </w:tcPr>
          <w:p w14:paraId="42F5AD30" w14:textId="16FD521B" w:rsidR="00436F2C" w:rsidRPr="009946D8" w:rsidRDefault="00436F2C" w:rsidP="00436F2C">
            <w:pPr>
              <w:pStyle w:val="ListParagraph"/>
              <w:ind w:left="-19" w:right="12" w:firstLine="19"/>
              <w:rPr>
                <w:rFonts w:ascii="Calibri" w:hAnsi="Calibri" w:cs="Calibri"/>
                <w:sz w:val="22"/>
              </w:rPr>
            </w:pPr>
            <w:r w:rsidRPr="009946D8">
              <w:rPr>
                <w:sz w:val="22"/>
              </w:rPr>
              <w:t>As a result of the immature and complex operating environment, there is a risk to: meeting the annual Peatland ACTION restoration hectare target; and spending the annual budget.</w:t>
            </w:r>
          </w:p>
        </w:tc>
        <w:tc>
          <w:tcPr>
            <w:tcW w:w="5811" w:type="dxa"/>
            <w:shd w:val="clear" w:color="auto" w:fill="auto"/>
          </w:tcPr>
          <w:p w14:paraId="0F43926E" w14:textId="77777777" w:rsidR="00436F2C" w:rsidRPr="009946D8" w:rsidRDefault="00436F2C" w:rsidP="00436F2C">
            <w:pPr>
              <w:rPr>
                <w:sz w:val="22"/>
              </w:rPr>
            </w:pPr>
            <w:r>
              <w:rPr>
                <w:sz w:val="22"/>
              </w:rPr>
              <w:t xml:space="preserve">• </w:t>
            </w:r>
            <w:r w:rsidRPr="009946D8">
              <w:rPr>
                <w:sz w:val="22"/>
              </w:rPr>
              <w:t>Realistic planning</w:t>
            </w:r>
          </w:p>
          <w:p w14:paraId="2E55376A" w14:textId="77777777" w:rsidR="00436F2C" w:rsidRPr="009946D8" w:rsidRDefault="00436F2C" w:rsidP="00436F2C">
            <w:pPr>
              <w:rPr>
                <w:sz w:val="22"/>
              </w:rPr>
            </w:pPr>
            <w:r>
              <w:rPr>
                <w:sz w:val="22"/>
              </w:rPr>
              <w:t xml:space="preserve">• </w:t>
            </w:r>
            <w:r w:rsidRPr="009946D8">
              <w:rPr>
                <w:sz w:val="22"/>
              </w:rPr>
              <w:t>Invigorating demand</w:t>
            </w:r>
          </w:p>
          <w:p w14:paraId="163BB2DB" w14:textId="77777777" w:rsidR="00436F2C" w:rsidRPr="009946D8" w:rsidRDefault="00436F2C" w:rsidP="00436F2C">
            <w:pPr>
              <w:rPr>
                <w:sz w:val="22"/>
              </w:rPr>
            </w:pPr>
            <w:r>
              <w:rPr>
                <w:sz w:val="22"/>
              </w:rPr>
              <w:t xml:space="preserve">• </w:t>
            </w:r>
            <w:r w:rsidRPr="009946D8">
              <w:rPr>
                <w:sz w:val="22"/>
              </w:rPr>
              <w:t>Real-time monitoring</w:t>
            </w:r>
          </w:p>
          <w:p w14:paraId="0B492AC4" w14:textId="77777777" w:rsidR="00436F2C" w:rsidRPr="009946D8" w:rsidRDefault="00436F2C" w:rsidP="00436F2C">
            <w:pPr>
              <w:rPr>
                <w:sz w:val="22"/>
              </w:rPr>
            </w:pPr>
            <w:r>
              <w:rPr>
                <w:sz w:val="22"/>
              </w:rPr>
              <w:t xml:space="preserve">• </w:t>
            </w:r>
            <w:r w:rsidRPr="009946D8">
              <w:rPr>
                <w:sz w:val="22"/>
              </w:rPr>
              <w:t>Increasing resilience to change in projections</w:t>
            </w:r>
          </w:p>
          <w:p w14:paraId="10FA6551" w14:textId="77777777" w:rsidR="00436F2C" w:rsidRPr="009946D8" w:rsidRDefault="00436F2C" w:rsidP="00436F2C">
            <w:pPr>
              <w:rPr>
                <w:sz w:val="22"/>
              </w:rPr>
            </w:pPr>
            <w:r>
              <w:rPr>
                <w:sz w:val="22"/>
              </w:rPr>
              <w:t xml:space="preserve">• </w:t>
            </w:r>
            <w:r w:rsidRPr="009946D8">
              <w:rPr>
                <w:sz w:val="22"/>
              </w:rPr>
              <w:t>Regular and robust review and control</w:t>
            </w:r>
          </w:p>
          <w:p w14:paraId="6601D66A" w14:textId="710D8C2B" w:rsidR="00436F2C" w:rsidRPr="009946D8" w:rsidRDefault="00436F2C" w:rsidP="00436F2C">
            <w:pPr>
              <w:pStyle w:val="ListParagraph"/>
              <w:ind w:left="-19" w:right="12" w:firstLine="19"/>
              <w:rPr>
                <w:rFonts w:ascii="Calibri" w:hAnsi="Calibri" w:cs="Calibri"/>
                <w:sz w:val="22"/>
              </w:rPr>
            </w:pPr>
            <w:r>
              <w:rPr>
                <w:sz w:val="22"/>
              </w:rPr>
              <w:t xml:space="preserve">• </w:t>
            </w:r>
            <w:r w:rsidRPr="009946D8">
              <w:rPr>
                <w:sz w:val="22"/>
              </w:rPr>
              <w:t>New Guidance on operating during nesting season being update to allow risk based approach to</w:t>
            </w:r>
            <w:r>
              <w:rPr>
                <w:sz w:val="22"/>
              </w:rPr>
              <w:t xml:space="preserve"> operations during that period.</w:t>
            </w:r>
          </w:p>
        </w:tc>
        <w:tc>
          <w:tcPr>
            <w:tcW w:w="1134" w:type="dxa"/>
            <w:shd w:val="clear" w:color="auto" w:fill="auto"/>
          </w:tcPr>
          <w:p w14:paraId="6F8B8163" w14:textId="2FC75338" w:rsidR="00436F2C" w:rsidRPr="009946D8" w:rsidRDefault="00436F2C" w:rsidP="00436F2C">
            <w:pPr>
              <w:pStyle w:val="ListParagraph"/>
              <w:ind w:left="-19" w:right="12" w:firstLine="19"/>
              <w:rPr>
                <w:rFonts w:ascii="Calibri" w:hAnsi="Calibri" w:cs="Calibri"/>
                <w:sz w:val="22"/>
              </w:rPr>
            </w:pPr>
            <w:r>
              <w:rPr>
                <w:sz w:val="22"/>
              </w:rPr>
              <w:t>4</w:t>
            </w:r>
          </w:p>
        </w:tc>
        <w:tc>
          <w:tcPr>
            <w:tcW w:w="851" w:type="dxa"/>
            <w:shd w:val="clear" w:color="auto" w:fill="auto"/>
          </w:tcPr>
          <w:p w14:paraId="55EFADD9" w14:textId="0CD06017" w:rsidR="00436F2C" w:rsidRPr="009946D8" w:rsidRDefault="00436F2C" w:rsidP="00436F2C">
            <w:pPr>
              <w:pStyle w:val="ListParagraph"/>
              <w:ind w:left="-19" w:right="12" w:firstLine="19"/>
              <w:rPr>
                <w:rFonts w:ascii="Calibri" w:hAnsi="Calibri" w:cs="Calibri"/>
                <w:sz w:val="22"/>
              </w:rPr>
            </w:pPr>
            <w:r>
              <w:rPr>
                <w:sz w:val="22"/>
              </w:rPr>
              <w:t>4</w:t>
            </w:r>
          </w:p>
        </w:tc>
        <w:tc>
          <w:tcPr>
            <w:tcW w:w="992" w:type="dxa"/>
            <w:shd w:val="clear" w:color="auto" w:fill="auto"/>
          </w:tcPr>
          <w:p w14:paraId="66ED3379" w14:textId="3103168B" w:rsidR="00436F2C" w:rsidRPr="009946D8" w:rsidRDefault="00436F2C" w:rsidP="00436F2C">
            <w:pPr>
              <w:pStyle w:val="ListParagraph"/>
              <w:ind w:left="-19" w:right="12" w:firstLine="19"/>
              <w:rPr>
                <w:rFonts w:ascii="Calibri" w:hAnsi="Calibri" w:cs="Calibri"/>
                <w:sz w:val="22"/>
              </w:rPr>
            </w:pPr>
            <w:r>
              <w:rPr>
                <w:sz w:val="22"/>
              </w:rPr>
              <w:t>High</w:t>
            </w:r>
          </w:p>
        </w:tc>
        <w:tc>
          <w:tcPr>
            <w:tcW w:w="7716" w:type="dxa"/>
            <w:shd w:val="clear" w:color="auto" w:fill="auto"/>
          </w:tcPr>
          <w:p w14:paraId="5E849136" w14:textId="77777777" w:rsidR="00436F2C" w:rsidRDefault="00436F2C" w:rsidP="00436F2C">
            <w:pPr>
              <w:rPr>
                <w:sz w:val="22"/>
              </w:rPr>
            </w:pPr>
            <w:r w:rsidRPr="00EC3882">
              <w:rPr>
                <w:sz w:val="22"/>
              </w:rPr>
              <w:t xml:space="preserve">• Realistic planning, We are still being over ambitious. </w:t>
            </w:r>
          </w:p>
          <w:p w14:paraId="1EC39FBB" w14:textId="77777777" w:rsidR="00436F2C" w:rsidRDefault="00436F2C" w:rsidP="00436F2C">
            <w:pPr>
              <w:rPr>
                <w:sz w:val="22"/>
              </w:rPr>
            </w:pPr>
            <w:r w:rsidRPr="00EC3882">
              <w:rPr>
                <w:sz w:val="22"/>
              </w:rPr>
              <w:t>• Invigorating demand - demand stalled by uncertainty over carbon market and delays in Code validatio</w:t>
            </w:r>
            <w:r>
              <w:rPr>
                <w:sz w:val="22"/>
              </w:rPr>
              <w:t xml:space="preserve">n </w:t>
            </w:r>
          </w:p>
          <w:p w14:paraId="51D39DFA" w14:textId="77777777" w:rsidR="00436F2C" w:rsidRDefault="00436F2C" w:rsidP="00436F2C">
            <w:pPr>
              <w:rPr>
                <w:sz w:val="22"/>
              </w:rPr>
            </w:pPr>
            <w:r>
              <w:rPr>
                <w:sz w:val="22"/>
              </w:rPr>
              <w:t xml:space="preserve">• Real-time monitoring – </w:t>
            </w:r>
            <w:proofErr w:type="gramStart"/>
            <w:r>
              <w:rPr>
                <w:sz w:val="22"/>
              </w:rPr>
              <w:t>good</w:t>
            </w:r>
            <w:proofErr w:type="gramEnd"/>
            <w:r>
              <w:rPr>
                <w:sz w:val="22"/>
              </w:rPr>
              <w:t>.</w:t>
            </w:r>
            <w:r w:rsidRPr="00EC3882">
              <w:rPr>
                <w:sz w:val="22"/>
              </w:rPr>
              <w:t xml:space="preserve"> Monitoring allowed for return of £2.5m </w:t>
            </w:r>
          </w:p>
          <w:p w14:paraId="3E605FE1" w14:textId="77777777" w:rsidR="00436F2C" w:rsidRDefault="00436F2C" w:rsidP="00436F2C">
            <w:pPr>
              <w:rPr>
                <w:sz w:val="22"/>
              </w:rPr>
            </w:pPr>
            <w:r w:rsidRPr="00EC3882">
              <w:rPr>
                <w:sz w:val="22"/>
              </w:rPr>
              <w:t>• Increasing resilience to change in projections - resilience still poor. Our pipeline is not sufficient to cope with slippage.</w:t>
            </w:r>
          </w:p>
          <w:p w14:paraId="124B0F56" w14:textId="77777777" w:rsidR="00436F2C" w:rsidRDefault="00436F2C" w:rsidP="00436F2C">
            <w:pPr>
              <w:rPr>
                <w:sz w:val="22"/>
              </w:rPr>
            </w:pPr>
            <w:r w:rsidRPr="00EC3882">
              <w:rPr>
                <w:sz w:val="22"/>
              </w:rPr>
              <w:t xml:space="preserve">• Regular and robust review and control - monthly reports identifying slippage </w:t>
            </w:r>
          </w:p>
          <w:p w14:paraId="34DC9A66" w14:textId="64980C7D" w:rsidR="00436F2C" w:rsidRPr="009946D8" w:rsidRDefault="00436F2C" w:rsidP="00436F2C">
            <w:pPr>
              <w:pStyle w:val="ListParagraph"/>
              <w:ind w:left="-19" w:right="12" w:firstLine="19"/>
              <w:rPr>
                <w:rFonts w:ascii="Calibri" w:hAnsi="Calibri" w:cs="Calibri"/>
                <w:sz w:val="22"/>
              </w:rPr>
            </w:pPr>
            <w:r w:rsidRPr="00EC3882">
              <w:rPr>
                <w:sz w:val="22"/>
              </w:rPr>
              <w:t>• New Guidance on operating during nesting season being update to allow risk based approach to operations during that period. - Guidance published, but requires contractors/land owners to get used to operating in the BBS</w:t>
            </w:r>
          </w:p>
        </w:tc>
      </w:tr>
      <w:tr w:rsidR="00436F2C" w:rsidRPr="00C13090" w14:paraId="396201E7" w14:textId="77777777" w:rsidTr="00436F2C">
        <w:trPr>
          <w:trHeight w:val="1857"/>
        </w:trPr>
        <w:tc>
          <w:tcPr>
            <w:tcW w:w="2494" w:type="dxa"/>
            <w:shd w:val="clear" w:color="auto" w:fill="auto"/>
          </w:tcPr>
          <w:p w14:paraId="2847177B" w14:textId="344A4C9A" w:rsidR="00436F2C" w:rsidRPr="009946D8" w:rsidRDefault="00436F2C" w:rsidP="00436F2C">
            <w:pPr>
              <w:pStyle w:val="ListParagraph"/>
              <w:ind w:left="-19" w:right="12" w:firstLine="19"/>
              <w:rPr>
                <w:sz w:val="22"/>
              </w:rPr>
            </w:pPr>
            <w:r w:rsidRPr="00EC3882">
              <w:rPr>
                <w:sz w:val="22"/>
              </w:rPr>
              <w:t>393 - Future Funding of NatureScot</w:t>
            </w:r>
          </w:p>
        </w:tc>
        <w:tc>
          <w:tcPr>
            <w:tcW w:w="3035" w:type="dxa"/>
            <w:shd w:val="clear" w:color="auto" w:fill="auto"/>
          </w:tcPr>
          <w:p w14:paraId="4A5C94C3" w14:textId="216973D5" w:rsidR="00436F2C" w:rsidRPr="009946D8" w:rsidRDefault="00436F2C" w:rsidP="00436F2C">
            <w:pPr>
              <w:pStyle w:val="ListParagraph"/>
              <w:ind w:left="-19" w:right="12" w:firstLine="19"/>
              <w:rPr>
                <w:sz w:val="22"/>
              </w:rPr>
            </w:pPr>
            <w:r>
              <w:rPr>
                <w:rFonts w:ascii="Calibri" w:hAnsi="Calibri" w:cs="Calibri"/>
                <w:bCs/>
                <w:sz w:val="22"/>
              </w:rPr>
              <w:t xml:space="preserve">As a result of on-going </w:t>
            </w:r>
            <w:r w:rsidRPr="00EC3882">
              <w:rPr>
                <w:rFonts w:ascii="Calibri" w:hAnsi="Calibri" w:cs="Calibri"/>
                <w:bCs/>
                <w:sz w:val="22"/>
              </w:rPr>
              <w:t>reductions in public exp</w:t>
            </w:r>
            <w:r>
              <w:rPr>
                <w:rFonts w:ascii="Calibri" w:hAnsi="Calibri" w:cs="Calibri"/>
                <w:bCs/>
                <w:sz w:val="22"/>
              </w:rPr>
              <w:t xml:space="preserve">enditure or new cost pressures </w:t>
            </w:r>
            <w:r w:rsidRPr="00EC3882">
              <w:rPr>
                <w:rFonts w:ascii="Calibri" w:hAnsi="Calibri" w:cs="Calibri"/>
                <w:bCs/>
                <w:sz w:val="22"/>
              </w:rPr>
              <w:t>there is a risk our grant-in-aid settlement may not match statutory and fixed costs as well as corporate plan priorities.  Unless other funding sources are secured this could result in an inability to adequately resource delivery of agreed priorities, leading to failed ou</w:t>
            </w:r>
            <w:r>
              <w:rPr>
                <w:rFonts w:ascii="Calibri" w:hAnsi="Calibri" w:cs="Calibri"/>
                <w:bCs/>
                <w:sz w:val="22"/>
              </w:rPr>
              <w:t>tcomes and reputational damage.</w:t>
            </w:r>
          </w:p>
        </w:tc>
        <w:tc>
          <w:tcPr>
            <w:tcW w:w="5811" w:type="dxa"/>
            <w:shd w:val="clear" w:color="auto" w:fill="auto"/>
          </w:tcPr>
          <w:p w14:paraId="658D7B95" w14:textId="77777777" w:rsidR="00436F2C" w:rsidRPr="00EC3882" w:rsidRDefault="00436F2C" w:rsidP="00436F2C">
            <w:pPr>
              <w:pStyle w:val="ListParagraph"/>
              <w:ind w:left="0"/>
              <w:rPr>
                <w:rFonts w:ascii="Calibri" w:hAnsi="Calibri" w:cs="Calibri"/>
                <w:bCs/>
                <w:sz w:val="22"/>
              </w:rPr>
            </w:pPr>
            <w:r w:rsidRPr="00EC3882">
              <w:rPr>
                <w:rFonts w:ascii="Calibri" w:hAnsi="Calibri" w:cs="Calibri"/>
                <w:bCs/>
                <w:sz w:val="22"/>
              </w:rPr>
              <w:t>* Ensure that our priorities are aligned with published Programmes for Government and ministerial portfolio priorities, specifically those aligned to the Programme for Government and Bute House Agreement</w:t>
            </w:r>
          </w:p>
          <w:p w14:paraId="7FCAEEB9" w14:textId="77777777" w:rsidR="00436F2C" w:rsidRPr="00EC3882" w:rsidRDefault="00436F2C" w:rsidP="00436F2C">
            <w:pPr>
              <w:pStyle w:val="ListParagraph"/>
              <w:ind w:left="0"/>
              <w:rPr>
                <w:rFonts w:ascii="Calibri" w:hAnsi="Calibri" w:cs="Calibri"/>
                <w:bCs/>
                <w:sz w:val="22"/>
              </w:rPr>
            </w:pPr>
            <w:r w:rsidRPr="00EC3882">
              <w:rPr>
                <w:rFonts w:ascii="Calibri" w:hAnsi="Calibri" w:cs="Calibri"/>
                <w:bCs/>
                <w:sz w:val="22"/>
              </w:rPr>
              <w:t>* Provide realistic and evidenced assessment of the impact of possible cuts in our grant-in-aid budget through the annual Spending Review process.</w:t>
            </w:r>
          </w:p>
          <w:p w14:paraId="2735291E" w14:textId="77777777" w:rsidR="00436F2C" w:rsidRPr="00EC3882" w:rsidRDefault="00436F2C" w:rsidP="00436F2C">
            <w:pPr>
              <w:pStyle w:val="ListParagraph"/>
              <w:ind w:left="0"/>
              <w:rPr>
                <w:rFonts w:ascii="Calibri" w:hAnsi="Calibri" w:cs="Calibri"/>
                <w:bCs/>
                <w:sz w:val="22"/>
              </w:rPr>
            </w:pPr>
            <w:r w:rsidRPr="00EC3882">
              <w:rPr>
                <w:rFonts w:ascii="Calibri" w:hAnsi="Calibri" w:cs="Calibri"/>
                <w:bCs/>
                <w:sz w:val="22"/>
              </w:rPr>
              <w:t xml:space="preserve">* Develop and put forward proposals, through the annual Spending Review process and other avenues with Scottish Government, for delivering more and better outcomes for nature and people through wider Scottish Government funding. </w:t>
            </w:r>
          </w:p>
          <w:p w14:paraId="3D772BC1" w14:textId="77777777" w:rsidR="00436F2C" w:rsidRPr="00EC3882" w:rsidRDefault="00436F2C" w:rsidP="00436F2C">
            <w:pPr>
              <w:pStyle w:val="ListParagraph"/>
              <w:ind w:left="0"/>
              <w:rPr>
                <w:rFonts w:ascii="Calibri" w:hAnsi="Calibri" w:cs="Calibri"/>
                <w:bCs/>
                <w:sz w:val="22"/>
              </w:rPr>
            </w:pPr>
            <w:r w:rsidRPr="00EC3882">
              <w:rPr>
                <w:rFonts w:ascii="Calibri" w:hAnsi="Calibri" w:cs="Calibri"/>
                <w:bCs/>
                <w:sz w:val="22"/>
              </w:rPr>
              <w:t>*</w:t>
            </w:r>
            <w:r>
              <w:rPr>
                <w:rFonts w:ascii="Calibri" w:hAnsi="Calibri" w:cs="Calibri"/>
                <w:bCs/>
                <w:sz w:val="22"/>
              </w:rPr>
              <w:t xml:space="preserve"> </w:t>
            </w:r>
            <w:r w:rsidRPr="00EC3882">
              <w:rPr>
                <w:rFonts w:ascii="Calibri" w:hAnsi="Calibri" w:cs="Calibri"/>
                <w:bCs/>
                <w:sz w:val="22"/>
              </w:rPr>
              <w:t>Reduce expenditure in some business areas through budget setting processes aligned to business planning cycle.</w:t>
            </w:r>
          </w:p>
          <w:p w14:paraId="1FD66C5F" w14:textId="77777777" w:rsidR="00436F2C" w:rsidRPr="00EC3882" w:rsidRDefault="00436F2C" w:rsidP="00436F2C">
            <w:pPr>
              <w:pStyle w:val="ListParagraph"/>
              <w:ind w:left="0"/>
              <w:rPr>
                <w:rFonts w:ascii="Calibri" w:hAnsi="Calibri" w:cs="Calibri"/>
                <w:bCs/>
                <w:sz w:val="22"/>
              </w:rPr>
            </w:pPr>
            <w:r w:rsidRPr="00EC3882">
              <w:rPr>
                <w:rFonts w:ascii="Calibri" w:hAnsi="Calibri" w:cs="Calibri"/>
                <w:bCs/>
                <w:sz w:val="22"/>
              </w:rPr>
              <w:t>* Identify efficiencies and savings in our current spending and ways of working to maximise the resources available for front line delivery.</w:t>
            </w:r>
          </w:p>
          <w:p w14:paraId="00084983" w14:textId="77777777" w:rsidR="00436F2C" w:rsidRPr="00EC3882" w:rsidRDefault="00436F2C" w:rsidP="00436F2C">
            <w:pPr>
              <w:pStyle w:val="ListParagraph"/>
              <w:ind w:left="0"/>
              <w:rPr>
                <w:rFonts w:ascii="Calibri" w:hAnsi="Calibri" w:cs="Calibri"/>
                <w:bCs/>
                <w:sz w:val="22"/>
              </w:rPr>
            </w:pPr>
            <w:r w:rsidRPr="00EC3882">
              <w:rPr>
                <w:rFonts w:ascii="Calibri" w:hAnsi="Calibri" w:cs="Calibri"/>
                <w:bCs/>
                <w:sz w:val="22"/>
              </w:rPr>
              <w:t>* Have an effective communications strategy in place which promotes the added value of our work.</w:t>
            </w:r>
          </w:p>
          <w:p w14:paraId="58F8E7A0" w14:textId="77777777" w:rsidR="00436F2C" w:rsidRPr="00EC3882" w:rsidRDefault="00436F2C" w:rsidP="00436F2C">
            <w:pPr>
              <w:pStyle w:val="ListParagraph"/>
              <w:ind w:left="0"/>
              <w:rPr>
                <w:rFonts w:ascii="Calibri" w:hAnsi="Calibri" w:cs="Calibri"/>
                <w:bCs/>
                <w:sz w:val="22"/>
              </w:rPr>
            </w:pPr>
            <w:r w:rsidRPr="00EC3882">
              <w:rPr>
                <w:rFonts w:ascii="Calibri" w:hAnsi="Calibri" w:cs="Calibri"/>
                <w:bCs/>
                <w:sz w:val="22"/>
              </w:rPr>
              <w:t>* Identify and implement opportunities to generate income from the services we provide.</w:t>
            </w:r>
          </w:p>
          <w:p w14:paraId="5FDAD870" w14:textId="77777777" w:rsidR="00436F2C" w:rsidRPr="00EC3882" w:rsidRDefault="00436F2C" w:rsidP="00436F2C">
            <w:pPr>
              <w:pStyle w:val="ListParagraph"/>
              <w:ind w:left="0"/>
              <w:rPr>
                <w:rFonts w:ascii="Calibri" w:hAnsi="Calibri" w:cs="Calibri"/>
                <w:bCs/>
                <w:sz w:val="22"/>
              </w:rPr>
            </w:pPr>
            <w:r w:rsidRPr="00EC3882">
              <w:rPr>
                <w:rFonts w:ascii="Calibri" w:hAnsi="Calibri" w:cs="Calibri"/>
                <w:bCs/>
                <w:sz w:val="22"/>
              </w:rPr>
              <w:lastRenderedPageBreak/>
              <w:t>* Identify and implement opportunities for external funding of NatureScot-led work through the business planning process (including at Outcome and Activity levels) and at the project development stage for significant scale projects.</w:t>
            </w:r>
          </w:p>
          <w:p w14:paraId="69AE3D11" w14:textId="77777777" w:rsidR="00436F2C" w:rsidRPr="00EC3882" w:rsidRDefault="00436F2C" w:rsidP="00436F2C">
            <w:pPr>
              <w:pStyle w:val="ListParagraph"/>
              <w:ind w:left="0"/>
              <w:rPr>
                <w:rFonts w:ascii="Calibri" w:hAnsi="Calibri" w:cs="Calibri"/>
                <w:bCs/>
                <w:sz w:val="22"/>
              </w:rPr>
            </w:pPr>
            <w:r w:rsidRPr="00EC3882">
              <w:rPr>
                <w:rFonts w:ascii="Calibri" w:hAnsi="Calibri" w:cs="Calibri"/>
                <w:bCs/>
                <w:sz w:val="22"/>
              </w:rPr>
              <w:t>* Develop proposals for new, preventative projects that can help deliver a wider set of SG priorities, and build awareness and support of these.</w:t>
            </w:r>
          </w:p>
          <w:p w14:paraId="5CC3D6D4" w14:textId="5C69A318" w:rsidR="00436F2C" w:rsidRDefault="00436F2C" w:rsidP="00436F2C">
            <w:pPr>
              <w:rPr>
                <w:sz w:val="22"/>
              </w:rPr>
            </w:pPr>
            <w:r w:rsidRPr="00EC3882">
              <w:rPr>
                <w:rFonts w:ascii="Calibri" w:hAnsi="Calibri" w:cs="Calibri"/>
                <w:bCs/>
                <w:sz w:val="22"/>
              </w:rPr>
              <w:t>* Develop and refresh a short, medium and longer term financial plan based on</w:t>
            </w:r>
            <w:r>
              <w:rPr>
                <w:rFonts w:ascii="Calibri" w:hAnsi="Calibri" w:cs="Calibri"/>
                <w:bCs/>
                <w:sz w:val="22"/>
              </w:rPr>
              <w:t xml:space="preserve"> potential financial scenarios.</w:t>
            </w:r>
          </w:p>
        </w:tc>
        <w:tc>
          <w:tcPr>
            <w:tcW w:w="1134" w:type="dxa"/>
            <w:shd w:val="clear" w:color="auto" w:fill="auto"/>
          </w:tcPr>
          <w:p w14:paraId="6015629F" w14:textId="5BA2BB77" w:rsidR="00436F2C" w:rsidRDefault="00436F2C" w:rsidP="00436F2C">
            <w:pPr>
              <w:pStyle w:val="ListParagraph"/>
              <w:ind w:left="-19" w:right="12" w:firstLine="19"/>
              <w:rPr>
                <w:sz w:val="22"/>
              </w:rPr>
            </w:pPr>
            <w:r>
              <w:rPr>
                <w:rFonts w:ascii="Calibri" w:hAnsi="Calibri" w:cs="Calibri"/>
                <w:bCs/>
                <w:sz w:val="22"/>
              </w:rPr>
              <w:lastRenderedPageBreak/>
              <w:t>4</w:t>
            </w:r>
          </w:p>
        </w:tc>
        <w:tc>
          <w:tcPr>
            <w:tcW w:w="851" w:type="dxa"/>
            <w:shd w:val="clear" w:color="auto" w:fill="auto"/>
          </w:tcPr>
          <w:p w14:paraId="2F756546" w14:textId="0CFEA5B7" w:rsidR="00436F2C" w:rsidRDefault="00436F2C" w:rsidP="00436F2C">
            <w:pPr>
              <w:pStyle w:val="ListParagraph"/>
              <w:ind w:left="-19" w:right="12" w:firstLine="19"/>
              <w:rPr>
                <w:sz w:val="22"/>
              </w:rPr>
            </w:pPr>
            <w:r>
              <w:rPr>
                <w:rFonts w:ascii="Calibri" w:hAnsi="Calibri" w:cs="Calibri"/>
                <w:bCs/>
                <w:sz w:val="22"/>
              </w:rPr>
              <w:t>3</w:t>
            </w:r>
          </w:p>
        </w:tc>
        <w:tc>
          <w:tcPr>
            <w:tcW w:w="992" w:type="dxa"/>
            <w:shd w:val="clear" w:color="auto" w:fill="auto"/>
          </w:tcPr>
          <w:p w14:paraId="45BAFD67" w14:textId="20281D06" w:rsidR="00436F2C" w:rsidRDefault="00436F2C" w:rsidP="00436F2C">
            <w:pPr>
              <w:pStyle w:val="ListParagraph"/>
              <w:ind w:left="-19" w:right="12" w:firstLine="19"/>
              <w:rPr>
                <w:sz w:val="22"/>
              </w:rPr>
            </w:pPr>
            <w:r>
              <w:rPr>
                <w:rFonts w:ascii="Calibri" w:hAnsi="Calibri" w:cs="Calibri"/>
                <w:bCs/>
                <w:sz w:val="22"/>
              </w:rPr>
              <w:t>High</w:t>
            </w:r>
          </w:p>
        </w:tc>
        <w:tc>
          <w:tcPr>
            <w:tcW w:w="7716" w:type="dxa"/>
            <w:shd w:val="clear" w:color="auto" w:fill="auto"/>
          </w:tcPr>
          <w:p w14:paraId="3198437E" w14:textId="3597C1BC" w:rsidR="00436F2C" w:rsidRPr="00EC3882" w:rsidRDefault="00436F2C" w:rsidP="00436F2C">
            <w:pPr>
              <w:rPr>
                <w:sz w:val="22"/>
              </w:rPr>
            </w:pPr>
            <w:r w:rsidRPr="00EC3882">
              <w:rPr>
                <w:rFonts w:ascii="Calibri" w:hAnsi="Calibri" w:cs="Calibri"/>
                <w:bCs/>
                <w:sz w:val="22"/>
              </w:rPr>
              <w:t>Work ongoing preparing resourcing plans to support our Business Plan for the coming year. Impacts have been shared with Scottish Government in advance of Board approving the business plan mid-March. No change to scores.</w:t>
            </w:r>
          </w:p>
        </w:tc>
      </w:tr>
      <w:tr w:rsidR="00436F2C" w:rsidRPr="00C13090" w14:paraId="03ECE803" w14:textId="77777777" w:rsidTr="00436F2C">
        <w:trPr>
          <w:trHeight w:val="1857"/>
        </w:trPr>
        <w:tc>
          <w:tcPr>
            <w:tcW w:w="2494" w:type="dxa"/>
            <w:shd w:val="clear" w:color="auto" w:fill="auto"/>
          </w:tcPr>
          <w:p w14:paraId="7F1BB811" w14:textId="50AE5F65" w:rsidR="00436F2C" w:rsidRPr="00EC3882" w:rsidRDefault="00436F2C" w:rsidP="00436F2C">
            <w:pPr>
              <w:pStyle w:val="ListParagraph"/>
              <w:ind w:left="-19" w:right="12" w:firstLine="19"/>
              <w:rPr>
                <w:sz w:val="22"/>
              </w:rPr>
            </w:pPr>
            <w:r>
              <w:rPr>
                <w:sz w:val="22"/>
              </w:rPr>
              <w:t>691 - Lack of support for Fusion</w:t>
            </w:r>
          </w:p>
        </w:tc>
        <w:tc>
          <w:tcPr>
            <w:tcW w:w="3035" w:type="dxa"/>
            <w:shd w:val="clear" w:color="auto" w:fill="auto"/>
          </w:tcPr>
          <w:p w14:paraId="65716414" w14:textId="041E284F" w:rsidR="00436F2C" w:rsidRPr="00EC3882" w:rsidRDefault="00436F2C" w:rsidP="00436F2C">
            <w:pPr>
              <w:pStyle w:val="ListParagraph"/>
              <w:ind w:left="-19" w:right="12" w:firstLine="19"/>
              <w:rPr>
                <w:rFonts w:ascii="Calibri" w:hAnsi="Calibri" w:cs="Calibri"/>
                <w:bCs/>
                <w:sz w:val="22"/>
              </w:rPr>
            </w:pPr>
            <w:r w:rsidRPr="00257C14">
              <w:rPr>
                <w:rFonts w:ascii="Calibri" w:hAnsi="Calibri" w:cs="Calibri"/>
                <w:bCs/>
                <w:sz w:val="22"/>
              </w:rPr>
              <w:t>Due to the specialised nature of Oracle Fusion and the interface with NatureScot’s Business Planning System, as a result of key system support staff leaving the organisation, there is a risk that there will be insufficient knowledge and ability to operate key processes or to develop the system and reports.  This may result in an inability to adapt the system to changing business needs, reporting delays or to operational inefficiencies and payment challenges that could affect all users of the system.</w:t>
            </w:r>
          </w:p>
        </w:tc>
        <w:tc>
          <w:tcPr>
            <w:tcW w:w="5811" w:type="dxa"/>
            <w:shd w:val="clear" w:color="auto" w:fill="auto"/>
          </w:tcPr>
          <w:p w14:paraId="13FD109B" w14:textId="77777777" w:rsidR="00436F2C" w:rsidRPr="00257C14" w:rsidRDefault="00436F2C" w:rsidP="003E7B62">
            <w:pPr>
              <w:pStyle w:val="ListParagraph"/>
              <w:numPr>
                <w:ilvl w:val="0"/>
                <w:numId w:val="19"/>
              </w:numPr>
              <w:ind w:left="179" w:hanging="179"/>
              <w:rPr>
                <w:rFonts w:ascii="Calibri" w:hAnsi="Calibri" w:cs="Calibri"/>
                <w:bCs/>
                <w:sz w:val="22"/>
              </w:rPr>
            </w:pPr>
            <w:r w:rsidRPr="00257C14">
              <w:rPr>
                <w:rFonts w:ascii="Calibri" w:hAnsi="Calibri" w:cs="Calibri"/>
                <w:bCs/>
                <w:sz w:val="22"/>
              </w:rPr>
              <w:t>Engage in a shared service arrangement with other organisations using Fusion e.g. HES, SLAB</w:t>
            </w:r>
          </w:p>
          <w:p w14:paraId="6E72BCBC" w14:textId="77777777" w:rsidR="00436F2C" w:rsidRPr="00257C14" w:rsidRDefault="00436F2C" w:rsidP="003E7B62">
            <w:pPr>
              <w:pStyle w:val="ListParagraph"/>
              <w:numPr>
                <w:ilvl w:val="0"/>
                <w:numId w:val="19"/>
              </w:numPr>
              <w:ind w:left="179" w:hanging="179"/>
              <w:rPr>
                <w:rFonts w:ascii="Calibri" w:hAnsi="Calibri" w:cs="Calibri"/>
                <w:bCs/>
                <w:sz w:val="22"/>
              </w:rPr>
            </w:pPr>
            <w:r w:rsidRPr="00257C14">
              <w:rPr>
                <w:rFonts w:ascii="Calibri" w:hAnsi="Calibri" w:cs="Calibri"/>
                <w:bCs/>
                <w:sz w:val="22"/>
              </w:rPr>
              <w:t>Make use of the support arrangement from Inoapps currently utilised by POD.  There may not be sufficient knowledge from Inoapps to initially support some finance and procurement processes.</w:t>
            </w:r>
          </w:p>
          <w:p w14:paraId="42BF5B81" w14:textId="77777777" w:rsidR="00436F2C" w:rsidRDefault="00436F2C" w:rsidP="003E7B62">
            <w:pPr>
              <w:pStyle w:val="ListParagraph"/>
              <w:numPr>
                <w:ilvl w:val="0"/>
                <w:numId w:val="19"/>
              </w:numPr>
              <w:ind w:left="179" w:hanging="179"/>
              <w:rPr>
                <w:rFonts w:ascii="Calibri" w:hAnsi="Calibri" w:cs="Calibri"/>
                <w:bCs/>
                <w:sz w:val="22"/>
              </w:rPr>
            </w:pPr>
            <w:r w:rsidRPr="00257C14">
              <w:rPr>
                <w:rFonts w:ascii="Calibri" w:hAnsi="Calibri" w:cs="Calibri"/>
                <w:bCs/>
                <w:sz w:val="22"/>
              </w:rPr>
              <w:t>Explore potential for a third party to provide level 2 support to assist that provided by NatureScot staff.</w:t>
            </w:r>
          </w:p>
          <w:p w14:paraId="42262A39" w14:textId="77777777" w:rsidR="00436F2C" w:rsidRPr="00257C14" w:rsidRDefault="00436F2C" w:rsidP="003E7B62">
            <w:pPr>
              <w:pStyle w:val="ListParagraph"/>
              <w:numPr>
                <w:ilvl w:val="0"/>
                <w:numId w:val="19"/>
              </w:numPr>
              <w:ind w:left="179" w:hanging="179"/>
              <w:rPr>
                <w:rFonts w:ascii="Calibri" w:hAnsi="Calibri" w:cs="Calibri"/>
                <w:bCs/>
                <w:sz w:val="22"/>
              </w:rPr>
            </w:pPr>
            <w:r w:rsidRPr="00257C14">
              <w:rPr>
                <w:rFonts w:ascii="Calibri" w:hAnsi="Calibri" w:cs="Calibri"/>
                <w:bCs/>
                <w:sz w:val="22"/>
              </w:rPr>
              <w:t>Recruit to the two vacant functional analyst positions.</w:t>
            </w:r>
          </w:p>
          <w:p w14:paraId="4D2E95B0" w14:textId="77777777" w:rsidR="00436F2C" w:rsidRPr="00257C14" w:rsidRDefault="00436F2C" w:rsidP="003E7B62">
            <w:pPr>
              <w:pStyle w:val="ListParagraph"/>
              <w:numPr>
                <w:ilvl w:val="0"/>
                <w:numId w:val="19"/>
              </w:numPr>
              <w:ind w:left="179" w:hanging="179"/>
              <w:rPr>
                <w:rFonts w:ascii="Calibri" w:hAnsi="Calibri" w:cs="Calibri"/>
                <w:bCs/>
                <w:sz w:val="22"/>
              </w:rPr>
            </w:pPr>
            <w:r w:rsidRPr="00257C14">
              <w:rPr>
                <w:rFonts w:ascii="Calibri" w:hAnsi="Calibri" w:cs="Calibri"/>
                <w:bCs/>
                <w:sz w:val="22"/>
              </w:rPr>
              <w:t xml:space="preserve">Recruit to the vacant Oracle Cloud Service Manager position </w:t>
            </w:r>
          </w:p>
          <w:p w14:paraId="0F3157A2" w14:textId="3247120A" w:rsidR="00436F2C" w:rsidRDefault="00436F2C" w:rsidP="003E7B62">
            <w:pPr>
              <w:pStyle w:val="ListParagraph"/>
              <w:numPr>
                <w:ilvl w:val="0"/>
                <w:numId w:val="19"/>
              </w:numPr>
              <w:ind w:left="179" w:hanging="179"/>
              <w:rPr>
                <w:rFonts w:ascii="Calibri" w:hAnsi="Calibri" w:cs="Calibri"/>
                <w:bCs/>
                <w:sz w:val="22"/>
              </w:rPr>
            </w:pPr>
            <w:r w:rsidRPr="00257C14">
              <w:rPr>
                <w:rFonts w:ascii="Calibri" w:hAnsi="Calibri" w:cs="Calibri"/>
                <w:bCs/>
                <w:sz w:val="22"/>
              </w:rPr>
              <w:t>Draw on finance staff with an awareness of Fusion and the interface with Business Planning as well as the functional analysts who support the POD elements of Fusion, in order to support the finance elements of Fusion.  It should be noted that this will not provide all of the specialist knowledge required.</w:t>
            </w:r>
          </w:p>
          <w:p w14:paraId="4A192F81" w14:textId="344C707B" w:rsidR="00436F2C" w:rsidRPr="00436F2C" w:rsidRDefault="00436F2C" w:rsidP="003E7B62">
            <w:pPr>
              <w:pStyle w:val="ListParagraph"/>
              <w:numPr>
                <w:ilvl w:val="0"/>
                <w:numId w:val="19"/>
              </w:numPr>
              <w:ind w:left="179" w:hanging="179"/>
              <w:rPr>
                <w:rFonts w:ascii="Calibri" w:hAnsi="Calibri" w:cs="Calibri"/>
                <w:bCs/>
                <w:sz w:val="22"/>
              </w:rPr>
            </w:pPr>
            <w:r>
              <w:rPr>
                <w:rFonts w:ascii="Calibri" w:hAnsi="Calibri" w:cs="Calibri"/>
                <w:bCs/>
                <w:sz w:val="22"/>
              </w:rPr>
              <w:t>I</w:t>
            </w:r>
            <w:r w:rsidRPr="00436F2C">
              <w:rPr>
                <w:rFonts w:ascii="Calibri" w:hAnsi="Calibri" w:cs="Calibri"/>
                <w:bCs/>
                <w:sz w:val="22"/>
              </w:rPr>
              <w:t xml:space="preserve">mplement a networked team approach to involve staff from a wider group to share knowledge and provide resilience in future.  </w:t>
            </w:r>
          </w:p>
        </w:tc>
        <w:tc>
          <w:tcPr>
            <w:tcW w:w="1134" w:type="dxa"/>
            <w:shd w:val="clear" w:color="auto" w:fill="auto"/>
          </w:tcPr>
          <w:p w14:paraId="43403258" w14:textId="39855EB6" w:rsidR="00436F2C" w:rsidRDefault="00436F2C" w:rsidP="00436F2C">
            <w:pPr>
              <w:pStyle w:val="ListParagraph"/>
              <w:ind w:left="-19" w:right="12" w:firstLine="19"/>
              <w:rPr>
                <w:rFonts w:ascii="Calibri" w:hAnsi="Calibri" w:cs="Calibri"/>
                <w:bCs/>
                <w:sz w:val="22"/>
              </w:rPr>
            </w:pPr>
            <w:r>
              <w:rPr>
                <w:rFonts w:ascii="Calibri" w:hAnsi="Calibri" w:cs="Calibri"/>
                <w:bCs/>
                <w:sz w:val="22"/>
              </w:rPr>
              <w:t>4</w:t>
            </w:r>
          </w:p>
        </w:tc>
        <w:tc>
          <w:tcPr>
            <w:tcW w:w="851" w:type="dxa"/>
            <w:shd w:val="clear" w:color="auto" w:fill="auto"/>
          </w:tcPr>
          <w:p w14:paraId="10D82294" w14:textId="4C8F510C" w:rsidR="00436F2C" w:rsidRDefault="00436F2C" w:rsidP="00436F2C">
            <w:pPr>
              <w:pStyle w:val="ListParagraph"/>
              <w:ind w:left="-19" w:right="12" w:firstLine="19"/>
              <w:rPr>
                <w:rFonts w:ascii="Calibri" w:hAnsi="Calibri" w:cs="Calibri"/>
                <w:bCs/>
                <w:sz w:val="22"/>
              </w:rPr>
            </w:pPr>
            <w:r>
              <w:rPr>
                <w:rFonts w:ascii="Calibri" w:hAnsi="Calibri" w:cs="Calibri"/>
                <w:bCs/>
                <w:sz w:val="22"/>
              </w:rPr>
              <w:t>3</w:t>
            </w:r>
          </w:p>
        </w:tc>
        <w:tc>
          <w:tcPr>
            <w:tcW w:w="992" w:type="dxa"/>
            <w:shd w:val="clear" w:color="auto" w:fill="auto"/>
          </w:tcPr>
          <w:p w14:paraId="4EB33B9E" w14:textId="31250689" w:rsidR="00436F2C" w:rsidRDefault="00436F2C" w:rsidP="00436F2C">
            <w:pPr>
              <w:pStyle w:val="ListParagraph"/>
              <w:ind w:left="-19" w:right="12" w:firstLine="19"/>
              <w:rPr>
                <w:rFonts w:ascii="Calibri" w:hAnsi="Calibri" w:cs="Calibri"/>
                <w:bCs/>
                <w:sz w:val="22"/>
              </w:rPr>
            </w:pPr>
            <w:r>
              <w:rPr>
                <w:rFonts w:ascii="Calibri" w:hAnsi="Calibri" w:cs="Calibri"/>
                <w:bCs/>
                <w:sz w:val="22"/>
              </w:rPr>
              <w:t>High</w:t>
            </w:r>
          </w:p>
        </w:tc>
        <w:tc>
          <w:tcPr>
            <w:tcW w:w="7716" w:type="dxa"/>
            <w:shd w:val="clear" w:color="auto" w:fill="auto"/>
          </w:tcPr>
          <w:p w14:paraId="4D02EA8C" w14:textId="7478930D" w:rsidR="00436F2C" w:rsidRPr="00EC3882" w:rsidRDefault="00436F2C" w:rsidP="00436F2C">
            <w:pPr>
              <w:rPr>
                <w:rFonts w:ascii="Calibri" w:hAnsi="Calibri" w:cs="Calibri"/>
                <w:bCs/>
                <w:sz w:val="22"/>
              </w:rPr>
            </w:pPr>
            <w:r w:rsidRPr="00257C14">
              <w:rPr>
                <w:rFonts w:ascii="Calibri" w:hAnsi="Calibri" w:cs="Calibri"/>
                <w:bCs/>
                <w:sz w:val="22"/>
              </w:rPr>
              <w:t>Of the four vacant positions at the start of the year, we have recruited to three of these positions. The two Finance, Planning and Performance support analysts are now in post and another individual has accepted the Oracle Cloud Services Manager position. The Peopl</w:t>
            </w:r>
            <w:r>
              <w:rPr>
                <w:rFonts w:ascii="Calibri" w:hAnsi="Calibri" w:cs="Calibri"/>
                <w:bCs/>
                <w:sz w:val="22"/>
              </w:rPr>
              <w:t>e and</w:t>
            </w:r>
            <w:r w:rsidRPr="00257C14">
              <w:rPr>
                <w:rFonts w:ascii="Calibri" w:hAnsi="Calibri" w:cs="Calibri"/>
                <w:bCs/>
                <w:sz w:val="22"/>
              </w:rPr>
              <w:t xml:space="preserve"> Organisational Development support analyst position is currently being advertised. The development of the current support analyst to take on a wider ranging role developing support arrangements for NatureScot is underway. Work on the procurement tender document for Fusion support is progressing and will include a focus on knowledge transfer to ensure that the skills of NatureScot staff are developed. We have also discussed the potential for shared service arrangements with SG colleagues who are implementing an Oracle solution in April 2024. We are also discussing ways to working together and sharing knowledge with fellow Fusion users. A </w:t>
            </w:r>
            <w:proofErr w:type="spellStart"/>
            <w:r w:rsidRPr="00257C14">
              <w:rPr>
                <w:rFonts w:ascii="Calibri" w:hAnsi="Calibri" w:cs="Calibri"/>
                <w:bCs/>
                <w:sz w:val="22"/>
              </w:rPr>
              <w:t>workstream</w:t>
            </w:r>
            <w:proofErr w:type="spellEnd"/>
            <w:r w:rsidRPr="00257C14">
              <w:rPr>
                <w:rFonts w:ascii="Calibri" w:hAnsi="Calibri" w:cs="Calibri"/>
                <w:bCs/>
                <w:sz w:val="22"/>
              </w:rPr>
              <w:t xml:space="preserve"> with the Oracle User Group that is dedicated to senior responsible officers in a number of organisations is currently being established. It is proposed that this risk is de-escalated from corporate risk status once the Oracle Cloud Services Manager is in post.</w:t>
            </w:r>
          </w:p>
        </w:tc>
      </w:tr>
    </w:tbl>
    <w:p w14:paraId="57768B61" w14:textId="47FC39ED" w:rsidR="00EC3882" w:rsidRPr="00436F2C" w:rsidRDefault="00EC3882" w:rsidP="00436F2C">
      <w:pPr>
        <w:jc w:val="both"/>
        <w:rPr>
          <w:rFonts w:ascii="Calibri" w:hAnsi="Calibri" w:cs="Calibri"/>
          <w:szCs w:val="24"/>
        </w:rPr>
      </w:pPr>
    </w:p>
    <w:p w14:paraId="335B7159" w14:textId="56184257" w:rsidR="00257C14" w:rsidRDefault="00257C14" w:rsidP="00DA6BF4">
      <w:pPr>
        <w:pStyle w:val="ListParagraph"/>
        <w:ind w:left="360"/>
        <w:jc w:val="both"/>
        <w:rPr>
          <w:rFonts w:ascii="Calibri" w:hAnsi="Calibri" w:cs="Calibri"/>
          <w:szCs w:val="24"/>
        </w:rPr>
      </w:pPr>
    </w:p>
    <w:p w14:paraId="7BB5E9BB" w14:textId="57027DA3" w:rsidR="00257C14" w:rsidRPr="00257C14" w:rsidRDefault="00257C14" w:rsidP="00436F2C">
      <w:pPr>
        <w:pStyle w:val="Heading2"/>
        <w:rPr>
          <w:rFonts w:ascii="Calibri" w:hAnsi="Calibri" w:cs="Calibri"/>
          <w:szCs w:val="24"/>
        </w:rPr>
      </w:pPr>
    </w:p>
    <w:sectPr w:rsidR="00257C14" w:rsidRPr="00257C14" w:rsidSect="00436F2C">
      <w:pgSz w:w="23808" w:h="16840" w:orient="landscape" w:code="8"/>
      <w:pgMar w:top="1440" w:right="992" w:bottom="1440" w:left="1440"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4D5271" w14:textId="77777777" w:rsidR="00D753F5" w:rsidRDefault="00D753F5" w:rsidP="00204D20">
      <w:pPr>
        <w:spacing w:after="0" w:line="240" w:lineRule="auto"/>
      </w:pPr>
      <w:r>
        <w:separator/>
      </w:r>
    </w:p>
  </w:endnote>
  <w:endnote w:type="continuationSeparator" w:id="0">
    <w:p w14:paraId="68B4003C" w14:textId="77777777" w:rsidR="00D753F5" w:rsidRDefault="00D753F5" w:rsidP="00204D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614F92" w14:textId="77777777" w:rsidR="007F5150" w:rsidRDefault="007F5150">
    <w:pPr>
      <w:pStyle w:val="Footer"/>
      <w:jc w:val="center"/>
    </w:pPr>
  </w:p>
  <w:p w14:paraId="20364FD6" w14:textId="77777777" w:rsidR="007F5150" w:rsidRDefault="007F51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0BBE26" w14:textId="77777777" w:rsidR="00D753F5" w:rsidRDefault="00D753F5" w:rsidP="00204D20">
      <w:pPr>
        <w:spacing w:after="0" w:line="240" w:lineRule="auto"/>
      </w:pPr>
      <w:r>
        <w:separator/>
      </w:r>
    </w:p>
  </w:footnote>
  <w:footnote w:type="continuationSeparator" w:id="0">
    <w:p w14:paraId="69D4BD36" w14:textId="77777777" w:rsidR="00D753F5" w:rsidRDefault="00D753F5" w:rsidP="00204D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74F491" w14:textId="72F4EA9D" w:rsidR="00014145" w:rsidRPr="00014145" w:rsidRDefault="00014145" w:rsidP="00014145">
    <w:pPr>
      <w:pStyle w:val="Header"/>
      <w:jc w:val="center"/>
      <w:rPr>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B1976"/>
    <w:multiLevelType w:val="hybridMultilevel"/>
    <w:tmpl w:val="D69823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BB013D3"/>
    <w:multiLevelType w:val="hybridMultilevel"/>
    <w:tmpl w:val="84FE8F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E4237CD"/>
    <w:multiLevelType w:val="hybridMultilevel"/>
    <w:tmpl w:val="C1A6A4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02353DD"/>
    <w:multiLevelType w:val="hybridMultilevel"/>
    <w:tmpl w:val="D2C6A29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36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53057E"/>
    <w:multiLevelType w:val="hybridMultilevel"/>
    <w:tmpl w:val="BF384E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1DD7B05"/>
    <w:multiLevelType w:val="hybridMultilevel"/>
    <w:tmpl w:val="9752A8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3597163"/>
    <w:multiLevelType w:val="hybridMultilevel"/>
    <w:tmpl w:val="52142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A8687B"/>
    <w:multiLevelType w:val="hybridMultilevel"/>
    <w:tmpl w:val="77A698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BCB63E4"/>
    <w:multiLevelType w:val="hybridMultilevel"/>
    <w:tmpl w:val="001687D8"/>
    <w:lvl w:ilvl="0" w:tplc="08090001">
      <w:start w:val="1"/>
      <w:numFmt w:val="bullet"/>
      <w:lvlText w:val=""/>
      <w:lvlJc w:val="left"/>
      <w:pPr>
        <w:ind w:left="643" w:hanging="360"/>
      </w:pPr>
      <w:rPr>
        <w:rFonts w:ascii="Symbol" w:hAnsi="Symbol" w:hint="default"/>
      </w:rPr>
    </w:lvl>
    <w:lvl w:ilvl="1" w:tplc="A30EECB6">
      <w:start w:val="4"/>
      <w:numFmt w:val="bullet"/>
      <w:lvlText w:val="-"/>
      <w:lvlJc w:val="left"/>
      <w:pPr>
        <w:ind w:left="1363" w:hanging="360"/>
      </w:pPr>
      <w:rPr>
        <w:rFonts w:ascii="Calibri" w:eastAsiaTheme="minorHAnsi" w:hAnsi="Calibri" w:cs="Calibri" w:hint="default"/>
        <w:color w:val="auto"/>
        <w:sz w:val="24"/>
      </w:r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9" w15:restartNumberingAfterBreak="0">
    <w:nsid w:val="20C273E6"/>
    <w:multiLevelType w:val="hybridMultilevel"/>
    <w:tmpl w:val="1ADAA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EF131B"/>
    <w:multiLevelType w:val="hybridMultilevel"/>
    <w:tmpl w:val="2BB8C1B8"/>
    <w:lvl w:ilvl="0" w:tplc="08090001">
      <w:start w:val="1"/>
      <w:numFmt w:val="bullet"/>
      <w:lvlText w:val=""/>
      <w:lvlJc w:val="left"/>
      <w:pPr>
        <w:ind w:left="607" w:hanging="360"/>
      </w:pPr>
      <w:rPr>
        <w:rFonts w:ascii="Symbol" w:hAnsi="Symbol" w:hint="default"/>
      </w:rPr>
    </w:lvl>
    <w:lvl w:ilvl="1" w:tplc="08090003" w:tentative="1">
      <w:start w:val="1"/>
      <w:numFmt w:val="bullet"/>
      <w:lvlText w:val="o"/>
      <w:lvlJc w:val="left"/>
      <w:pPr>
        <w:ind w:left="1327" w:hanging="360"/>
      </w:pPr>
      <w:rPr>
        <w:rFonts w:ascii="Courier New" w:hAnsi="Courier New" w:cs="Courier New" w:hint="default"/>
      </w:rPr>
    </w:lvl>
    <w:lvl w:ilvl="2" w:tplc="08090005" w:tentative="1">
      <w:start w:val="1"/>
      <w:numFmt w:val="bullet"/>
      <w:lvlText w:val=""/>
      <w:lvlJc w:val="left"/>
      <w:pPr>
        <w:ind w:left="2047" w:hanging="360"/>
      </w:pPr>
      <w:rPr>
        <w:rFonts w:ascii="Wingdings" w:hAnsi="Wingdings" w:hint="default"/>
      </w:rPr>
    </w:lvl>
    <w:lvl w:ilvl="3" w:tplc="08090001" w:tentative="1">
      <w:start w:val="1"/>
      <w:numFmt w:val="bullet"/>
      <w:lvlText w:val=""/>
      <w:lvlJc w:val="left"/>
      <w:pPr>
        <w:ind w:left="2767" w:hanging="360"/>
      </w:pPr>
      <w:rPr>
        <w:rFonts w:ascii="Symbol" w:hAnsi="Symbol" w:hint="default"/>
      </w:rPr>
    </w:lvl>
    <w:lvl w:ilvl="4" w:tplc="08090003" w:tentative="1">
      <w:start w:val="1"/>
      <w:numFmt w:val="bullet"/>
      <w:lvlText w:val="o"/>
      <w:lvlJc w:val="left"/>
      <w:pPr>
        <w:ind w:left="3487" w:hanging="360"/>
      </w:pPr>
      <w:rPr>
        <w:rFonts w:ascii="Courier New" w:hAnsi="Courier New" w:cs="Courier New" w:hint="default"/>
      </w:rPr>
    </w:lvl>
    <w:lvl w:ilvl="5" w:tplc="08090005" w:tentative="1">
      <w:start w:val="1"/>
      <w:numFmt w:val="bullet"/>
      <w:lvlText w:val=""/>
      <w:lvlJc w:val="left"/>
      <w:pPr>
        <w:ind w:left="4207" w:hanging="360"/>
      </w:pPr>
      <w:rPr>
        <w:rFonts w:ascii="Wingdings" w:hAnsi="Wingdings" w:hint="default"/>
      </w:rPr>
    </w:lvl>
    <w:lvl w:ilvl="6" w:tplc="08090001" w:tentative="1">
      <w:start w:val="1"/>
      <w:numFmt w:val="bullet"/>
      <w:lvlText w:val=""/>
      <w:lvlJc w:val="left"/>
      <w:pPr>
        <w:ind w:left="4927" w:hanging="360"/>
      </w:pPr>
      <w:rPr>
        <w:rFonts w:ascii="Symbol" w:hAnsi="Symbol" w:hint="default"/>
      </w:rPr>
    </w:lvl>
    <w:lvl w:ilvl="7" w:tplc="08090003" w:tentative="1">
      <w:start w:val="1"/>
      <w:numFmt w:val="bullet"/>
      <w:lvlText w:val="o"/>
      <w:lvlJc w:val="left"/>
      <w:pPr>
        <w:ind w:left="5647" w:hanging="360"/>
      </w:pPr>
      <w:rPr>
        <w:rFonts w:ascii="Courier New" w:hAnsi="Courier New" w:cs="Courier New" w:hint="default"/>
      </w:rPr>
    </w:lvl>
    <w:lvl w:ilvl="8" w:tplc="08090005" w:tentative="1">
      <w:start w:val="1"/>
      <w:numFmt w:val="bullet"/>
      <w:lvlText w:val=""/>
      <w:lvlJc w:val="left"/>
      <w:pPr>
        <w:ind w:left="6367" w:hanging="360"/>
      </w:pPr>
      <w:rPr>
        <w:rFonts w:ascii="Wingdings" w:hAnsi="Wingdings" w:hint="default"/>
      </w:rPr>
    </w:lvl>
  </w:abstractNum>
  <w:abstractNum w:abstractNumId="11" w15:restartNumberingAfterBreak="0">
    <w:nsid w:val="35C7614F"/>
    <w:multiLevelType w:val="hybridMultilevel"/>
    <w:tmpl w:val="AD2ACE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80B4D33"/>
    <w:multiLevelType w:val="hybridMultilevel"/>
    <w:tmpl w:val="883E2C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1B54958"/>
    <w:multiLevelType w:val="hybridMultilevel"/>
    <w:tmpl w:val="2214BD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2F820AF"/>
    <w:multiLevelType w:val="hybridMultilevel"/>
    <w:tmpl w:val="C916DA72"/>
    <w:lvl w:ilvl="0" w:tplc="08090001">
      <w:start w:val="1"/>
      <w:numFmt w:val="bullet"/>
      <w:lvlText w:val=""/>
      <w:lvlJc w:val="left"/>
      <w:pPr>
        <w:ind w:left="643" w:hanging="360"/>
      </w:pPr>
      <w:rPr>
        <w:rFonts w:ascii="Symbol" w:hAnsi="Symbol" w:hint="default"/>
      </w:rPr>
    </w:lvl>
    <w:lvl w:ilvl="1" w:tplc="A30EECB6">
      <w:start w:val="4"/>
      <w:numFmt w:val="bullet"/>
      <w:lvlText w:val="-"/>
      <w:lvlJc w:val="left"/>
      <w:pPr>
        <w:ind w:left="1363" w:hanging="360"/>
      </w:pPr>
      <w:rPr>
        <w:rFonts w:ascii="Calibri" w:eastAsiaTheme="minorHAnsi" w:hAnsi="Calibri" w:cs="Calibri" w:hint="default"/>
        <w:color w:val="auto"/>
        <w:sz w:val="24"/>
      </w:r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15" w15:restartNumberingAfterBreak="0">
    <w:nsid w:val="65856631"/>
    <w:multiLevelType w:val="hybridMultilevel"/>
    <w:tmpl w:val="2800CAC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7824180"/>
    <w:multiLevelType w:val="hybridMultilevel"/>
    <w:tmpl w:val="163A02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7AA2601"/>
    <w:multiLevelType w:val="hybridMultilevel"/>
    <w:tmpl w:val="228CB164"/>
    <w:lvl w:ilvl="0" w:tplc="93721DA8">
      <w:start w:val="1"/>
      <w:numFmt w:val="decimal"/>
      <w:lvlText w:val="%1."/>
      <w:lvlJc w:val="left"/>
      <w:pPr>
        <w:ind w:left="360" w:hanging="360"/>
      </w:pPr>
      <w:rPr>
        <w:i w:val="0"/>
        <w:color w:val="auto"/>
      </w:rPr>
    </w:lvl>
    <w:lvl w:ilvl="1" w:tplc="08090001">
      <w:start w:val="1"/>
      <w:numFmt w:val="bullet"/>
      <w:lvlText w:val=""/>
      <w:lvlJc w:val="left"/>
      <w:pPr>
        <w:ind w:left="1353" w:hanging="360"/>
      </w:pPr>
      <w:rPr>
        <w:rFonts w:ascii="Symbol" w:hAnsi="Symbol" w:hint="default"/>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70B36476"/>
    <w:multiLevelType w:val="hybridMultilevel"/>
    <w:tmpl w:val="1D0CB1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77BE7D84"/>
    <w:multiLevelType w:val="hybridMultilevel"/>
    <w:tmpl w:val="EB5CD1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BE60CED"/>
    <w:multiLevelType w:val="hybridMultilevel"/>
    <w:tmpl w:val="1E1A4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3"/>
  </w:num>
  <w:num w:numId="3">
    <w:abstractNumId w:val="16"/>
  </w:num>
  <w:num w:numId="4">
    <w:abstractNumId w:val="5"/>
  </w:num>
  <w:num w:numId="5">
    <w:abstractNumId w:val="15"/>
  </w:num>
  <w:num w:numId="6">
    <w:abstractNumId w:val="12"/>
  </w:num>
  <w:num w:numId="7">
    <w:abstractNumId w:val="13"/>
  </w:num>
  <w:num w:numId="8">
    <w:abstractNumId w:val="7"/>
  </w:num>
  <w:num w:numId="9">
    <w:abstractNumId w:val="19"/>
  </w:num>
  <w:num w:numId="10">
    <w:abstractNumId w:val="11"/>
  </w:num>
  <w:num w:numId="11">
    <w:abstractNumId w:val="1"/>
  </w:num>
  <w:num w:numId="12">
    <w:abstractNumId w:val="2"/>
  </w:num>
  <w:num w:numId="13">
    <w:abstractNumId w:val="4"/>
  </w:num>
  <w:num w:numId="14">
    <w:abstractNumId w:val="14"/>
  </w:num>
  <w:num w:numId="15">
    <w:abstractNumId w:val="9"/>
  </w:num>
  <w:num w:numId="16">
    <w:abstractNumId w:val="18"/>
  </w:num>
  <w:num w:numId="17">
    <w:abstractNumId w:val="6"/>
  </w:num>
  <w:num w:numId="18">
    <w:abstractNumId w:val="8"/>
  </w:num>
  <w:num w:numId="19">
    <w:abstractNumId w:val="10"/>
  </w:num>
  <w:num w:numId="20">
    <w:abstractNumId w:val="0"/>
  </w:num>
  <w:num w:numId="21">
    <w:abstractNumId w:val="2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D20"/>
    <w:rsid w:val="00003504"/>
    <w:rsid w:val="000048EA"/>
    <w:rsid w:val="00014145"/>
    <w:rsid w:val="00024794"/>
    <w:rsid w:val="00032678"/>
    <w:rsid w:val="000332EB"/>
    <w:rsid w:val="00034B4C"/>
    <w:rsid w:val="00036CE2"/>
    <w:rsid w:val="00040E69"/>
    <w:rsid w:val="000419B1"/>
    <w:rsid w:val="00062D8D"/>
    <w:rsid w:val="0007184E"/>
    <w:rsid w:val="000769E0"/>
    <w:rsid w:val="000936B1"/>
    <w:rsid w:val="000B689B"/>
    <w:rsid w:val="000C41B4"/>
    <w:rsid w:val="000D5B39"/>
    <w:rsid w:val="000E7A54"/>
    <w:rsid w:val="001033FB"/>
    <w:rsid w:val="00111B84"/>
    <w:rsid w:val="001160F9"/>
    <w:rsid w:val="00120B7F"/>
    <w:rsid w:val="00124DBA"/>
    <w:rsid w:val="001272C6"/>
    <w:rsid w:val="001332B9"/>
    <w:rsid w:val="00146276"/>
    <w:rsid w:val="0015591D"/>
    <w:rsid w:val="00156416"/>
    <w:rsid w:val="0015754B"/>
    <w:rsid w:val="00162DE7"/>
    <w:rsid w:val="001753AB"/>
    <w:rsid w:val="00181671"/>
    <w:rsid w:val="00183C38"/>
    <w:rsid w:val="0018758C"/>
    <w:rsid w:val="001B67AC"/>
    <w:rsid w:val="001B6867"/>
    <w:rsid w:val="001C3807"/>
    <w:rsid w:val="001E181A"/>
    <w:rsid w:val="001F2C21"/>
    <w:rsid w:val="001F5F6E"/>
    <w:rsid w:val="001F7397"/>
    <w:rsid w:val="00204D20"/>
    <w:rsid w:val="0020596F"/>
    <w:rsid w:val="00217896"/>
    <w:rsid w:val="00221E75"/>
    <w:rsid w:val="00230933"/>
    <w:rsid w:val="00236700"/>
    <w:rsid w:val="00257A02"/>
    <w:rsid w:val="00257C14"/>
    <w:rsid w:val="00264512"/>
    <w:rsid w:val="00264740"/>
    <w:rsid w:val="00265931"/>
    <w:rsid w:val="0027019B"/>
    <w:rsid w:val="00280BA7"/>
    <w:rsid w:val="00283A66"/>
    <w:rsid w:val="00297973"/>
    <w:rsid w:val="002A1513"/>
    <w:rsid w:val="002A3587"/>
    <w:rsid w:val="002A7A0F"/>
    <w:rsid w:val="002B21E8"/>
    <w:rsid w:val="002D01E8"/>
    <w:rsid w:val="002D216A"/>
    <w:rsid w:val="002E42FA"/>
    <w:rsid w:val="00304855"/>
    <w:rsid w:val="00322D98"/>
    <w:rsid w:val="0032429D"/>
    <w:rsid w:val="0033297B"/>
    <w:rsid w:val="003344F1"/>
    <w:rsid w:val="0033601C"/>
    <w:rsid w:val="00366E4B"/>
    <w:rsid w:val="00387703"/>
    <w:rsid w:val="00393BD7"/>
    <w:rsid w:val="00395590"/>
    <w:rsid w:val="003A0BAA"/>
    <w:rsid w:val="003A1445"/>
    <w:rsid w:val="003B1469"/>
    <w:rsid w:val="003B170D"/>
    <w:rsid w:val="003C0B5D"/>
    <w:rsid w:val="003C277D"/>
    <w:rsid w:val="003C2E42"/>
    <w:rsid w:val="003C3F48"/>
    <w:rsid w:val="003C64FE"/>
    <w:rsid w:val="003E22BB"/>
    <w:rsid w:val="003E2D1E"/>
    <w:rsid w:val="003E509E"/>
    <w:rsid w:val="003E7745"/>
    <w:rsid w:val="003E7B62"/>
    <w:rsid w:val="00403E38"/>
    <w:rsid w:val="00410275"/>
    <w:rsid w:val="004204D7"/>
    <w:rsid w:val="004256C5"/>
    <w:rsid w:val="00436F2C"/>
    <w:rsid w:val="00441B0D"/>
    <w:rsid w:val="0045609C"/>
    <w:rsid w:val="00460391"/>
    <w:rsid w:val="00471632"/>
    <w:rsid w:val="00473E82"/>
    <w:rsid w:val="00474D07"/>
    <w:rsid w:val="00482BAA"/>
    <w:rsid w:val="00485D76"/>
    <w:rsid w:val="0049286B"/>
    <w:rsid w:val="00495CF0"/>
    <w:rsid w:val="004B1916"/>
    <w:rsid w:val="004B3932"/>
    <w:rsid w:val="004C546D"/>
    <w:rsid w:val="004C54F1"/>
    <w:rsid w:val="004D5CD3"/>
    <w:rsid w:val="004E64BD"/>
    <w:rsid w:val="004F1BBD"/>
    <w:rsid w:val="004F3D8D"/>
    <w:rsid w:val="00501026"/>
    <w:rsid w:val="00501AA6"/>
    <w:rsid w:val="00505836"/>
    <w:rsid w:val="00506E5C"/>
    <w:rsid w:val="00517412"/>
    <w:rsid w:val="00517D22"/>
    <w:rsid w:val="005261AF"/>
    <w:rsid w:val="00530421"/>
    <w:rsid w:val="00545A1C"/>
    <w:rsid w:val="00546D2A"/>
    <w:rsid w:val="00554F2A"/>
    <w:rsid w:val="00563F42"/>
    <w:rsid w:val="00567227"/>
    <w:rsid w:val="00567DC0"/>
    <w:rsid w:val="00584BB7"/>
    <w:rsid w:val="005926A8"/>
    <w:rsid w:val="0059639A"/>
    <w:rsid w:val="005A3F1A"/>
    <w:rsid w:val="005A6337"/>
    <w:rsid w:val="005B14CB"/>
    <w:rsid w:val="005B5B5E"/>
    <w:rsid w:val="005C2A4F"/>
    <w:rsid w:val="005C6F3F"/>
    <w:rsid w:val="005D0812"/>
    <w:rsid w:val="005D0E4E"/>
    <w:rsid w:val="005E2EB0"/>
    <w:rsid w:val="005E4FA9"/>
    <w:rsid w:val="005F2537"/>
    <w:rsid w:val="005F53C1"/>
    <w:rsid w:val="00600E8F"/>
    <w:rsid w:val="00604DB9"/>
    <w:rsid w:val="00605B7E"/>
    <w:rsid w:val="00611CD6"/>
    <w:rsid w:val="0061200E"/>
    <w:rsid w:val="00617B4C"/>
    <w:rsid w:val="00617BA8"/>
    <w:rsid w:val="00633F28"/>
    <w:rsid w:val="00661467"/>
    <w:rsid w:val="0066660C"/>
    <w:rsid w:val="0067308B"/>
    <w:rsid w:val="006751FA"/>
    <w:rsid w:val="00683DAA"/>
    <w:rsid w:val="00690252"/>
    <w:rsid w:val="00690577"/>
    <w:rsid w:val="006A63F4"/>
    <w:rsid w:val="006B521F"/>
    <w:rsid w:val="006C3DBC"/>
    <w:rsid w:val="006D3FA5"/>
    <w:rsid w:val="006D4551"/>
    <w:rsid w:val="006E075C"/>
    <w:rsid w:val="006E336B"/>
    <w:rsid w:val="006E7E40"/>
    <w:rsid w:val="006F55CD"/>
    <w:rsid w:val="00700844"/>
    <w:rsid w:val="00701143"/>
    <w:rsid w:val="0070429E"/>
    <w:rsid w:val="00713E99"/>
    <w:rsid w:val="00716A6A"/>
    <w:rsid w:val="00717EC9"/>
    <w:rsid w:val="007226E4"/>
    <w:rsid w:val="00733EC2"/>
    <w:rsid w:val="00734E52"/>
    <w:rsid w:val="00735B86"/>
    <w:rsid w:val="007420DE"/>
    <w:rsid w:val="00751947"/>
    <w:rsid w:val="007610D6"/>
    <w:rsid w:val="00772534"/>
    <w:rsid w:val="007A33E7"/>
    <w:rsid w:val="007B4A40"/>
    <w:rsid w:val="007C4EAA"/>
    <w:rsid w:val="007C5167"/>
    <w:rsid w:val="007D33E1"/>
    <w:rsid w:val="007D4236"/>
    <w:rsid w:val="007D5F0B"/>
    <w:rsid w:val="007E265C"/>
    <w:rsid w:val="007F5150"/>
    <w:rsid w:val="007F67F2"/>
    <w:rsid w:val="007F79B5"/>
    <w:rsid w:val="007F7FD5"/>
    <w:rsid w:val="00806263"/>
    <w:rsid w:val="00831622"/>
    <w:rsid w:val="00834565"/>
    <w:rsid w:val="008558A8"/>
    <w:rsid w:val="00857AD1"/>
    <w:rsid w:val="00864E08"/>
    <w:rsid w:val="00866908"/>
    <w:rsid w:val="00871EC6"/>
    <w:rsid w:val="008818D2"/>
    <w:rsid w:val="00882607"/>
    <w:rsid w:val="00886E2C"/>
    <w:rsid w:val="00892172"/>
    <w:rsid w:val="00897B62"/>
    <w:rsid w:val="008A0E44"/>
    <w:rsid w:val="008A515F"/>
    <w:rsid w:val="008B5715"/>
    <w:rsid w:val="008D6803"/>
    <w:rsid w:val="008D6853"/>
    <w:rsid w:val="008E1D74"/>
    <w:rsid w:val="008F3AA0"/>
    <w:rsid w:val="00910E8A"/>
    <w:rsid w:val="00917692"/>
    <w:rsid w:val="00917A40"/>
    <w:rsid w:val="0092028E"/>
    <w:rsid w:val="009214B6"/>
    <w:rsid w:val="0092491F"/>
    <w:rsid w:val="0093190C"/>
    <w:rsid w:val="009414C4"/>
    <w:rsid w:val="00944707"/>
    <w:rsid w:val="00946309"/>
    <w:rsid w:val="00947A38"/>
    <w:rsid w:val="00953894"/>
    <w:rsid w:val="009572B8"/>
    <w:rsid w:val="00961689"/>
    <w:rsid w:val="0097201B"/>
    <w:rsid w:val="00976B38"/>
    <w:rsid w:val="00983C7E"/>
    <w:rsid w:val="00985ED0"/>
    <w:rsid w:val="009866F2"/>
    <w:rsid w:val="009946D8"/>
    <w:rsid w:val="009A0129"/>
    <w:rsid w:val="009A1B3B"/>
    <w:rsid w:val="009A549A"/>
    <w:rsid w:val="009B1B55"/>
    <w:rsid w:val="009B467A"/>
    <w:rsid w:val="009B6B14"/>
    <w:rsid w:val="009C01AC"/>
    <w:rsid w:val="009C22ED"/>
    <w:rsid w:val="009E022E"/>
    <w:rsid w:val="009E1D6D"/>
    <w:rsid w:val="009E599C"/>
    <w:rsid w:val="009F26AA"/>
    <w:rsid w:val="00A0191B"/>
    <w:rsid w:val="00A15209"/>
    <w:rsid w:val="00A30604"/>
    <w:rsid w:val="00A336D7"/>
    <w:rsid w:val="00A33EEE"/>
    <w:rsid w:val="00A33F66"/>
    <w:rsid w:val="00A36D48"/>
    <w:rsid w:val="00A51010"/>
    <w:rsid w:val="00A51306"/>
    <w:rsid w:val="00A643F0"/>
    <w:rsid w:val="00A65145"/>
    <w:rsid w:val="00A652FE"/>
    <w:rsid w:val="00A7484C"/>
    <w:rsid w:val="00A80166"/>
    <w:rsid w:val="00A80762"/>
    <w:rsid w:val="00A81585"/>
    <w:rsid w:val="00A82249"/>
    <w:rsid w:val="00A907C9"/>
    <w:rsid w:val="00A932B9"/>
    <w:rsid w:val="00AA574C"/>
    <w:rsid w:val="00AB008A"/>
    <w:rsid w:val="00AC4A70"/>
    <w:rsid w:val="00AC6E31"/>
    <w:rsid w:val="00AE1100"/>
    <w:rsid w:val="00AF0742"/>
    <w:rsid w:val="00AF0F13"/>
    <w:rsid w:val="00B00AF7"/>
    <w:rsid w:val="00B012EA"/>
    <w:rsid w:val="00B1018C"/>
    <w:rsid w:val="00B175FD"/>
    <w:rsid w:val="00B17F58"/>
    <w:rsid w:val="00B24CA5"/>
    <w:rsid w:val="00B26AD0"/>
    <w:rsid w:val="00B45716"/>
    <w:rsid w:val="00B5382E"/>
    <w:rsid w:val="00B818A9"/>
    <w:rsid w:val="00B92353"/>
    <w:rsid w:val="00B96FF8"/>
    <w:rsid w:val="00BA0D10"/>
    <w:rsid w:val="00BA621F"/>
    <w:rsid w:val="00BA6797"/>
    <w:rsid w:val="00BB034E"/>
    <w:rsid w:val="00BB7989"/>
    <w:rsid w:val="00BC046B"/>
    <w:rsid w:val="00BD5E53"/>
    <w:rsid w:val="00BD679C"/>
    <w:rsid w:val="00BE0D91"/>
    <w:rsid w:val="00BE28BC"/>
    <w:rsid w:val="00BF6734"/>
    <w:rsid w:val="00C013F1"/>
    <w:rsid w:val="00C06BA4"/>
    <w:rsid w:val="00C13090"/>
    <w:rsid w:val="00C1595C"/>
    <w:rsid w:val="00C23A43"/>
    <w:rsid w:val="00C3696B"/>
    <w:rsid w:val="00C45FE6"/>
    <w:rsid w:val="00C51CB3"/>
    <w:rsid w:val="00C531FB"/>
    <w:rsid w:val="00C54AF8"/>
    <w:rsid w:val="00C6483E"/>
    <w:rsid w:val="00C70AC5"/>
    <w:rsid w:val="00C87458"/>
    <w:rsid w:val="00C93618"/>
    <w:rsid w:val="00CA6CA5"/>
    <w:rsid w:val="00CA780E"/>
    <w:rsid w:val="00CB57E3"/>
    <w:rsid w:val="00CC1DA5"/>
    <w:rsid w:val="00CC23E9"/>
    <w:rsid w:val="00CC4495"/>
    <w:rsid w:val="00CD5336"/>
    <w:rsid w:val="00CE22F8"/>
    <w:rsid w:val="00CE5BE1"/>
    <w:rsid w:val="00CF5775"/>
    <w:rsid w:val="00CF7714"/>
    <w:rsid w:val="00D1282E"/>
    <w:rsid w:val="00D43D99"/>
    <w:rsid w:val="00D44333"/>
    <w:rsid w:val="00D521D2"/>
    <w:rsid w:val="00D53FDE"/>
    <w:rsid w:val="00D54A35"/>
    <w:rsid w:val="00D65835"/>
    <w:rsid w:val="00D71BB8"/>
    <w:rsid w:val="00D72178"/>
    <w:rsid w:val="00D753F5"/>
    <w:rsid w:val="00D85A63"/>
    <w:rsid w:val="00D9473C"/>
    <w:rsid w:val="00D961B2"/>
    <w:rsid w:val="00DA48C3"/>
    <w:rsid w:val="00DA6B4D"/>
    <w:rsid w:val="00DA6BF4"/>
    <w:rsid w:val="00DB0914"/>
    <w:rsid w:val="00DB13B7"/>
    <w:rsid w:val="00DB7C69"/>
    <w:rsid w:val="00DC1933"/>
    <w:rsid w:val="00DC3685"/>
    <w:rsid w:val="00DC6BC8"/>
    <w:rsid w:val="00DE243F"/>
    <w:rsid w:val="00DF4976"/>
    <w:rsid w:val="00E04F18"/>
    <w:rsid w:val="00E1294D"/>
    <w:rsid w:val="00E14902"/>
    <w:rsid w:val="00E22A05"/>
    <w:rsid w:val="00E31FF8"/>
    <w:rsid w:val="00E35FDA"/>
    <w:rsid w:val="00E37F70"/>
    <w:rsid w:val="00E403E3"/>
    <w:rsid w:val="00E46A6D"/>
    <w:rsid w:val="00E83BDD"/>
    <w:rsid w:val="00EA1751"/>
    <w:rsid w:val="00EA7660"/>
    <w:rsid w:val="00EB3DA9"/>
    <w:rsid w:val="00EC1C3C"/>
    <w:rsid w:val="00EC3882"/>
    <w:rsid w:val="00EC4D6B"/>
    <w:rsid w:val="00EC788F"/>
    <w:rsid w:val="00ED39E2"/>
    <w:rsid w:val="00ED7021"/>
    <w:rsid w:val="00ED73F1"/>
    <w:rsid w:val="00EE480A"/>
    <w:rsid w:val="00EE4A2E"/>
    <w:rsid w:val="00EE60A2"/>
    <w:rsid w:val="00F06991"/>
    <w:rsid w:val="00F15554"/>
    <w:rsid w:val="00F164E9"/>
    <w:rsid w:val="00F24063"/>
    <w:rsid w:val="00F240B0"/>
    <w:rsid w:val="00F34C6E"/>
    <w:rsid w:val="00F37072"/>
    <w:rsid w:val="00F5298D"/>
    <w:rsid w:val="00F550D1"/>
    <w:rsid w:val="00F603BC"/>
    <w:rsid w:val="00F660FF"/>
    <w:rsid w:val="00F66BD0"/>
    <w:rsid w:val="00F77631"/>
    <w:rsid w:val="00F77EE9"/>
    <w:rsid w:val="00F86E3A"/>
    <w:rsid w:val="00F93C82"/>
    <w:rsid w:val="00FA0E12"/>
    <w:rsid w:val="00FA1AA0"/>
    <w:rsid w:val="00FA55E8"/>
    <w:rsid w:val="00FA77ED"/>
    <w:rsid w:val="00FA7CF2"/>
    <w:rsid w:val="00FB279C"/>
    <w:rsid w:val="00FC32ED"/>
    <w:rsid w:val="00FC43E3"/>
    <w:rsid w:val="00FC461B"/>
    <w:rsid w:val="00FD1525"/>
    <w:rsid w:val="00FD3996"/>
    <w:rsid w:val="00FE6E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A82F7F"/>
  <w15:docId w15:val="{F68BE09E-65E2-4E2B-B6C8-D1FF963EF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E4E"/>
    <w:rPr>
      <w:sz w:val="24"/>
    </w:rPr>
  </w:style>
  <w:style w:type="paragraph" w:styleId="Heading1">
    <w:name w:val="heading 1"/>
    <w:basedOn w:val="Normal"/>
    <w:next w:val="Normal"/>
    <w:link w:val="Heading1Char"/>
    <w:uiPriority w:val="9"/>
    <w:qFormat/>
    <w:rsid w:val="00E83BDD"/>
    <w:pPr>
      <w:keepNext/>
      <w:keepLines/>
      <w:spacing w:before="240" w:after="0" w:line="259" w:lineRule="auto"/>
      <w:outlineLvl w:val="0"/>
    </w:pPr>
    <w:rPr>
      <w:rFonts w:ascii="Arial" w:eastAsiaTheme="majorEastAsia" w:hAnsi="Arial" w:cstheme="majorBidi"/>
      <w:b/>
      <w:sz w:val="28"/>
      <w:szCs w:val="32"/>
    </w:rPr>
  </w:style>
  <w:style w:type="paragraph" w:styleId="Heading2">
    <w:name w:val="heading 2"/>
    <w:basedOn w:val="Normal"/>
    <w:next w:val="Normal"/>
    <w:link w:val="Heading2Char"/>
    <w:uiPriority w:val="9"/>
    <w:unhideWhenUsed/>
    <w:qFormat/>
    <w:rsid w:val="003E22BB"/>
    <w:pPr>
      <w:keepNext/>
      <w:keepLines/>
      <w:spacing w:before="40" w:after="0" w:line="259" w:lineRule="auto"/>
      <w:outlineLvl w:val="1"/>
    </w:pPr>
    <w:rPr>
      <w:rFonts w:eastAsiaTheme="majorEastAsia" w:cstheme="minorHAnsi"/>
      <w:b/>
      <w:szCs w:val="26"/>
    </w:rPr>
  </w:style>
  <w:style w:type="paragraph" w:styleId="Heading3">
    <w:name w:val="heading 3"/>
    <w:basedOn w:val="Normal"/>
    <w:next w:val="Normal"/>
    <w:link w:val="Heading3Char"/>
    <w:uiPriority w:val="9"/>
    <w:unhideWhenUsed/>
    <w:qFormat/>
    <w:rsid w:val="003B170D"/>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unhideWhenUsed/>
    <w:qFormat/>
    <w:rsid w:val="003B170D"/>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04D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4D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4D20"/>
  </w:style>
  <w:style w:type="paragraph" w:styleId="Footer">
    <w:name w:val="footer"/>
    <w:basedOn w:val="Normal"/>
    <w:link w:val="FooterChar"/>
    <w:uiPriority w:val="99"/>
    <w:unhideWhenUsed/>
    <w:rsid w:val="00204D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4D20"/>
  </w:style>
  <w:style w:type="paragraph" w:styleId="ListParagraph">
    <w:name w:val="List Paragraph"/>
    <w:aliases w:val="Recommendatio,Dot pt,No Spacing1,List Paragraph Char Char Char,Indicator Text,Numbered Para 1,List Paragraph1,Bullet 1,Bullet Points,MAIN CONTENT,F5 List Paragraph,List Paragraph2,List Paragraph12,Colorful List - Accent 11,Normal numbere"/>
    <w:basedOn w:val="Normal"/>
    <w:link w:val="ListParagraphChar"/>
    <w:uiPriority w:val="34"/>
    <w:qFormat/>
    <w:rsid w:val="00111B84"/>
    <w:pPr>
      <w:ind w:left="720"/>
      <w:contextualSpacing/>
    </w:pPr>
  </w:style>
  <w:style w:type="character" w:customStyle="1" w:styleId="Heading1Char">
    <w:name w:val="Heading 1 Char"/>
    <w:basedOn w:val="DefaultParagraphFont"/>
    <w:link w:val="Heading1"/>
    <w:uiPriority w:val="9"/>
    <w:rsid w:val="00E83BDD"/>
    <w:rPr>
      <w:rFonts w:ascii="Arial" w:eastAsiaTheme="majorEastAsia" w:hAnsi="Arial" w:cstheme="majorBidi"/>
      <w:b/>
      <w:sz w:val="28"/>
      <w:szCs w:val="32"/>
    </w:rPr>
  </w:style>
  <w:style w:type="character" w:customStyle="1" w:styleId="Heading2Char">
    <w:name w:val="Heading 2 Char"/>
    <w:basedOn w:val="DefaultParagraphFont"/>
    <w:link w:val="Heading2"/>
    <w:uiPriority w:val="9"/>
    <w:rsid w:val="003E22BB"/>
    <w:rPr>
      <w:rFonts w:eastAsiaTheme="majorEastAsia" w:cstheme="minorHAnsi"/>
      <w:b/>
      <w:sz w:val="24"/>
      <w:szCs w:val="26"/>
    </w:rPr>
  </w:style>
  <w:style w:type="character" w:styleId="Hyperlink">
    <w:name w:val="Hyperlink"/>
    <w:basedOn w:val="DefaultParagraphFont"/>
    <w:uiPriority w:val="99"/>
    <w:unhideWhenUsed/>
    <w:rsid w:val="00E83BDD"/>
    <w:rPr>
      <w:color w:val="0000FF" w:themeColor="hyperlink"/>
      <w:u w:val="single"/>
    </w:rPr>
  </w:style>
  <w:style w:type="paragraph" w:styleId="BalloonText">
    <w:name w:val="Balloon Text"/>
    <w:basedOn w:val="Normal"/>
    <w:link w:val="BalloonTextChar"/>
    <w:uiPriority w:val="99"/>
    <w:semiHidden/>
    <w:unhideWhenUsed/>
    <w:rsid w:val="00604D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4DB9"/>
    <w:rPr>
      <w:rFonts w:ascii="Tahoma" w:hAnsi="Tahoma" w:cs="Tahoma"/>
      <w:sz w:val="16"/>
      <w:szCs w:val="16"/>
    </w:rPr>
  </w:style>
  <w:style w:type="character" w:styleId="FollowedHyperlink">
    <w:name w:val="FollowedHyperlink"/>
    <w:basedOn w:val="DefaultParagraphFont"/>
    <w:uiPriority w:val="99"/>
    <w:semiHidden/>
    <w:unhideWhenUsed/>
    <w:rsid w:val="00CE5BE1"/>
    <w:rPr>
      <w:color w:val="800080" w:themeColor="followedHyperlink"/>
      <w:u w:val="single"/>
    </w:rPr>
  </w:style>
  <w:style w:type="paragraph" w:customStyle="1" w:styleId="Default">
    <w:name w:val="Default"/>
    <w:rsid w:val="00B45716"/>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C23A43"/>
    <w:rPr>
      <w:sz w:val="16"/>
      <w:szCs w:val="16"/>
    </w:rPr>
  </w:style>
  <w:style w:type="paragraph" w:styleId="CommentText">
    <w:name w:val="annotation text"/>
    <w:basedOn w:val="Normal"/>
    <w:link w:val="CommentTextChar"/>
    <w:uiPriority w:val="99"/>
    <w:semiHidden/>
    <w:unhideWhenUsed/>
    <w:rsid w:val="00C23A43"/>
    <w:pPr>
      <w:spacing w:line="240" w:lineRule="auto"/>
    </w:pPr>
    <w:rPr>
      <w:sz w:val="20"/>
      <w:szCs w:val="20"/>
    </w:rPr>
  </w:style>
  <w:style w:type="character" w:customStyle="1" w:styleId="CommentTextChar">
    <w:name w:val="Comment Text Char"/>
    <w:basedOn w:val="DefaultParagraphFont"/>
    <w:link w:val="CommentText"/>
    <w:uiPriority w:val="99"/>
    <w:semiHidden/>
    <w:rsid w:val="00C23A43"/>
    <w:rPr>
      <w:sz w:val="20"/>
      <w:szCs w:val="20"/>
    </w:rPr>
  </w:style>
  <w:style w:type="paragraph" w:styleId="CommentSubject">
    <w:name w:val="annotation subject"/>
    <w:basedOn w:val="CommentText"/>
    <w:next w:val="CommentText"/>
    <w:link w:val="CommentSubjectChar"/>
    <w:uiPriority w:val="99"/>
    <w:semiHidden/>
    <w:unhideWhenUsed/>
    <w:rsid w:val="00C23A43"/>
    <w:rPr>
      <w:b/>
      <w:bCs/>
    </w:rPr>
  </w:style>
  <w:style w:type="character" w:customStyle="1" w:styleId="CommentSubjectChar">
    <w:name w:val="Comment Subject Char"/>
    <w:basedOn w:val="CommentTextChar"/>
    <w:link w:val="CommentSubject"/>
    <w:uiPriority w:val="99"/>
    <w:semiHidden/>
    <w:rsid w:val="00C23A43"/>
    <w:rPr>
      <w:b/>
      <w:bCs/>
      <w:sz w:val="20"/>
      <w:szCs w:val="20"/>
    </w:rPr>
  </w:style>
  <w:style w:type="paragraph" w:styleId="Revision">
    <w:name w:val="Revision"/>
    <w:hidden/>
    <w:uiPriority w:val="99"/>
    <w:semiHidden/>
    <w:rsid w:val="00C23A43"/>
    <w:pPr>
      <w:spacing w:after="0" w:line="240" w:lineRule="auto"/>
    </w:pPr>
  </w:style>
  <w:style w:type="character" w:customStyle="1" w:styleId="Heading3Char">
    <w:name w:val="Heading 3 Char"/>
    <w:basedOn w:val="DefaultParagraphFont"/>
    <w:link w:val="Heading3"/>
    <w:uiPriority w:val="9"/>
    <w:rsid w:val="003B170D"/>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3B170D"/>
    <w:rPr>
      <w:rFonts w:asciiTheme="majorHAnsi" w:eastAsiaTheme="majorEastAsia" w:hAnsiTheme="majorHAnsi" w:cstheme="majorBidi"/>
      <w:i/>
      <w:iCs/>
      <w:color w:val="365F91" w:themeColor="accent1" w:themeShade="BF"/>
    </w:rPr>
  </w:style>
  <w:style w:type="character" w:customStyle="1" w:styleId="ListParagraphChar">
    <w:name w:val="List Paragraph Char"/>
    <w:aliases w:val="Recommendatio Char,Dot pt Char,No Spacing1 Char,List Paragraph Char Char Char Char,Indicator Text Char,Numbered Para 1 Char,List Paragraph1 Char,Bullet 1 Char,Bullet Points Char,MAIN CONTENT Char,F5 List Paragraph Char"/>
    <w:link w:val="ListParagraph"/>
    <w:uiPriority w:val="34"/>
    <w:locked/>
    <w:rsid w:val="00D72178"/>
    <w:rPr>
      <w:sz w:val="24"/>
    </w:rPr>
  </w:style>
  <w:style w:type="table" w:styleId="GridTable4-Accent1">
    <w:name w:val="Grid Table 4 Accent 1"/>
    <w:basedOn w:val="TableNormal"/>
    <w:uiPriority w:val="49"/>
    <w:rsid w:val="000419B1"/>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PlainTable1">
    <w:name w:val="Plain Table 1"/>
    <w:basedOn w:val="TableNormal"/>
    <w:uiPriority w:val="41"/>
    <w:rsid w:val="000419B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11">
    <w:name w:val="Plain Table 11"/>
    <w:basedOn w:val="TableNormal"/>
    <w:next w:val="PlainTable1"/>
    <w:uiPriority w:val="41"/>
    <w:rsid w:val="00283A6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12">
    <w:name w:val="Plain Table 12"/>
    <w:basedOn w:val="TableNormal"/>
    <w:next w:val="PlainTable1"/>
    <w:uiPriority w:val="41"/>
    <w:rsid w:val="00283A6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13">
    <w:name w:val="Plain Table 13"/>
    <w:basedOn w:val="TableNormal"/>
    <w:next w:val="PlainTable1"/>
    <w:uiPriority w:val="41"/>
    <w:rsid w:val="00F550D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i-provider">
    <w:name w:val="ui-provider"/>
    <w:basedOn w:val="DefaultParagraphFont"/>
    <w:rsid w:val="009249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695011">
      <w:bodyDiv w:val="1"/>
      <w:marLeft w:val="0"/>
      <w:marRight w:val="0"/>
      <w:marTop w:val="0"/>
      <w:marBottom w:val="0"/>
      <w:divBdr>
        <w:top w:val="none" w:sz="0" w:space="0" w:color="auto"/>
        <w:left w:val="none" w:sz="0" w:space="0" w:color="auto"/>
        <w:bottom w:val="none" w:sz="0" w:space="0" w:color="auto"/>
        <w:right w:val="none" w:sz="0" w:space="0" w:color="auto"/>
      </w:divBdr>
    </w:div>
    <w:div w:id="341667294">
      <w:bodyDiv w:val="1"/>
      <w:marLeft w:val="0"/>
      <w:marRight w:val="0"/>
      <w:marTop w:val="0"/>
      <w:marBottom w:val="0"/>
      <w:divBdr>
        <w:top w:val="none" w:sz="0" w:space="0" w:color="auto"/>
        <w:left w:val="none" w:sz="0" w:space="0" w:color="auto"/>
        <w:bottom w:val="none" w:sz="0" w:space="0" w:color="auto"/>
        <w:right w:val="none" w:sz="0" w:space="0" w:color="auto"/>
      </w:divBdr>
    </w:div>
    <w:div w:id="444733516">
      <w:bodyDiv w:val="1"/>
      <w:marLeft w:val="0"/>
      <w:marRight w:val="0"/>
      <w:marTop w:val="0"/>
      <w:marBottom w:val="0"/>
      <w:divBdr>
        <w:top w:val="none" w:sz="0" w:space="0" w:color="auto"/>
        <w:left w:val="none" w:sz="0" w:space="0" w:color="auto"/>
        <w:bottom w:val="none" w:sz="0" w:space="0" w:color="auto"/>
        <w:right w:val="none" w:sz="0" w:space="0" w:color="auto"/>
      </w:divBdr>
    </w:div>
    <w:div w:id="474219611">
      <w:bodyDiv w:val="1"/>
      <w:marLeft w:val="0"/>
      <w:marRight w:val="0"/>
      <w:marTop w:val="0"/>
      <w:marBottom w:val="0"/>
      <w:divBdr>
        <w:top w:val="none" w:sz="0" w:space="0" w:color="auto"/>
        <w:left w:val="none" w:sz="0" w:space="0" w:color="auto"/>
        <w:bottom w:val="none" w:sz="0" w:space="0" w:color="auto"/>
        <w:right w:val="none" w:sz="0" w:space="0" w:color="auto"/>
      </w:divBdr>
    </w:div>
    <w:div w:id="476339441">
      <w:bodyDiv w:val="1"/>
      <w:marLeft w:val="0"/>
      <w:marRight w:val="0"/>
      <w:marTop w:val="0"/>
      <w:marBottom w:val="0"/>
      <w:divBdr>
        <w:top w:val="none" w:sz="0" w:space="0" w:color="auto"/>
        <w:left w:val="none" w:sz="0" w:space="0" w:color="auto"/>
        <w:bottom w:val="none" w:sz="0" w:space="0" w:color="auto"/>
        <w:right w:val="none" w:sz="0" w:space="0" w:color="auto"/>
      </w:divBdr>
    </w:div>
    <w:div w:id="522550660">
      <w:bodyDiv w:val="1"/>
      <w:marLeft w:val="0"/>
      <w:marRight w:val="0"/>
      <w:marTop w:val="0"/>
      <w:marBottom w:val="0"/>
      <w:divBdr>
        <w:top w:val="none" w:sz="0" w:space="0" w:color="auto"/>
        <w:left w:val="none" w:sz="0" w:space="0" w:color="auto"/>
        <w:bottom w:val="none" w:sz="0" w:space="0" w:color="auto"/>
        <w:right w:val="none" w:sz="0" w:space="0" w:color="auto"/>
      </w:divBdr>
    </w:div>
    <w:div w:id="528379547">
      <w:bodyDiv w:val="1"/>
      <w:marLeft w:val="0"/>
      <w:marRight w:val="0"/>
      <w:marTop w:val="0"/>
      <w:marBottom w:val="0"/>
      <w:divBdr>
        <w:top w:val="none" w:sz="0" w:space="0" w:color="auto"/>
        <w:left w:val="none" w:sz="0" w:space="0" w:color="auto"/>
        <w:bottom w:val="none" w:sz="0" w:space="0" w:color="auto"/>
        <w:right w:val="none" w:sz="0" w:space="0" w:color="auto"/>
      </w:divBdr>
    </w:div>
    <w:div w:id="642855713">
      <w:bodyDiv w:val="1"/>
      <w:marLeft w:val="0"/>
      <w:marRight w:val="0"/>
      <w:marTop w:val="0"/>
      <w:marBottom w:val="0"/>
      <w:divBdr>
        <w:top w:val="none" w:sz="0" w:space="0" w:color="auto"/>
        <w:left w:val="none" w:sz="0" w:space="0" w:color="auto"/>
        <w:bottom w:val="none" w:sz="0" w:space="0" w:color="auto"/>
        <w:right w:val="none" w:sz="0" w:space="0" w:color="auto"/>
      </w:divBdr>
    </w:div>
    <w:div w:id="700395536">
      <w:bodyDiv w:val="1"/>
      <w:marLeft w:val="0"/>
      <w:marRight w:val="0"/>
      <w:marTop w:val="0"/>
      <w:marBottom w:val="0"/>
      <w:divBdr>
        <w:top w:val="none" w:sz="0" w:space="0" w:color="auto"/>
        <w:left w:val="none" w:sz="0" w:space="0" w:color="auto"/>
        <w:bottom w:val="none" w:sz="0" w:space="0" w:color="auto"/>
        <w:right w:val="none" w:sz="0" w:space="0" w:color="auto"/>
      </w:divBdr>
    </w:div>
    <w:div w:id="932515287">
      <w:bodyDiv w:val="1"/>
      <w:marLeft w:val="0"/>
      <w:marRight w:val="0"/>
      <w:marTop w:val="0"/>
      <w:marBottom w:val="0"/>
      <w:divBdr>
        <w:top w:val="none" w:sz="0" w:space="0" w:color="auto"/>
        <w:left w:val="none" w:sz="0" w:space="0" w:color="auto"/>
        <w:bottom w:val="none" w:sz="0" w:space="0" w:color="auto"/>
        <w:right w:val="none" w:sz="0" w:space="0" w:color="auto"/>
      </w:divBdr>
    </w:div>
    <w:div w:id="1011949561">
      <w:bodyDiv w:val="1"/>
      <w:marLeft w:val="0"/>
      <w:marRight w:val="0"/>
      <w:marTop w:val="0"/>
      <w:marBottom w:val="0"/>
      <w:divBdr>
        <w:top w:val="none" w:sz="0" w:space="0" w:color="auto"/>
        <w:left w:val="none" w:sz="0" w:space="0" w:color="auto"/>
        <w:bottom w:val="none" w:sz="0" w:space="0" w:color="auto"/>
        <w:right w:val="none" w:sz="0" w:space="0" w:color="auto"/>
      </w:divBdr>
    </w:div>
    <w:div w:id="1396009827">
      <w:bodyDiv w:val="1"/>
      <w:marLeft w:val="0"/>
      <w:marRight w:val="0"/>
      <w:marTop w:val="0"/>
      <w:marBottom w:val="0"/>
      <w:divBdr>
        <w:top w:val="none" w:sz="0" w:space="0" w:color="auto"/>
        <w:left w:val="none" w:sz="0" w:space="0" w:color="auto"/>
        <w:bottom w:val="none" w:sz="0" w:space="0" w:color="auto"/>
        <w:right w:val="none" w:sz="0" w:space="0" w:color="auto"/>
      </w:divBdr>
    </w:div>
    <w:div w:id="1401715070">
      <w:bodyDiv w:val="1"/>
      <w:marLeft w:val="0"/>
      <w:marRight w:val="0"/>
      <w:marTop w:val="0"/>
      <w:marBottom w:val="0"/>
      <w:divBdr>
        <w:top w:val="none" w:sz="0" w:space="0" w:color="auto"/>
        <w:left w:val="none" w:sz="0" w:space="0" w:color="auto"/>
        <w:bottom w:val="none" w:sz="0" w:space="0" w:color="auto"/>
        <w:right w:val="none" w:sz="0" w:space="0" w:color="auto"/>
      </w:divBdr>
    </w:div>
    <w:div w:id="1464545241">
      <w:bodyDiv w:val="1"/>
      <w:marLeft w:val="0"/>
      <w:marRight w:val="0"/>
      <w:marTop w:val="0"/>
      <w:marBottom w:val="0"/>
      <w:divBdr>
        <w:top w:val="none" w:sz="0" w:space="0" w:color="auto"/>
        <w:left w:val="none" w:sz="0" w:space="0" w:color="auto"/>
        <w:bottom w:val="none" w:sz="0" w:space="0" w:color="auto"/>
        <w:right w:val="none" w:sz="0" w:space="0" w:color="auto"/>
      </w:divBdr>
    </w:div>
    <w:div w:id="1517116256">
      <w:bodyDiv w:val="1"/>
      <w:marLeft w:val="0"/>
      <w:marRight w:val="0"/>
      <w:marTop w:val="0"/>
      <w:marBottom w:val="0"/>
      <w:divBdr>
        <w:top w:val="none" w:sz="0" w:space="0" w:color="auto"/>
        <w:left w:val="none" w:sz="0" w:space="0" w:color="auto"/>
        <w:bottom w:val="none" w:sz="0" w:space="0" w:color="auto"/>
        <w:right w:val="none" w:sz="0" w:space="0" w:color="auto"/>
      </w:divBdr>
    </w:div>
    <w:div w:id="1635058538">
      <w:bodyDiv w:val="1"/>
      <w:marLeft w:val="0"/>
      <w:marRight w:val="0"/>
      <w:marTop w:val="0"/>
      <w:marBottom w:val="0"/>
      <w:divBdr>
        <w:top w:val="none" w:sz="0" w:space="0" w:color="auto"/>
        <w:left w:val="none" w:sz="0" w:space="0" w:color="auto"/>
        <w:bottom w:val="none" w:sz="0" w:space="0" w:color="auto"/>
        <w:right w:val="none" w:sz="0" w:space="0" w:color="auto"/>
      </w:divBdr>
    </w:div>
    <w:div w:id="1647854895">
      <w:bodyDiv w:val="1"/>
      <w:marLeft w:val="0"/>
      <w:marRight w:val="0"/>
      <w:marTop w:val="0"/>
      <w:marBottom w:val="0"/>
      <w:divBdr>
        <w:top w:val="none" w:sz="0" w:space="0" w:color="auto"/>
        <w:left w:val="none" w:sz="0" w:space="0" w:color="auto"/>
        <w:bottom w:val="none" w:sz="0" w:space="0" w:color="auto"/>
        <w:right w:val="none" w:sz="0" w:space="0" w:color="auto"/>
      </w:divBdr>
    </w:div>
    <w:div w:id="1666859632">
      <w:bodyDiv w:val="1"/>
      <w:marLeft w:val="0"/>
      <w:marRight w:val="0"/>
      <w:marTop w:val="0"/>
      <w:marBottom w:val="0"/>
      <w:divBdr>
        <w:top w:val="none" w:sz="0" w:space="0" w:color="auto"/>
        <w:left w:val="none" w:sz="0" w:space="0" w:color="auto"/>
        <w:bottom w:val="none" w:sz="0" w:space="0" w:color="auto"/>
        <w:right w:val="none" w:sz="0" w:space="0" w:color="auto"/>
      </w:divBdr>
    </w:div>
    <w:div w:id="1675763952">
      <w:bodyDiv w:val="1"/>
      <w:marLeft w:val="0"/>
      <w:marRight w:val="0"/>
      <w:marTop w:val="0"/>
      <w:marBottom w:val="0"/>
      <w:divBdr>
        <w:top w:val="none" w:sz="0" w:space="0" w:color="auto"/>
        <w:left w:val="none" w:sz="0" w:space="0" w:color="auto"/>
        <w:bottom w:val="none" w:sz="0" w:space="0" w:color="auto"/>
        <w:right w:val="none" w:sz="0" w:space="0" w:color="auto"/>
      </w:divBdr>
    </w:div>
    <w:div w:id="1720323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erdms.nature.scot/documents/A3736342/details" TargetMode="External"/><Relationship Id="rId26" Type="http://schemas.openxmlformats.org/officeDocument/2006/relationships/hyperlink" Target="https://erdms.nature.scot/documents/A3739953/details" TargetMode="External"/><Relationship Id="rId39" Type="http://schemas.openxmlformats.org/officeDocument/2006/relationships/hyperlink" Target="https://erdms.nature.scot/documents/A3736963/details" TargetMode="External"/><Relationship Id="rId21" Type="http://schemas.openxmlformats.org/officeDocument/2006/relationships/image" Target="media/image7.png"/><Relationship Id="rId34" Type="http://schemas.openxmlformats.org/officeDocument/2006/relationships/image" Target="media/image13.png"/><Relationship Id="rId42" Type="http://schemas.openxmlformats.org/officeDocument/2006/relationships/image" Target="media/image18.png"/><Relationship Id="rId47"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erdms.nature.scot/documents/A3736346/details" TargetMode="External"/><Relationship Id="rId29" Type="http://schemas.openxmlformats.org/officeDocument/2006/relationships/hyperlink" Target="https://erdms.nature.scot/documents/A3724366/detail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erdms.nature.scot/documents/A3736341/details" TargetMode="External"/><Relationship Id="rId32" Type="http://schemas.openxmlformats.org/officeDocument/2006/relationships/image" Target="media/image12.png"/><Relationship Id="rId37" Type="http://schemas.openxmlformats.org/officeDocument/2006/relationships/hyperlink" Target="https://erdms.nature.scot/documents/A3733025/details" TargetMode="External"/><Relationship Id="rId40" Type="http://schemas.openxmlformats.org/officeDocument/2006/relationships/image" Target="media/image16.png"/><Relationship Id="rId45" Type="http://schemas.openxmlformats.org/officeDocument/2006/relationships/image" Target="media/image20.png"/><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image" Target="media/image8.png"/><Relationship Id="rId28" Type="http://schemas.openxmlformats.org/officeDocument/2006/relationships/image" Target="media/image10.png"/><Relationship Id="rId36" Type="http://schemas.openxmlformats.org/officeDocument/2006/relationships/image" Target="media/image14.png"/><Relationship Id="rId10" Type="http://schemas.openxmlformats.org/officeDocument/2006/relationships/header" Target="header1.xml"/><Relationship Id="rId19" Type="http://schemas.openxmlformats.org/officeDocument/2006/relationships/image" Target="media/image6.png"/><Relationship Id="rId31" Type="http://schemas.openxmlformats.org/officeDocument/2006/relationships/hyperlink" Target="https://erdms.nature.scot/documents/A3724366/details" TargetMode="External"/><Relationship Id="rId44" Type="http://schemas.openxmlformats.org/officeDocument/2006/relationships/image" Target="media/image19.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erdms.nature.scot/documents/A3736347/details" TargetMode="External"/><Relationship Id="rId22" Type="http://schemas.openxmlformats.org/officeDocument/2006/relationships/hyperlink" Target="https://erdms.nature.scot/documents/A3736344/details" TargetMode="External"/><Relationship Id="rId27" Type="http://schemas.openxmlformats.org/officeDocument/2006/relationships/hyperlink" Target="https://erdms.nature.scot/documents/A3736345/details" TargetMode="External"/><Relationship Id="rId30" Type="http://schemas.openxmlformats.org/officeDocument/2006/relationships/image" Target="media/image11.png"/><Relationship Id="rId35" Type="http://schemas.openxmlformats.org/officeDocument/2006/relationships/hyperlink" Target="https://erdms.nature.scot/documents/A3736962/details" TargetMode="External"/><Relationship Id="rId43" Type="http://schemas.openxmlformats.org/officeDocument/2006/relationships/chart" Target="charts/chart1.xml"/><Relationship Id="rId48"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image" Target="media/image2.png"/><Relationship Id="rId17" Type="http://schemas.openxmlformats.org/officeDocument/2006/relationships/image" Target="media/image5.png"/><Relationship Id="rId25" Type="http://schemas.openxmlformats.org/officeDocument/2006/relationships/image" Target="media/image9.png"/><Relationship Id="rId33" Type="http://schemas.openxmlformats.org/officeDocument/2006/relationships/hyperlink" Target="https://erdms.nature.scot/documents/A3724366/details" TargetMode="External"/><Relationship Id="rId38" Type="http://schemas.openxmlformats.org/officeDocument/2006/relationships/image" Target="media/image15.png"/><Relationship Id="rId46" Type="http://schemas.openxmlformats.org/officeDocument/2006/relationships/image" Target="media/image21.png"/><Relationship Id="rId20" Type="http://schemas.openxmlformats.org/officeDocument/2006/relationships/hyperlink" Target="https://erdms.nature.scot/documents/A3736343/details" TargetMode="External"/><Relationship Id="rId41" Type="http://schemas.openxmlformats.org/officeDocument/2006/relationships/image" Target="media/image17.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INYM\Director\Cache\erdms.nature.scot%20uA920\A3887730\2022-23%20Q3%20Corporate%20Risks%20(A3887730).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solidFill>
                  <a:sysClr val="windowText" lastClr="000000"/>
                </a:solidFill>
              </a:rPr>
              <a:t>Corporate Risks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'Graphs for report'!$F$10</c:f>
              <c:strCache>
                <c:ptCount val="1"/>
                <c:pt idx="0">
                  <c:v>Count of RISK_ID</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'Graphs for report'!$E$11:$E$12</c:f>
              <c:strCache>
                <c:ptCount val="2"/>
                <c:pt idx="0">
                  <c:v>High</c:v>
                </c:pt>
                <c:pt idx="1">
                  <c:v>Medium</c:v>
                </c:pt>
              </c:strCache>
            </c:strRef>
          </c:cat>
          <c:val>
            <c:numRef>
              <c:f>'Graphs for report'!$F$11:$F$12</c:f>
              <c:numCache>
                <c:formatCode>General</c:formatCode>
                <c:ptCount val="2"/>
                <c:pt idx="0">
                  <c:v>5</c:v>
                </c:pt>
                <c:pt idx="1">
                  <c:v>6</c:v>
                </c:pt>
              </c:numCache>
            </c:numRef>
          </c:val>
          <c:extLst>
            <c:ext xmlns:c16="http://schemas.microsoft.com/office/drawing/2014/chart" uri="{C3380CC4-5D6E-409C-BE32-E72D297353CC}">
              <c16:uniqueId val="{00000000-C9ED-4E12-87A7-610F23245ABE}"/>
            </c:ext>
          </c:extLst>
        </c:ser>
        <c:dLbls>
          <c:showLegendKey val="0"/>
          <c:showVal val="0"/>
          <c:showCatName val="0"/>
          <c:showSerName val="0"/>
          <c:showPercent val="0"/>
          <c:showBubbleSize val="0"/>
        </c:dLbls>
        <c:gapWidth val="219"/>
        <c:overlap val="-27"/>
        <c:axId val="1560002143"/>
        <c:axId val="1665017663"/>
      </c:barChart>
      <c:catAx>
        <c:axId val="15600021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665017663"/>
        <c:crosses val="autoZero"/>
        <c:auto val="1"/>
        <c:lblAlgn val="ctr"/>
        <c:lblOffset val="100"/>
        <c:noMultiLvlLbl val="0"/>
      </c:catAx>
      <c:valAx>
        <c:axId val="1665017663"/>
        <c:scaling>
          <c:orientation val="minMax"/>
          <c:max val="7"/>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solidFill>
              <a:schemeClr val="tx1">
                <a:lumMod val="15000"/>
                <a:lumOff val="85000"/>
              </a:schemeClr>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56000214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71FFD1B571BE2883E0537D20C80A46C7" version="1.0.0">
  <systemFields>
    <field name="Objective-Id">
      <value order="0">A4158618</value>
    </field>
    <field name="Objective-Title">
      <value order="0">2022-23 Q4 Report to Board (10 May 23) - Version to be published</value>
    </field>
    <field name="Objective-Description">
      <value order="0"/>
    </field>
    <field name="Objective-CreationStamp">
      <value order="0">2023-08-09T08:18:12Z</value>
    </field>
    <field name="Objective-IsApproved">
      <value order="0">false</value>
    </field>
    <field name="Objective-IsPublished">
      <value order="0">true</value>
    </field>
    <field name="Objective-DatePublished">
      <value order="0">2023-08-09T08:18:27Z</value>
    </field>
    <field name="Objective-ModificationStamp">
      <value order="0">2023-08-09T08:18:27Z</value>
    </field>
    <field name="Objective-Owner">
      <value order="0">Jacqueline Innes</value>
    </field>
    <field name="Objective-Path">
      <value order="0">Objective Global Folder:NatureScot Fileplan:MAN - Management:BP - Business Planning:PM - Performance Management:Performance on Corporate Plan - 2022-2026</value>
    </field>
    <field name="Objective-Parent">
      <value order="0">Performance on Corporate Plan - 2022-2026</value>
    </field>
    <field name="Objective-State">
      <value order="0">Published</value>
    </field>
    <field name="Objective-VersionId">
      <value order="0">vA7310077</value>
    </field>
    <field name="Objective-Version">
      <value order="0">1.0</value>
    </field>
    <field name="Objective-VersionNumber">
      <value order="0">1</value>
    </field>
    <field name="Objective-VersionComment">
      <value order="0"/>
    </field>
    <field name="Objective-FileNumber">
      <value order="0">qA175691</value>
    </field>
    <field name="Objective-Classification">
      <value order="0"/>
    </field>
    <field name="Objective-Caveats">
      <value order="0"/>
    </field>
  </systemFields>
  <catalogues>
    <catalogue name="Document Type Catalogue" type="type" ori="id:cA8">
      <field name="Objective-Date of Original">
        <value order="0"/>
      </field>
      <field name="Objective-Sensitivity Review Date">
        <value order="0"/>
      </field>
      <field name="Objective-FOI Exemption">
        <value order="0">Release</value>
      </field>
      <field name="Objective-DPA Exemption">
        <value order="0">Release</value>
      </field>
      <field name="Objective-EIR Exception">
        <value order="0">Release</value>
      </field>
      <field name="Objective-Justification">
        <value order="0"/>
      </field>
      <field name="Objective-Date of Request">
        <value order="0"/>
      </field>
      <field name="Objective-Date of Release">
        <value order="0"/>
      </field>
      <field name="Objective-FOI/EIR Disclosure Date">
        <value order="0"/>
      </field>
      <field name="Objective-FOI/EIR Dissemination Date">
        <value order="0"/>
      </field>
      <field name="Objective-FOI Release Details">
        <value order="0"/>
      </field>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5109E-2DDF-40CB-AC2B-FF9B10C90820}">
  <ds:schemaRefs>
    <ds:schemaRef ds:uri="http://www.objective.com/ecm/document/metadata/71FFD1B571BE2883E0537D20C80A46C7"/>
  </ds:schemaRefs>
</ds:datastoreItem>
</file>

<file path=customXml/itemProps2.xml><?xml version="1.0" encoding="utf-8"?>
<ds:datastoreItem xmlns:ds="http://schemas.openxmlformats.org/officeDocument/2006/customXml" ds:itemID="{0DCFD147-E00B-4D5D-A029-8094EBBD8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8993</Words>
  <Characters>48653</Characters>
  <Application>Microsoft Office Word</Application>
  <DocSecurity>0</DocSecurity>
  <Lines>1474</Lines>
  <Paragraphs>678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Shelley Rennie</dc:creator>
  <cp:lastModifiedBy>Suzanne Kilbane</cp:lastModifiedBy>
  <cp:revision>4</cp:revision>
  <dcterms:created xsi:type="dcterms:W3CDTF">2023-08-09T08:17:00Z</dcterms:created>
  <dcterms:modified xsi:type="dcterms:W3CDTF">2023-08-10T13:27:00Z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A4158618</vt:lpwstr>
  </property>
  <property fmtid="{D5CDD505-2E9C-101B-9397-08002B2CF9AE}" pid="4" name="Objective-Title">
    <vt:lpwstr>2022-23 Q4 Report to Board (10 May 23) - Version to be published</vt:lpwstr>
  </property>
  <property fmtid="{D5CDD505-2E9C-101B-9397-08002B2CF9AE}" pid="5" name="Objective-Comment">
    <vt:lpwstr/>
  </property>
  <property fmtid="{D5CDD505-2E9C-101B-9397-08002B2CF9AE}" pid="6" name="Objective-CreationStamp">
    <vt:filetime>2023-08-09T08:18:12Z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2023-08-09T08:18:27Z</vt:filetime>
  </property>
  <property fmtid="{D5CDD505-2E9C-101B-9397-08002B2CF9AE}" pid="10" name="Objective-ModificationStamp">
    <vt:filetime>2023-08-09T08:18:27Z</vt:filetime>
  </property>
  <property fmtid="{D5CDD505-2E9C-101B-9397-08002B2CF9AE}" pid="11" name="Objective-Owner">
    <vt:lpwstr>Jacqueline Innes</vt:lpwstr>
  </property>
  <property fmtid="{D5CDD505-2E9C-101B-9397-08002B2CF9AE}" pid="12" name="Objective-Path">
    <vt:lpwstr>Objective Global Folder:NatureScot Fileplan:MAN - Management:BP - Business Planning:PM - Performance Management:Performance on Corporate Plan - 2022-2026</vt:lpwstr>
  </property>
  <property fmtid="{D5CDD505-2E9C-101B-9397-08002B2CF9AE}" pid="13" name="Objective-Parent">
    <vt:lpwstr>Performance on Corporate Plan - 2022-2026</vt:lpwstr>
  </property>
  <property fmtid="{D5CDD505-2E9C-101B-9397-08002B2CF9AE}" pid="14" name="Objective-State">
    <vt:lpwstr>Published</vt:lpwstr>
  </property>
  <property fmtid="{D5CDD505-2E9C-101B-9397-08002B2CF9AE}" pid="15" name="Objective-Version">
    <vt:lpwstr>1.0</vt:lpwstr>
  </property>
  <property fmtid="{D5CDD505-2E9C-101B-9397-08002B2CF9AE}" pid="16" name="Objective-VersionNumber">
    <vt:r8>1</vt:r8>
  </property>
  <property fmtid="{D5CDD505-2E9C-101B-9397-08002B2CF9AE}" pid="17" name="Objective-VersionComment">
    <vt:lpwstr/>
  </property>
  <property fmtid="{D5CDD505-2E9C-101B-9397-08002B2CF9AE}" pid="18" name="Objective-FileNumber">
    <vt:lpwstr>qA175691</vt:lpwstr>
  </property>
  <property fmtid="{D5CDD505-2E9C-101B-9397-08002B2CF9AE}" pid="19" name="Objective-Classification">
    <vt:lpwstr/>
  </property>
  <property fmtid="{D5CDD505-2E9C-101B-9397-08002B2CF9AE}" pid="20" name="Objective-Caveats">
    <vt:lpwstr/>
  </property>
  <property fmtid="{D5CDD505-2E9C-101B-9397-08002B2CF9AE}" pid="21" name="Objective-Date of Original [system]">
    <vt:lpwstr/>
  </property>
  <property fmtid="{D5CDD505-2E9C-101B-9397-08002B2CF9AE}" pid="22" name="Objective-Sensitivity Review Date [system]">
    <vt:lpwstr/>
  </property>
  <property fmtid="{D5CDD505-2E9C-101B-9397-08002B2CF9AE}" pid="23" name="Objective-FOI Exemption [system]">
    <vt:lpwstr>Release</vt:lpwstr>
  </property>
  <property fmtid="{D5CDD505-2E9C-101B-9397-08002B2CF9AE}" pid="24" name="Objective-DPA Exemption [system]">
    <vt:lpwstr>Release</vt:lpwstr>
  </property>
  <property fmtid="{D5CDD505-2E9C-101B-9397-08002B2CF9AE}" pid="25" name="Objective-EIR Exception [system]">
    <vt:lpwstr>Release</vt:lpwstr>
  </property>
  <property fmtid="{D5CDD505-2E9C-101B-9397-08002B2CF9AE}" pid="26" name="Objective-Justification [system]">
    <vt:lpwstr/>
  </property>
  <property fmtid="{D5CDD505-2E9C-101B-9397-08002B2CF9AE}" pid="27" name="Objective-Date of Request [system]">
    <vt:lpwstr/>
  </property>
  <property fmtid="{D5CDD505-2E9C-101B-9397-08002B2CF9AE}" pid="28" name="Objective-Date of Release [system]">
    <vt:lpwstr/>
  </property>
  <property fmtid="{D5CDD505-2E9C-101B-9397-08002B2CF9AE}" pid="29" name="Objective-FOI/EIR Disclosure Date [system]">
    <vt:lpwstr/>
  </property>
  <property fmtid="{D5CDD505-2E9C-101B-9397-08002B2CF9AE}" pid="30" name="Objective-FOI/EIR Dissemination Date [system]">
    <vt:lpwstr/>
  </property>
  <property fmtid="{D5CDD505-2E9C-101B-9397-08002B2CF9AE}" pid="31" name="Objective-FOI Release Details [system]">
    <vt:lpwstr/>
  </property>
  <property fmtid="{D5CDD505-2E9C-101B-9397-08002B2CF9AE}" pid="32" name="Objective-Connect Creator [system]">
    <vt:lpwstr/>
  </property>
  <property fmtid="{D5CDD505-2E9C-101B-9397-08002B2CF9AE}" pid="33" name="Objective-Description">
    <vt:lpwstr/>
  </property>
  <property fmtid="{D5CDD505-2E9C-101B-9397-08002B2CF9AE}" pid="34" name="Objective-VersionId">
    <vt:lpwstr>vA7310077</vt:lpwstr>
  </property>
  <property fmtid="{D5CDD505-2E9C-101B-9397-08002B2CF9AE}" pid="35" name="Objective-EIR Exception">
    <vt:lpwstr>Release</vt:lpwstr>
  </property>
  <property fmtid="{D5CDD505-2E9C-101B-9397-08002B2CF9AE}" pid="36" name="Objective-FOI Exemption">
    <vt:lpwstr>Release</vt:lpwstr>
  </property>
  <property fmtid="{D5CDD505-2E9C-101B-9397-08002B2CF9AE}" pid="37" name="Objective-DPA Exemption">
    <vt:lpwstr>Release</vt:lpwstr>
  </property>
  <property fmtid="{D5CDD505-2E9C-101B-9397-08002B2CF9AE}" pid="38" name="Objective-Justification">
    <vt:lpwstr/>
  </property>
  <property fmtid="{D5CDD505-2E9C-101B-9397-08002B2CF9AE}" pid="39" name="Objective-Date of Original">
    <vt:lpwstr/>
  </property>
  <property fmtid="{D5CDD505-2E9C-101B-9397-08002B2CF9AE}" pid="40" name="Objective-Sensitivity Review Date">
    <vt:lpwstr/>
  </property>
  <property fmtid="{D5CDD505-2E9C-101B-9397-08002B2CF9AE}" pid="41" name="Objective-FOI/EIR Disclosure Date">
    <vt:lpwstr/>
  </property>
  <property fmtid="{D5CDD505-2E9C-101B-9397-08002B2CF9AE}" pid="42" name="Objective-Date of Release">
    <vt:lpwstr/>
  </property>
  <property fmtid="{D5CDD505-2E9C-101B-9397-08002B2CF9AE}" pid="43" name="Objective-FOI Release Details">
    <vt:lpwstr/>
  </property>
  <property fmtid="{D5CDD505-2E9C-101B-9397-08002B2CF9AE}" pid="44" name="Objective-FOI/EIR Dissemination Date">
    <vt:lpwstr/>
  </property>
  <property fmtid="{D5CDD505-2E9C-101B-9397-08002B2CF9AE}" pid="45" name="Objective-Connect Creator">
    <vt:lpwstr/>
  </property>
  <property fmtid="{D5CDD505-2E9C-101B-9397-08002B2CF9AE}" pid="46" name="Objective-Date of Request">
    <vt:lpwstr/>
  </property>
  <property fmtid="{D5CDD505-2E9C-101B-9397-08002B2CF9AE}" pid="47" name="GrammarlyDocumentId">
    <vt:lpwstr>194be7ddbbf9b99eb505da0db2a15a225a2a1786a9f57870506c4e8aabcccac3</vt:lpwstr>
  </property>
</Properties>
</file>