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723C" w14:textId="600857FD" w:rsidR="009306F8" w:rsidRPr="009306F8" w:rsidRDefault="00443DDD" w:rsidP="00443DDD">
      <w:pPr>
        <w:ind w:right="-308"/>
        <w:rPr>
          <w:b/>
        </w:rPr>
      </w:pPr>
      <w:bookmarkStart w:id="0" w:name="_GoBack"/>
      <w:bookmarkEnd w:id="0"/>
      <w:r>
        <w:rPr>
          <w:b/>
        </w:rPr>
        <w:t xml:space="preserve">National Park Commission - </w:t>
      </w:r>
      <w:r w:rsidR="006C0DEB">
        <w:rPr>
          <w:b/>
        </w:rPr>
        <w:t>SAG 5-</w:t>
      </w:r>
      <w:r w:rsidR="00F27A6B">
        <w:rPr>
          <w:b/>
        </w:rPr>
        <w:t>2</w:t>
      </w:r>
      <w:r w:rsidR="006C0DEB">
        <w:rPr>
          <w:b/>
        </w:rPr>
        <w:t xml:space="preserve"> </w:t>
      </w:r>
      <w:r>
        <w:rPr>
          <w:b/>
        </w:rPr>
        <w:t xml:space="preserve">- </w:t>
      </w:r>
      <w:r w:rsidR="006C0DEB">
        <w:rPr>
          <w:b/>
        </w:rPr>
        <w:t xml:space="preserve">Description of the approach to the </w:t>
      </w:r>
      <w:r w:rsidR="00F27A6B">
        <w:rPr>
          <w:b/>
        </w:rPr>
        <w:t xml:space="preserve">survey </w:t>
      </w:r>
      <w:r w:rsidR="006C0DEB">
        <w:rPr>
          <w:b/>
        </w:rPr>
        <w:t xml:space="preserve">analysis </w:t>
      </w:r>
    </w:p>
    <w:p w14:paraId="4045210B" w14:textId="6229D9E7" w:rsidR="009306F8" w:rsidRDefault="009306F8" w:rsidP="009121F4"/>
    <w:p w14:paraId="6E4FE10D" w14:textId="33165431" w:rsidR="006C0DEB" w:rsidRPr="006C0DEB" w:rsidRDefault="006C0DEB" w:rsidP="009121F4">
      <w:pPr>
        <w:rPr>
          <w:b/>
        </w:rPr>
      </w:pPr>
      <w:r w:rsidRPr="006C0DEB">
        <w:rPr>
          <w:b/>
        </w:rPr>
        <w:t>Purpose</w:t>
      </w:r>
    </w:p>
    <w:p w14:paraId="011BABAA" w14:textId="7D91BF65" w:rsidR="006C0DEB" w:rsidRDefault="006C0DEB" w:rsidP="009121F4"/>
    <w:p w14:paraId="5B687183" w14:textId="41D10164" w:rsidR="006C0DEB" w:rsidRPr="006C0DEB" w:rsidRDefault="006C0DEB" w:rsidP="009121F4">
      <w:pPr>
        <w:rPr>
          <w:b/>
        </w:rPr>
      </w:pPr>
      <w:r w:rsidRPr="006C0DEB">
        <w:rPr>
          <w:b/>
        </w:rPr>
        <w:t xml:space="preserve">This paper provides a description of the approach taken to the analysis of the consultation. </w:t>
      </w:r>
      <w:r w:rsidR="00326FB7">
        <w:rPr>
          <w:b/>
        </w:rPr>
        <w:t xml:space="preserve"> </w:t>
      </w:r>
      <w:r w:rsidRPr="006C0DEB">
        <w:rPr>
          <w:b/>
        </w:rPr>
        <w:t>SAG members are asked to note and comment on the paper.</w:t>
      </w:r>
    </w:p>
    <w:p w14:paraId="5ECD640D" w14:textId="77777777" w:rsidR="00443DDD" w:rsidRDefault="00443DDD" w:rsidP="009121F4"/>
    <w:p w14:paraId="27A35EDF" w14:textId="77777777" w:rsidR="00443DDD" w:rsidRDefault="00443DDD" w:rsidP="009121F4"/>
    <w:p w14:paraId="38CA3F6F" w14:textId="0EC778C6" w:rsidR="006C0DEB" w:rsidRDefault="006C0DEB" w:rsidP="009121F4">
      <w:pPr>
        <w:rPr>
          <w:i/>
        </w:rPr>
      </w:pPr>
      <w:r>
        <w:rPr>
          <w:i/>
        </w:rPr>
        <w:t>Overview</w:t>
      </w:r>
    </w:p>
    <w:p w14:paraId="15710425" w14:textId="77777777" w:rsidR="00443DDD" w:rsidRDefault="00443DDD" w:rsidP="009121F4">
      <w:pPr>
        <w:rPr>
          <w:i/>
        </w:rPr>
      </w:pPr>
    </w:p>
    <w:p w14:paraId="771E94D6" w14:textId="46264FA2" w:rsidR="000F35A4" w:rsidRDefault="001856CD" w:rsidP="005459F0">
      <w:pPr>
        <w:pStyle w:val="ListParagraph"/>
        <w:numPr>
          <w:ilvl w:val="0"/>
          <w:numId w:val="30"/>
        </w:numPr>
        <w:ind w:left="360"/>
      </w:pPr>
      <w:r w:rsidRPr="00E20C3B">
        <w:t>The consultation questions were hosted on the SmartSurvey platform.  W</w:t>
      </w:r>
      <w:r w:rsidR="0042706D" w:rsidRPr="00E20C3B">
        <w:t xml:space="preserve">e bought a licence for </w:t>
      </w:r>
      <w:r w:rsidR="00E20C3B">
        <w:t xml:space="preserve">four </w:t>
      </w:r>
      <w:r w:rsidRPr="00E20C3B">
        <w:t xml:space="preserve">months </w:t>
      </w:r>
      <w:r>
        <w:t xml:space="preserve">for the mid-range option, which enabled a wider range of question formats.  SmartSurvey made it easier for us to receive responses, and we could export the individual question responses to a master spreadsheet.   </w:t>
      </w:r>
    </w:p>
    <w:p w14:paraId="17033C3A" w14:textId="722A2993" w:rsidR="001856CD" w:rsidRDefault="001856CD" w:rsidP="005459F0"/>
    <w:p w14:paraId="5AD4E5D0" w14:textId="727C8580" w:rsidR="006C0DEB" w:rsidRDefault="006C0DEB" w:rsidP="005459F0">
      <w:pPr>
        <w:pStyle w:val="ListParagraph"/>
        <w:numPr>
          <w:ilvl w:val="0"/>
          <w:numId w:val="30"/>
        </w:numPr>
        <w:ind w:left="360"/>
      </w:pPr>
      <w:r>
        <w:t xml:space="preserve">The survey opened on </w:t>
      </w:r>
      <w:r w:rsidR="00121944">
        <w:t>6</w:t>
      </w:r>
      <w:r w:rsidR="00121944" w:rsidRPr="00121944">
        <w:rPr>
          <w:vertAlign w:val="superscript"/>
        </w:rPr>
        <w:t>th</w:t>
      </w:r>
      <w:r w:rsidR="00121944">
        <w:t xml:space="preserve"> Octo</w:t>
      </w:r>
      <w:r>
        <w:t>ber and was closed on Friday 2</w:t>
      </w:r>
      <w:r w:rsidRPr="009732B6">
        <w:rPr>
          <w:vertAlign w:val="superscript"/>
        </w:rPr>
        <w:t>nd</w:t>
      </w:r>
      <w:r>
        <w:t xml:space="preserve"> December, to allow for a few late responses</w:t>
      </w:r>
      <w:r w:rsidR="00443DDD">
        <w:t>,</w:t>
      </w:r>
      <w:r>
        <w:t xml:space="preserve"> which we </w:t>
      </w:r>
      <w:r w:rsidR="00E20C3B">
        <w:t xml:space="preserve">had been </w:t>
      </w:r>
      <w:r>
        <w:t>notified of</w:t>
      </w:r>
      <w:r w:rsidR="00443DDD">
        <w:t>, after the formal closing date of 30</w:t>
      </w:r>
      <w:r w:rsidR="00443DDD" w:rsidRPr="00443DDD">
        <w:rPr>
          <w:vertAlign w:val="superscript"/>
        </w:rPr>
        <w:t>th</w:t>
      </w:r>
      <w:r w:rsidR="00443DDD">
        <w:t xml:space="preserve"> November</w:t>
      </w:r>
      <w:r>
        <w:t>.  We received a small number of questions about filling</w:t>
      </w:r>
      <w:r w:rsidR="00C52A75">
        <w:t xml:space="preserve"> </w:t>
      </w:r>
      <w:r>
        <w:t>in the survey via the general mailbox</w:t>
      </w:r>
      <w:r w:rsidR="00405472">
        <w:t>,</w:t>
      </w:r>
      <w:r>
        <w:t xml:space="preserve"> which we addressed.</w:t>
      </w:r>
    </w:p>
    <w:p w14:paraId="5ED3389B" w14:textId="77777777" w:rsidR="006C0DEB" w:rsidRDefault="006C0DEB" w:rsidP="006C0DEB">
      <w:pPr>
        <w:pStyle w:val="ListParagraph"/>
      </w:pPr>
    </w:p>
    <w:p w14:paraId="30C09407" w14:textId="1727A13A" w:rsidR="000F35A4" w:rsidRDefault="001856CD" w:rsidP="005459F0">
      <w:pPr>
        <w:pStyle w:val="ListParagraph"/>
        <w:numPr>
          <w:ilvl w:val="0"/>
          <w:numId w:val="30"/>
        </w:numPr>
        <w:ind w:left="360"/>
      </w:pPr>
      <w:r>
        <w:t>The to</w:t>
      </w:r>
      <w:r w:rsidR="00BE44CD">
        <w:t xml:space="preserve">tal </w:t>
      </w:r>
      <w:r w:rsidR="006C0DEB">
        <w:t xml:space="preserve">number of responses </w:t>
      </w:r>
      <w:r w:rsidR="00980733">
        <w:t>submitt</w:t>
      </w:r>
      <w:r w:rsidR="006C0DEB">
        <w:t>ed was</w:t>
      </w:r>
      <w:r w:rsidR="00980733">
        <w:t xml:space="preserve"> </w:t>
      </w:r>
      <w:r w:rsidR="00A601D3">
        <w:t>2</w:t>
      </w:r>
      <w:r w:rsidR="007E70FC">
        <w:t>30</w:t>
      </w:r>
      <w:r>
        <w:t xml:space="preserve">.  </w:t>
      </w:r>
      <w:r w:rsidR="000F35A4">
        <w:t xml:space="preserve">Many more </w:t>
      </w:r>
      <w:r>
        <w:t xml:space="preserve">surveys (over 800) were </w:t>
      </w:r>
      <w:r w:rsidR="000C7787">
        <w:t xml:space="preserve">begun </w:t>
      </w:r>
      <w:r w:rsidR="000F35A4">
        <w:t xml:space="preserve">than </w:t>
      </w:r>
      <w:r w:rsidR="00980733">
        <w:t>submitted</w:t>
      </w:r>
      <w:r>
        <w:t xml:space="preserve">; </w:t>
      </w:r>
      <w:r w:rsidR="000C7787">
        <w:t xml:space="preserve">it was only on reading these that they were seen </w:t>
      </w:r>
      <w:r w:rsidR="00443DDD">
        <w:t xml:space="preserve">as </w:t>
      </w:r>
      <w:r w:rsidR="00980733" w:rsidRPr="00A601D3">
        <w:t xml:space="preserve">having </w:t>
      </w:r>
      <w:r w:rsidR="00BE44CD" w:rsidRPr="00980733">
        <w:t>been opened and viewed but not filled in</w:t>
      </w:r>
      <w:r w:rsidR="000F35A4" w:rsidRPr="00980733">
        <w:t>.</w:t>
      </w:r>
      <w:r w:rsidR="000C7787" w:rsidRPr="00980733">
        <w:t xml:space="preserve">  </w:t>
      </w:r>
      <w:r w:rsidR="00980733">
        <w:t xml:space="preserve">Twenty </w:t>
      </w:r>
      <w:r w:rsidR="009732B6">
        <w:t xml:space="preserve">respondents </w:t>
      </w:r>
      <w:r w:rsidR="00443DDD">
        <w:t xml:space="preserve">sent </w:t>
      </w:r>
      <w:r w:rsidR="009732B6">
        <w:t xml:space="preserve">narratives rather than </w:t>
      </w:r>
      <w:r w:rsidR="00443DDD">
        <w:t xml:space="preserve">replies </w:t>
      </w:r>
      <w:r w:rsidR="009732B6">
        <w:t>within the SmartSurvey format</w:t>
      </w:r>
      <w:r w:rsidR="00980733">
        <w:t xml:space="preserve">.  </w:t>
      </w:r>
      <w:r w:rsidR="006C0DEB">
        <w:t xml:space="preserve">These </w:t>
      </w:r>
      <w:r w:rsidR="00443DDD">
        <w:t xml:space="preserve">narratives </w:t>
      </w:r>
      <w:r w:rsidR="006C0DEB">
        <w:t>ranged from responses to all questions</w:t>
      </w:r>
      <w:r w:rsidR="00980733">
        <w:t>,</w:t>
      </w:r>
      <w:r w:rsidR="006C0DEB">
        <w:t xml:space="preserve"> through responses to some questions</w:t>
      </w:r>
      <w:r w:rsidR="00980733">
        <w:t>,</w:t>
      </w:r>
      <w:r w:rsidR="006C0DEB">
        <w:t xml:space="preserve"> to general observations or information</w:t>
      </w:r>
      <w:r w:rsidR="009732B6">
        <w:t>.</w:t>
      </w:r>
      <w:r w:rsidR="00980733">
        <w:t xml:space="preserve">  </w:t>
      </w:r>
      <w:r w:rsidR="006C0DEB">
        <w:t>To allow for ease of analysis, we allocated each point made in the general letters to a survey question, including Q3</w:t>
      </w:r>
      <w:r w:rsidR="00443DDD">
        <w:t>8</w:t>
      </w:r>
      <w:r w:rsidR="006C0DEB">
        <w:t xml:space="preserve"> (the catch-all question). </w:t>
      </w:r>
      <w:r w:rsidR="009732B6">
        <w:t xml:space="preserve"> </w:t>
      </w:r>
    </w:p>
    <w:p w14:paraId="50F904AC" w14:textId="7C352481" w:rsidR="000F35A4" w:rsidRDefault="000F35A4" w:rsidP="005459F0"/>
    <w:p w14:paraId="27E9E4C3" w14:textId="4EF25F5C" w:rsidR="000F35A4" w:rsidRDefault="000C7787" w:rsidP="005459F0">
      <w:pPr>
        <w:pStyle w:val="ListParagraph"/>
        <w:numPr>
          <w:ilvl w:val="0"/>
          <w:numId w:val="30"/>
        </w:numPr>
        <w:ind w:left="360"/>
      </w:pPr>
      <w:r>
        <w:t>All questions were q</w:t>
      </w:r>
      <w:r w:rsidR="000F35A4">
        <w:t>ualitative</w:t>
      </w:r>
      <w:r>
        <w:t xml:space="preserve">, with free text rather than tick boxes.  This provided </w:t>
      </w:r>
      <w:r w:rsidR="000F35A4">
        <w:t xml:space="preserve">richer </w:t>
      </w:r>
      <w:r>
        <w:t>information and more in-depth opinions but meant they were more difficult, and time-consuming,</w:t>
      </w:r>
      <w:r w:rsidR="000F35A4">
        <w:t xml:space="preserve"> to analyse.</w:t>
      </w:r>
    </w:p>
    <w:p w14:paraId="36A80717" w14:textId="5C999D1C" w:rsidR="000C7787" w:rsidRDefault="000C7787" w:rsidP="005459F0"/>
    <w:p w14:paraId="0C2D31A3" w14:textId="77777777" w:rsidR="00443DDD" w:rsidRDefault="00443DDD" w:rsidP="005459F0"/>
    <w:p w14:paraId="5EF32EC4" w14:textId="6664DB47" w:rsidR="000F35A4" w:rsidRDefault="000C7787" w:rsidP="005459F0">
      <w:pPr>
        <w:rPr>
          <w:i/>
        </w:rPr>
      </w:pPr>
      <w:r w:rsidRPr="005459F0">
        <w:rPr>
          <w:i/>
        </w:rPr>
        <w:t>Preparation for Analysis</w:t>
      </w:r>
    </w:p>
    <w:p w14:paraId="463D1626" w14:textId="77777777" w:rsidR="00443DDD" w:rsidRPr="005459F0" w:rsidRDefault="00443DDD" w:rsidP="005459F0">
      <w:pPr>
        <w:rPr>
          <w:i/>
        </w:rPr>
      </w:pPr>
    </w:p>
    <w:p w14:paraId="1D279F30" w14:textId="66670C75" w:rsidR="000C7787" w:rsidRPr="009306F8" w:rsidRDefault="000C7787" w:rsidP="005459F0">
      <w:pPr>
        <w:pStyle w:val="ListParagraph"/>
        <w:numPr>
          <w:ilvl w:val="0"/>
          <w:numId w:val="30"/>
        </w:numPr>
        <w:ind w:left="360"/>
      </w:pPr>
      <w:r w:rsidRPr="009306F8">
        <w:t>Th</w:t>
      </w:r>
      <w:r>
        <w:t xml:space="preserve">e analysis would be key to </w:t>
      </w:r>
      <w:r w:rsidRPr="009306F8">
        <w:t>help</w:t>
      </w:r>
      <w:r>
        <w:t xml:space="preserve"> NatureScot </w:t>
      </w:r>
      <w:r w:rsidRPr="009306F8">
        <w:t xml:space="preserve">write a robust, evidence-based report on the consultation.  </w:t>
      </w:r>
      <w:r>
        <w:t>Fundamentally, f</w:t>
      </w:r>
      <w:r w:rsidRPr="009306F8">
        <w:t xml:space="preserve">or each question, we particularly </w:t>
      </w:r>
      <w:r>
        <w:t xml:space="preserve">wished </w:t>
      </w:r>
      <w:r w:rsidRPr="009306F8">
        <w:t xml:space="preserve">to know: </w:t>
      </w:r>
    </w:p>
    <w:p w14:paraId="1412BBD9" w14:textId="06215393" w:rsidR="000C7787" w:rsidRPr="009306F8" w:rsidRDefault="000C7787" w:rsidP="005459F0">
      <w:pPr>
        <w:pStyle w:val="ListParagraph"/>
        <w:numPr>
          <w:ilvl w:val="0"/>
          <w:numId w:val="32"/>
        </w:numPr>
      </w:pPr>
      <w:r w:rsidRPr="009306F8">
        <w:t xml:space="preserve">Is there consensus on this issue?  </w:t>
      </w:r>
      <w:r>
        <w:t xml:space="preserve">and </w:t>
      </w:r>
    </w:p>
    <w:p w14:paraId="2DBD2B48" w14:textId="6C8D1DAC" w:rsidR="000C7787" w:rsidRPr="009306F8" w:rsidRDefault="000C7787" w:rsidP="005459F0">
      <w:pPr>
        <w:pStyle w:val="ListParagraph"/>
        <w:numPr>
          <w:ilvl w:val="0"/>
          <w:numId w:val="32"/>
        </w:numPr>
      </w:pPr>
      <w:r w:rsidRPr="009306F8">
        <w:t xml:space="preserve">What are the top three points </w:t>
      </w:r>
      <w:r w:rsidR="006C0DEB">
        <w:t xml:space="preserve">to report on and inform </w:t>
      </w:r>
      <w:r w:rsidRPr="009306F8">
        <w:t xml:space="preserve">our Advice to Ministers?  </w:t>
      </w:r>
    </w:p>
    <w:p w14:paraId="4D322C84" w14:textId="77777777" w:rsidR="000C7787" w:rsidRPr="009306F8" w:rsidRDefault="000C7787" w:rsidP="005459F0"/>
    <w:p w14:paraId="1D91757B" w14:textId="1B38A609" w:rsidR="000C7787" w:rsidRDefault="00CE51BC" w:rsidP="005459F0">
      <w:pPr>
        <w:pStyle w:val="ListParagraph"/>
        <w:numPr>
          <w:ilvl w:val="0"/>
          <w:numId w:val="30"/>
        </w:numPr>
        <w:ind w:left="360"/>
      </w:pPr>
      <w:r>
        <w:t>To enab</w:t>
      </w:r>
      <w:r w:rsidR="006C0DEB">
        <w:t>le the task to be completed quickly, we recruited an internal team of 10 people (8.6 FT</w:t>
      </w:r>
      <w:r w:rsidR="00443DDD">
        <w:t>E</w:t>
      </w:r>
      <w:r w:rsidR="006C0DEB">
        <w:t>) to r</w:t>
      </w:r>
      <w:r w:rsidR="000C7787">
        <w:t>eview</w:t>
      </w:r>
      <w:r w:rsidR="00E20C3B">
        <w:t xml:space="preserve"> </w:t>
      </w:r>
      <w:r w:rsidR="006C0DEB">
        <w:t xml:space="preserve">the </w:t>
      </w:r>
      <w:r w:rsidR="000C7787">
        <w:t>responses</w:t>
      </w:r>
      <w:r w:rsidR="006C0DEB">
        <w:t xml:space="preserve">, with each </w:t>
      </w:r>
      <w:r w:rsidR="00443DDD">
        <w:t xml:space="preserve">analyst </w:t>
      </w:r>
      <w:r w:rsidR="006C0DEB">
        <w:t>allocated a</w:t>
      </w:r>
      <w:r w:rsidR="00443DDD">
        <w:t xml:space="preserve">round four </w:t>
      </w:r>
      <w:r w:rsidR="006C0DEB">
        <w:t xml:space="preserve">questions. </w:t>
      </w:r>
      <w:r w:rsidR="00443DDD">
        <w:t xml:space="preserve"> </w:t>
      </w:r>
      <w:r w:rsidR="006C0DEB">
        <w:t>The following steps were taken to ensure efficiency and consistency in our approach</w:t>
      </w:r>
      <w:r w:rsidR="000C6374">
        <w:t>:</w:t>
      </w:r>
    </w:p>
    <w:p w14:paraId="1F12AD39" w14:textId="57208512" w:rsidR="000C7787" w:rsidRDefault="000C7787" w:rsidP="005459F0">
      <w:pPr>
        <w:pStyle w:val="ListParagraph"/>
        <w:numPr>
          <w:ilvl w:val="0"/>
          <w:numId w:val="33"/>
        </w:numPr>
      </w:pPr>
      <w:r>
        <w:t>Cod</w:t>
      </w:r>
      <w:r w:rsidR="000C6374">
        <w:t>ing of</w:t>
      </w:r>
      <w:r>
        <w:t xml:space="preserve"> all respondents</w:t>
      </w:r>
      <w:r w:rsidR="00443DDD">
        <w:t>:</w:t>
      </w:r>
      <w:r>
        <w:t xml:space="preserve"> numbered from 1-</w:t>
      </w:r>
      <w:r w:rsidR="00A601D3">
        <w:t>2</w:t>
      </w:r>
      <w:r w:rsidR="007E70FC">
        <w:t>30</w:t>
      </w:r>
      <w:r w:rsidR="00443DDD">
        <w:t>,</w:t>
      </w:r>
      <w:r>
        <w:t xml:space="preserve"> and </w:t>
      </w:r>
      <w:r w:rsidR="00CE51BC">
        <w:t xml:space="preserve">categorised as either </w:t>
      </w:r>
      <w:r>
        <w:t>individuals</w:t>
      </w:r>
      <w:r w:rsidR="00CE51BC">
        <w:t xml:space="preserve"> or types of </w:t>
      </w:r>
      <w:r>
        <w:t>organisations</w:t>
      </w:r>
      <w:r w:rsidR="00443DDD">
        <w:t xml:space="preserve"> -</w:t>
      </w:r>
      <w:r w:rsidR="00E20C3B">
        <w:t xml:space="preserve"> </w:t>
      </w:r>
      <w:r w:rsidR="00CE51BC">
        <w:t>as indicated in A</w:t>
      </w:r>
      <w:r>
        <w:t xml:space="preserve">nnex </w:t>
      </w:r>
      <w:r w:rsidR="00CE51BC">
        <w:t>1</w:t>
      </w:r>
      <w:r>
        <w:t xml:space="preserve">.  Allocation of codes was drafted and checked by three of the team.  </w:t>
      </w:r>
      <w:r w:rsidR="000C6374">
        <w:t xml:space="preserve">We received responses from all bar three categories of respondent (one of which was ‘other’).  Eight local authorities responded.  </w:t>
      </w:r>
    </w:p>
    <w:p w14:paraId="00E4EA91" w14:textId="1B5D01E6" w:rsidR="00AC4AB1" w:rsidRDefault="00AC4AB1" w:rsidP="005459F0">
      <w:pPr>
        <w:pStyle w:val="ListParagraph"/>
        <w:numPr>
          <w:ilvl w:val="0"/>
          <w:numId w:val="33"/>
        </w:numPr>
      </w:pPr>
      <w:r>
        <w:t>Provid</w:t>
      </w:r>
      <w:r w:rsidR="000C6374">
        <w:t>ing</w:t>
      </w:r>
      <w:r>
        <w:t xml:space="preserve"> a template table (see annex 2</w:t>
      </w:r>
      <w:r w:rsidR="00DD0039">
        <w:t>, page 5</w:t>
      </w:r>
      <w:r>
        <w:t>) and outline guidance on the process</w:t>
      </w:r>
      <w:r w:rsidR="006C0DEB">
        <w:t xml:space="preserve"> for each of the team, brief</w:t>
      </w:r>
      <w:r w:rsidR="00443DDD">
        <w:t xml:space="preserve">ing the team </w:t>
      </w:r>
      <w:r w:rsidR="006C0DEB">
        <w:t>and review</w:t>
      </w:r>
      <w:r w:rsidR="00443DDD">
        <w:t>ing</w:t>
      </w:r>
      <w:r w:rsidR="006C0DEB">
        <w:t xml:space="preserve"> progress at regular intervals</w:t>
      </w:r>
      <w:r>
        <w:t xml:space="preserve">.  </w:t>
      </w:r>
    </w:p>
    <w:p w14:paraId="29F35A4D" w14:textId="03FD8DB2" w:rsidR="000F35A4" w:rsidRDefault="000C7787" w:rsidP="005459F0">
      <w:pPr>
        <w:pStyle w:val="ListParagraph"/>
        <w:numPr>
          <w:ilvl w:val="0"/>
          <w:numId w:val="33"/>
        </w:numPr>
      </w:pPr>
      <w:r>
        <w:t>Provid</w:t>
      </w:r>
      <w:r w:rsidR="000C6374">
        <w:t>ing</w:t>
      </w:r>
      <w:r>
        <w:t xml:space="preserve"> response tables, tailored to each question, </w:t>
      </w:r>
      <w:r w:rsidR="006C0DEB">
        <w:t>to</w:t>
      </w:r>
      <w:r w:rsidR="00E20C3B">
        <w:t xml:space="preserve"> </w:t>
      </w:r>
      <w:r w:rsidR="006C0DEB">
        <w:t xml:space="preserve">provide </w:t>
      </w:r>
      <w:r>
        <w:t xml:space="preserve">a framework to fit the range of responses into, with scope for including quotes and other notes.  See annex 2 </w:t>
      </w:r>
      <w:r w:rsidR="00DD0039">
        <w:t xml:space="preserve">page 6 </w:t>
      </w:r>
      <w:r>
        <w:t xml:space="preserve">for an example of a full analysis table.  </w:t>
      </w:r>
    </w:p>
    <w:p w14:paraId="3F533984" w14:textId="524FEDA3" w:rsidR="000C7787" w:rsidRDefault="000C7787" w:rsidP="005459F0">
      <w:pPr>
        <w:pStyle w:val="ListParagraph"/>
        <w:numPr>
          <w:ilvl w:val="0"/>
          <w:numId w:val="33"/>
        </w:numPr>
      </w:pPr>
      <w:r>
        <w:lastRenderedPageBreak/>
        <w:t>Provid</w:t>
      </w:r>
      <w:r w:rsidR="000C6374">
        <w:t>ing</w:t>
      </w:r>
      <w:r>
        <w:t xml:space="preserve"> a summary response table, to help focus on the fundamental points on degree of consensus and the main emerging points.  These were the same for each question, to enable broad comparison across the survey results.  See annex 2 </w:t>
      </w:r>
      <w:r w:rsidR="00DD0039">
        <w:t xml:space="preserve">page 7 </w:t>
      </w:r>
      <w:r>
        <w:t xml:space="preserve">for the summary analysis table. </w:t>
      </w:r>
    </w:p>
    <w:p w14:paraId="6DC04D29" w14:textId="2A5EBA0A" w:rsidR="000F35A4" w:rsidRDefault="000F35A4" w:rsidP="005459F0"/>
    <w:p w14:paraId="0F13CB1B" w14:textId="77777777" w:rsidR="00443DDD" w:rsidRDefault="00443DDD" w:rsidP="005459F0"/>
    <w:p w14:paraId="77339FFA" w14:textId="78D2C063" w:rsidR="00AC4AB1" w:rsidRDefault="006C0DEB" w:rsidP="005459F0">
      <w:pPr>
        <w:rPr>
          <w:i/>
        </w:rPr>
      </w:pPr>
      <w:r>
        <w:rPr>
          <w:i/>
        </w:rPr>
        <w:t xml:space="preserve">Undertaking the </w:t>
      </w:r>
      <w:r w:rsidR="00AC4AB1" w:rsidRPr="005459F0">
        <w:rPr>
          <w:i/>
        </w:rPr>
        <w:t xml:space="preserve">Analysis </w:t>
      </w:r>
    </w:p>
    <w:p w14:paraId="482B9E8F" w14:textId="77777777" w:rsidR="00443DDD" w:rsidRPr="005459F0" w:rsidRDefault="00443DDD" w:rsidP="005459F0">
      <w:pPr>
        <w:rPr>
          <w:i/>
        </w:rPr>
      </w:pPr>
    </w:p>
    <w:p w14:paraId="5A99E9C2" w14:textId="59B1C4A3" w:rsidR="000C7787" w:rsidRDefault="006C0DEB" w:rsidP="005459F0">
      <w:pPr>
        <w:pStyle w:val="ListParagraph"/>
        <w:numPr>
          <w:ilvl w:val="0"/>
          <w:numId w:val="30"/>
        </w:numPr>
        <w:ind w:left="360"/>
      </w:pPr>
      <w:r>
        <w:t xml:space="preserve">The team commenced </w:t>
      </w:r>
      <w:r w:rsidR="00AC4AB1">
        <w:t>analysing the national park responses</w:t>
      </w:r>
      <w:r>
        <w:t xml:space="preserve"> on 4</w:t>
      </w:r>
      <w:r w:rsidRPr="006C0DEB">
        <w:rPr>
          <w:vertAlign w:val="superscript"/>
        </w:rPr>
        <w:t>th</w:t>
      </w:r>
      <w:r>
        <w:t xml:space="preserve"> December</w:t>
      </w:r>
      <w:r w:rsidR="00443DDD">
        <w:t>,</w:t>
      </w:r>
      <w:r>
        <w:t xml:space="preserve"> starting with responses from </w:t>
      </w:r>
      <w:r w:rsidR="00AC4AB1">
        <w:t>organisations</w:t>
      </w:r>
      <w:r>
        <w:t xml:space="preserve"> before moving on to individual responses. </w:t>
      </w:r>
      <w:r w:rsidR="00980733">
        <w:t xml:space="preserve"> </w:t>
      </w:r>
      <w:r>
        <w:t>T</w:t>
      </w:r>
      <w:r w:rsidR="00AC4AB1">
        <w:t>he summary analysis tables for organisations</w:t>
      </w:r>
      <w:r w:rsidRPr="006C0DEB">
        <w:t xml:space="preserve"> </w:t>
      </w:r>
      <w:r>
        <w:t>were finished</w:t>
      </w:r>
      <w:r w:rsidR="00AC4AB1">
        <w:t xml:space="preserve"> on the 13</w:t>
      </w:r>
      <w:r w:rsidR="00AC4AB1" w:rsidRPr="005459F0">
        <w:rPr>
          <w:vertAlign w:val="superscript"/>
        </w:rPr>
        <w:t>th</w:t>
      </w:r>
      <w:r w:rsidR="00AC4AB1">
        <w:t xml:space="preserve"> December</w:t>
      </w:r>
      <w:r>
        <w:t xml:space="preserve"> and we expect the analysis of all responses to be completed by </w:t>
      </w:r>
      <w:r w:rsidR="00AC4AB1">
        <w:t xml:space="preserve">the </w:t>
      </w:r>
      <w:r w:rsidR="00A601D3">
        <w:t>end of the year</w:t>
      </w:r>
      <w:r>
        <w:t>.</w:t>
      </w:r>
      <w:r w:rsidR="00AC4AB1">
        <w:t xml:space="preserve"> </w:t>
      </w:r>
    </w:p>
    <w:p w14:paraId="4E46D5F1" w14:textId="6A96FC35" w:rsidR="000C7787" w:rsidRDefault="000C7787" w:rsidP="005459F0"/>
    <w:p w14:paraId="6639E49E" w14:textId="4ECED2D9" w:rsidR="000F35A4" w:rsidRDefault="00AC4AB1" w:rsidP="005459F0">
      <w:pPr>
        <w:pStyle w:val="ListParagraph"/>
        <w:numPr>
          <w:ilvl w:val="0"/>
          <w:numId w:val="30"/>
        </w:numPr>
        <w:ind w:left="360"/>
      </w:pPr>
      <w:r>
        <w:t>Using the t</w:t>
      </w:r>
      <w:r w:rsidR="000F35A4">
        <w:t xml:space="preserve">ailored response tables </w:t>
      </w:r>
      <w:r>
        <w:t xml:space="preserve">helped with </w:t>
      </w:r>
      <w:r w:rsidR="000F35A4">
        <w:t xml:space="preserve">task management but </w:t>
      </w:r>
      <w:r>
        <w:t xml:space="preserve">meant </w:t>
      </w:r>
      <w:r w:rsidR="000F35A4">
        <w:t xml:space="preserve">some nuance </w:t>
      </w:r>
      <w:r>
        <w:t>c</w:t>
      </w:r>
      <w:r w:rsidR="000F35A4">
        <w:t>ould be lost.</w:t>
      </w:r>
      <w:r>
        <w:t xml:space="preserve">  Analysts could amend the response categories (by track changes)</w:t>
      </w:r>
      <w:r w:rsidR="000C6374">
        <w:t>; they were often added to in questions where further suggestions were invited, e.g. Q10 on other options for Parks’ aims</w:t>
      </w:r>
      <w:r w:rsidR="00A601D3">
        <w:t xml:space="preserve">. </w:t>
      </w:r>
      <w:r>
        <w:t xml:space="preserve"> </w:t>
      </w:r>
      <w:r w:rsidR="000C6374">
        <w:t>T</w:t>
      </w:r>
      <w:r w:rsidR="00980733">
        <w:t xml:space="preserve">here was </w:t>
      </w:r>
      <w:r w:rsidR="000C6374">
        <w:t xml:space="preserve">also </w:t>
      </w:r>
      <w:r>
        <w:t xml:space="preserve">room for quotes </w:t>
      </w:r>
      <w:r w:rsidR="00980733">
        <w:t>to</w:t>
      </w:r>
      <w:r>
        <w:t xml:space="preserve"> help retain particular points made</w:t>
      </w:r>
      <w:r w:rsidR="00980733">
        <w:t>,</w:t>
      </w:r>
      <w:r>
        <w:t xml:space="preserve"> and </w:t>
      </w:r>
      <w:r w:rsidR="000C6374">
        <w:t xml:space="preserve">provide </w:t>
      </w:r>
      <w:r>
        <w:t xml:space="preserve">a ‘flavour’ of the respondent’s opinion and/or strength of feeling.  </w:t>
      </w:r>
    </w:p>
    <w:p w14:paraId="6F7BB3E8" w14:textId="77777777" w:rsidR="00443DDD" w:rsidRDefault="00443DDD" w:rsidP="00443DDD">
      <w:pPr>
        <w:pStyle w:val="ListParagraph"/>
        <w:ind w:left="360"/>
      </w:pPr>
    </w:p>
    <w:p w14:paraId="7E2423CD" w14:textId="77777777" w:rsidR="00443DDD" w:rsidRDefault="00443DDD" w:rsidP="00443DDD">
      <w:pPr>
        <w:pStyle w:val="ListParagraph"/>
        <w:numPr>
          <w:ilvl w:val="0"/>
          <w:numId w:val="30"/>
        </w:numPr>
        <w:ind w:left="426" w:hanging="426"/>
      </w:pPr>
      <w:r>
        <w:t xml:space="preserve">The preparation of the summary tables helped analysists focus on the main issues raised, and enabled a comparison on general levels of consensus across different questions.  Transferring findings from the full, tailored analysis to the summary tables required judgement on the degree that each of the responses agreed, or not, with the question.  On questions where this judgement was complex, the analysts were encouraged to explain their rationale.  </w:t>
      </w:r>
    </w:p>
    <w:p w14:paraId="39C57460" w14:textId="3AD55900" w:rsidR="000F35A4" w:rsidRDefault="000F35A4" w:rsidP="00443DDD"/>
    <w:p w14:paraId="3BCE1ECF" w14:textId="132C79A8" w:rsidR="009732B6" w:rsidRDefault="00AC4AB1" w:rsidP="005459F0">
      <w:pPr>
        <w:pStyle w:val="ListParagraph"/>
        <w:numPr>
          <w:ilvl w:val="0"/>
          <w:numId w:val="30"/>
        </w:numPr>
        <w:ind w:left="360"/>
      </w:pPr>
      <w:r>
        <w:t>There was a start-up meeting with all analysts on 30</w:t>
      </w:r>
      <w:r w:rsidRPr="006C0DEB">
        <w:rPr>
          <w:vertAlign w:val="superscript"/>
        </w:rPr>
        <w:t>th</w:t>
      </w:r>
      <w:r>
        <w:t xml:space="preserve"> November to explain the process, talk through the guidance, and clarify any initial issues raised.  </w:t>
      </w:r>
      <w:r w:rsidR="006C0DEB">
        <w:t xml:space="preserve">A </w:t>
      </w:r>
      <w:r w:rsidR="000C6374">
        <w:t>progress</w:t>
      </w:r>
      <w:r w:rsidR="006C0DEB">
        <w:t xml:space="preserve"> meeting was held on the 5</w:t>
      </w:r>
      <w:r w:rsidR="006C0DEB" w:rsidRPr="006C0DEB">
        <w:rPr>
          <w:vertAlign w:val="superscript"/>
        </w:rPr>
        <w:t>th</w:t>
      </w:r>
      <w:r w:rsidR="006C0DEB">
        <w:t xml:space="preserve"> December once the team had started their task.</w:t>
      </w:r>
      <w:r w:rsidR="00E20C3B">
        <w:t xml:space="preserve"> </w:t>
      </w:r>
      <w:r w:rsidR="006C0DEB">
        <w:t xml:space="preserve"> </w:t>
      </w:r>
      <w:r w:rsidR="009732B6">
        <w:t xml:space="preserve">Several questions arose during the </w:t>
      </w:r>
      <w:r w:rsidR="00E20C3B">
        <w:t>analysis,</w:t>
      </w:r>
      <w:r w:rsidR="009732B6">
        <w:t xml:space="preserve"> answered amongst the analysts and by overseers</w:t>
      </w:r>
      <w:r w:rsidR="006C0DEB" w:rsidRPr="006C0DEB">
        <w:t xml:space="preserve"> </w:t>
      </w:r>
      <w:r w:rsidR="006C0DEB">
        <w:t>using Teams chat and email</w:t>
      </w:r>
      <w:r w:rsidR="009732B6">
        <w:t xml:space="preserve">.  The </w:t>
      </w:r>
      <w:r w:rsidR="006C0DEB">
        <w:t xml:space="preserve">discussion and </w:t>
      </w:r>
      <w:r w:rsidR="009732B6">
        <w:t>shar</w:t>
      </w:r>
      <w:r w:rsidR="006C0DEB">
        <w:t xml:space="preserve">ing of </w:t>
      </w:r>
      <w:r w:rsidR="009732B6">
        <w:t xml:space="preserve">answers helped </w:t>
      </w:r>
      <w:r w:rsidR="006C0DEB">
        <w:t xml:space="preserve">increase </w:t>
      </w:r>
      <w:r w:rsidR="009732B6">
        <w:t xml:space="preserve">consistency.  </w:t>
      </w:r>
      <w:r w:rsidR="000C6374">
        <w:t>A review meeting was held on 15</w:t>
      </w:r>
      <w:r w:rsidR="000C6374" w:rsidRPr="000C6374">
        <w:rPr>
          <w:vertAlign w:val="superscript"/>
        </w:rPr>
        <w:t>th</w:t>
      </w:r>
      <w:r w:rsidR="000C6374">
        <w:t xml:space="preserve"> December to ensure analysts were content with the draft overall findings</w:t>
      </w:r>
      <w:r w:rsidR="00443DDD">
        <w:t xml:space="preserve"> that were</w:t>
      </w:r>
      <w:r w:rsidR="000C6374">
        <w:t xml:space="preserve"> emerging from a review of the summary tables; and also to reflect</w:t>
      </w:r>
      <w:r w:rsidR="00A601D3">
        <w:t xml:space="preserve"> on the strengths and weaknesses</w:t>
      </w:r>
      <w:r w:rsidR="000C6374">
        <w:t xml:space="preserve"> o</w:t>
      </w:r>
      <w:r w:rsidR="00A601D3">
        <w:t>f</w:t>
      </w:r>
      <w:r w:rsidR="000C6374">
        <w:t xml:space="preserve"> the process.  </w:t>
      </w:r>
    </w:p>
    <w:p w14:paraId="1FE3CDAE" w14:textId="7DD55617" w:rsidR="00AC4AB1" w:rsidRDefault="00AC4AB1" w:rsidP="005459F0"/>
    <w:p w14:paraId="6769317F" w14:textId="6B124D73" w:rsidR="00443DDD" w:rsidRDefault="00443DDD" w:rsidP="005459F0"/>
    <w:p w14:paraId="4936FBDD" w14:textId="0C2FDE65" w:rsidR="00AC4AB1" w:rsidRDefault="009732B6" w:rsidP="005459F0">
      <w:pPr>
        <w:rPr>
          <w:i/>
        </w:rPr>
      </w:pPr>
      <w:r>
        <w:rPr>
          <w:i/>
        </w:rPr>
        <w:t xml:space="preserve">Planned review or QA </w:t>
      </w:r>
    </w:p>
    <w:p w14:paraId="23737B92" w14:textId="77777777" w:rsidR="00443DDD" w:rsidRPr="005459F0" w:rsidRDefault="00443DDD" w:rsidP="005459F0">
      <w:pPr>
        <w:rPr>
          <w:i/>
        </w:rPr>
      </w:pPr>
    </w:p>
    <w:p w14:paraId="2000EDCE" w14:textId="106C4298" w:rsidR="00AC4AB1" w:rsidRDefault="00AC4AB1" w:rsidP="005459F0">
      <w:pPr>
        <w:pStyle w:val="ListParagraph"/>
        <w:numPr>
          <w:ilvl w:val="0"/>
          <w:numId w:val="30"/>
        </w:numPr>
        <w:ind w:left="360"/>
      </w:pPr>
      <w:r>
        <w:t xml:space="preserve">A review of a sample set of full and summary responses </w:t>
      </w:r>
      <w:r w:rsidR="006C0DEB">
        <w:t>will take place prior to the publication of our advice</w:t>
      </w:r>
      <w:r>
        <w:t xml:space="preserve">.  </w:t>
      </w:r>
    </w:p>
    <w:p w14:paraId="24436A6E" w14:textId="5C4F1043" w:rsidR="006A323F" w:rsidRDefault="006A323F" w:rsidP="006A323F">
      <w:pPr>
        <w:pStyle w:val="ListParagraph"/>
        <w:ind w:left="360"/>
      </w:pPr>
    </w:p>
    <w:p w14:paraId="602FBF0B" w14:textId="77777777" w:rsidR="00443DDD" w:rsidRDefault="00443DDD" w:rsidP="006A323F">
      <w:pPr>
        <w:pStyle w:val="ListParagraph"/>
        <w:ind w:left="360"/>
      </w:pPr>
    </w:p>
    <w:p w14:paraId="5E00716B" w14:textId="353810BB" w:rsidR="006A323F" w:rsidRDefault="006A323F" w:rsidP="006A323F">
      <w:pPr>
        <w:rPr>
          <w:i/>
        </w:rPr>
      </w:pPr>
      <w:r w:rsidRPr="006A323F">
        <w:rPr>
          <w:i/>
        </w:rPr>
        <w:t xml:space="preserve">Initial reflections on the consultation </w:t>
      </w:r>
    </w:p>
    <w:p w14:paraId="42E69D31" w14:textId="77777777" w:rsidR="00443DDD" w:rsidRPr="00443DDD" w:rsidRDefault="00443DDD" w:rsidP="006A323F"/>
    <w:p w14:paraId="1AC3F190" w14:textId="5625C09D" w:rsidR="00A601D3" w:rsidRDefault="00A601D3" w:rsidP="005459F0">
      <w:pPr>
        <w:pStyle w:val="ListParagraph"/>
        <w:numPr>
          <w:ilvl w:val="0"/>
          <w:numId w:val="30"/>
        </w:numPr>
        <w:ind w:left="360"/>
      </w:pPr>
      <w:r>
        <w:t xml:space="preserve">The mix of organisations who responded was good, with only a few obvious </w:t>
      </w:r>
      <w:r w:rsidR="00F27A6B">
        <w:t xml:space="preserve">geographic or sector specific </w:t>
      </w:r>
      <w:r>
        <w:t>gaps in coverage (Orkney and Shetland Is</w:t>
      </w:r>
      <w:r w:rsidR="00F27A6B">
        <w:t xml:space="preserve">land </w:t>
      </w:r>
      <w:r>
        <w:t>authorities; economic agencies, national forestry bodies – though the la</w:t>
      </w:r>
      <w:r w:rsidR="00443DDD">
        <w:t>st</w:t>
      </w:r>
      <w:r>
        <w:t xml:space="preserve"> may be because they have contributed via the stakeholder group). </w:t>
      </w:r>
    </w:p>
    <w:p w14:paraId="37AFE6D9" w14:textId="77777777" w:rsidR="00A601D3" w:rsidRDefault="00A601D3" w:rsidP="00A601D3">
      <w:pPr>
        <w:pStyle w:val="ListParagraph"/>
        <w:ind w:left="360"/>
      </w:pPr>
    </w:p>
    <w:p w14:paraId="00DCEAF2" w14:textId="53BE807C" w:rsidR="00A601D3" w:rsidRDefault="006A323F" w:rsidP="00886C62">
      <w:pPr>
        <w:pStyle w:val="ListParagraph"/>
        <w:numPr>
          <w:ilvl w:val="0"/>
          <w:numId w:val="30"/>
        </w:numPr>
        <w:ind w:left="360"/>
      </w:pPr>
      <w:r>
        <w:t xml:space="preserve">The length of the questionnaire was probably off-putting (perhaps explaining </w:t>
      </w:r>
      <w:r w:rsidR="00A601D3">
        <w:t xml:space="preserve">in part </w:t>
      </w:r>
      <w:r>
        <w:t>the number of opened but not submitted responses).  It was also a complex survey, mixing questions on aspects like the aims and purpose of national parks and the nomination process</w:t>
      </w:r>
      <w:r w:rsidR="00A601D3">
        <w:t xml:space="preserve">. </w:t>
      </w:r>
      <w:r>
        <w:t xml:space="preserve">Embedding the questions within explanatory text also made it less than straightforward.  </w:t>
      </w:r>
      <w:r w:rsidR="00A601D3">
        <w:t xml:space="preserve">At the same time, we suspect that the separation of the information </w:t>
      </w:r>
      <w:r w:rsidR="00A601D3">
        <w:lastRenderedPageBreak/>
        <w:t>provided on the webpage (including the background paper on Scotland’s National Parks) from the survey form itself may have meant this material was drawn on less in preparing some of the responses than we would have intended.</w:t>
      </w:r>
    </w:p>
    <w:p w14:paraId="7466BBE1" w14:textId="77777777" w:rsidR="00A601D3" w:rsidRDefault="00A601D3" w:rsidP="00A601D3">
      <w:pPr>
        <w:pStyle w:val="ListParagraph"/>
      </w:pPr>
    </w:p>
    <w:p w14:paraId="63380311" w14:textId="6193DEF3" w:rsidR="001856CD" w:rsidRDefault="006A323F" w:rsidP="00886C62">
      <w:pPr>
        <w:pStyle w:val="ListParagraph"/>
        <w:numPr>
          <w:ilvl w:val="0"/>
          <w:numId w:val="30"/>
        </w:numPr>
        <w:ind w:left="360"/>
      </w:pPr>
      <w:r>
        <w:t xml:space="preserve">With more time, a more tested set of questions (tailored more to the eventual analysis), and a plain English version, could have been prepared.  That said, the number of responses, to what was flagged as a technical consultation, was good.  The answers and comments provided are probably broadly the same as a better survey would have elicited.  </w:t>
      </w:r>
      <w:r w:rsidR="00A601D3">
        <w:t xml:space="preserve">Perhaps most importantly, the survey seems to have been successful in </w:t>
      </w:r>
      <w:r>
        <w:t>find</w:t>
      </w:r>
      <w:r w:rsidR="00A601D3">
        <w:t>ing</w:t>
      </w:r>
      <w:r>
        <w:t xml:space="preserve"> out the full range of opinions on this issue at this stage of the process. </w:t>
      </w:r>
    </w:p>
    <w:p w14:paraId="4212DA17" w14:textId="7A83A1A7" w:rsidR="000F35A4" w:rsidRDefault="000F35A4" w:rsidP="009121F4"/>
    <w:p w14:paraId="4AA97012" w14:textId="77777777" w:rsidR="00A601D3" w:rsidRDefault="00A601D3" w:rsidP="009121F4">
      <w:pPr>
        <w:rPr>
          <w:b/>
        </w:rPr>
      </w:pPr>
    </w:p>
    <w:p w14:paraId="26DD7CFB" w14:textId="14F9B535" w:rsidR="005459F0" w:rsidRPr="006C0DEB" w:rsidRDefault="006C0DEB" w:rsidP="009121F4">
      <w:pPr>
        <w:rPr>
          <w:b/>
        </w:rPr>
      </w:pPr>
      <w:r w:rsidRPr="006C0DEB">
        <w:rPr>
          <w:b/>
        </w:rPr>
        <w:t>NatureScot</w:t>
      </w:r>
    </w:p>
    <w:p w14:paraId="6B268735" w14:textId="4AD3EBAD" w:rsidR="006C0DEB" w:rsidRPr="006C0DEB" w:rsidRDefault="006C0DEB" w:rsidP="009121F4">
      <w:pPr>
        <w:rPr>
          <w:b/>
        </w:rPr>
      </w:pPr>
      <w:r w:rsidRPr="006C0DEB">
        <w:rPr>
          <w:b/>
        </w:rPr>
        <w:t>December 2022</w:t>
      </w:r>
    </w:p>
    <w:p w14:paraId="557B9394" w14:textId="77777777" w:rsidR="009306F8" w:rsidRDefault="009306F8" w:rsidP="009121F4"/>
    <w:p w14:paraId="27354001" w14:textId="77777777" w:rsidR="00A601D3" w:rsidRDefault="00A601D3">
      <w:pPr>
        <w:spacing w:after="160" w:line="259" w:lineRule="auto"/>
        <w:rPr>
          <w:b/>
          <w:sz w:val="24"/>
          <w:szCs w:val="24"/>
        </w:rPr>
      </w:pPr>
      <w:r>
        <w:rPr>
          <w:b/>
          <w:sz w:val="24"/>
          <w:szCs w:val="24"/>
        </w:rPr>
        <w:br w:type="page"/>
      </w:r>
    </w:p>
    <w:p w14:paraId="64025A08" w14:textId="3E68B6C2" w:rsidR="00AC4AB1" w:rsidRDefault="00AC4AB1" w:rsidP="00AC4AB1">
      <w:pPr>
        <w:rPr>
          <w:b/>
          <w:sz w:val="24"/>
          <w:szCs w:val="24"/>
        </w:rPr>
      </w:pPr>
      <w:r w:rsidRPr="00AC4AB1">
        <w:rPr>
          <w:b/>
          <w:sz w:val="24"/>
          <w:szCs w:val="24"/>
        </w:rPr>
        <w:lastRenderedPageBreak/>
        <w:t>Annex 1</w:t>
      </w:r>
      <w:r w:rsidR="008458F2">
        <w:rPr>
          <w:b/>
          <w:sz w:val="24"/>
          <w:szCs w:val="24"/>
        </w:rPr>
        <w:t xml:space="preserve"> – Breakdown of r</w:t>
      </w:r>
      <w:r w:rsidRPr="00AC4AB1">
        <w:rPr>
          <w:b/>
          <w:sz w:val="24"/>
          <w:szCs w:val="24"/>
        </w:rPr>
        <w:t>espondents</w:t>
      </w:r>
      <w:r w:rsidR="008458F2">
        <w:rPr>
          <w:b/>
          <w:sz w:val="24"/>
          <w:szCs w:val="24"/>
        </w:rPr>
        <w:t xml:space="preserve"> </w:t>
      </w:r>
      <w:r w:rsidR="00F27A6B">
        <w:rPr>
          <w:b/>
          <w:sz w:val="24"/>
          <w:szCs w:val="24"/>
        </w:rPr>
        <w:t>(draft)</w:t>
      </w:r>
    </w:p>
    <w:p w14:paraId="6F3615DE" w14:textId="639AEE37" w:rsidR="008458F2" w:rsidRPr="00443DDD" w:rsidRDefault="008458F2" w:rsidP="00AC4AB1">
      <w:pPr>
        <w:rPr>
          <w:b/>
          <w:sz w:val="16"/>
          <w:szCs w:val="16"/>
        </w:rPr>
      </w:pPr>
    </w:p>
    <w:tbl>
      <w:tblPr>
        <w:tblStyle w:val="TableGrid"/>
        <w:tblW w:w="9493" w:type="dxa"/>
        <w:tblInd w:w="0" w:type="dxa"/>
        <w:tblLayout w:type="fixed"/>
        <w:tblLook w:val="04A0" w:firstRow="1" w:lastRow="0" w:firstColumn="1" w:lastColumn="0" w:noHBand="0" w:noVBand="1"/>
      </w:tblPr>
      <w:tblGrid>
        <w:gridCol w:w="2689"/>
        <w:gridCol w:w="708"/>
        <w:gridCol w:w="567"/>
        <w:gridCol w:w="5529"/>
      </w:tblGrid>
      <w:tr w:rsidR="008458F2" w:rsidRPr="00886052" w14:paraId="2D7C067A" w14:textId="77777777" w:rsidTr="00443DDD">
        <w:tc>
          <w:tcPr>
            <w:tcW w:w="2689" w:type="dxa"/>
          </w:tcPr>
          <w:p w14:paraId="6F2843C0" w14:textId="77777777" w:rsidR="008458F2" w:rsidRPr="008458F2" w:rsidRDefault="008458F2" w:rsidP="008458F2">
            <w:pPr>
              <w:rPr>
                <w:rFonts w:asciiTheme="majorHAnsi" w:hAnsiTheme="majorHAnsi" w:cstheme="majorHAnsi"/>
                <w:b/>
                <w:sz w:val="20"/>
                <w:szCs w:val="20"/>
              </w:rPr>
            </w:pPr>
            <w:r w:rsidRPr="008458F2">
              <w:rPr>
                <w:rFonts w:asciiTheme="majorHAnsi" w:hAnsiTheme="majorHAnsi" w:cstheme="majorHAnsi"/>
                <w:b/>
                <w:sz w:val="20"/>
                <w:szCs w:val="20"/>
              </w:rPr>
              <w:t>Code</w:t>
            </w:r>
          </w:p>
        </w:tc>
        <w:tc>
          <w:tcPr>
            <w:tcW w:w="708" w:type="dxa"/>
          </w:tcPr>
          <w:p w14:paraId="76BC135C" w14:textId="658F2467" w:rsidR="008458F2" w:rsidRPr="008458F2" w:rsidRDefault="008458F2" w:rsidP="008458F2">
            <w:pPr>
              <w:rPr>
                <w:rFonts w:asciiTheme="majorHAnsi" w:hAnsiTheme="majorHAnsi" w:cstheme="majorHAnsi"/>
                <w:b/>
                <w:sz w:val="20"/>
                <w:szCs w:val="20"/>
              </w:rPr>
            </w:pPr>
            <w:r>
              <w:rPr>
                <w:rFonts w:asciiTheme="majorHAnsi" w:hAnsiTheme="majorHAnsi" w:cstheme="majorHAnsi"/>
                <w:b/>
                <w:sz w:val="20"/>
                <w:szCs w:val="20"/>
              </w:rPr>
              <w:t>Total</w:t>
            </w:r>
          </w:p>
        </w:tc>
        <w:tc>
          <w:tcPr>
            <w:tcW w:w="567" w:type="dxa"/>
          </w:tcPr>
          <w:p w14:paraId="76235589" w14:textId="7471B39D" w:rsidR="008458F2" w:rsidRPr="008458F2" w:rsidRDefault="008458F2" w:rsidP="0063139C">
            <w:pPr>
              <w:jc w:val="center"/>
              <w:rPr>
                <w:rFonts w:asciiTheme="majorHAnsi" w:hAnsiTheme="majorHAnsi" w:cstheme="majorHAnsi"/>
                <w:b/>
                <w:sz w:val="20"/>
                <w:szCs w:val="20"/>
              </w:rPr>
            </w:pPr>
            <w:r>
              <w:rPr>
                <w:rFonts w:asciiTheme="majorHAnsi" w:hAnsiTheme="majorHAnsi" w:cstheme="majorHAnsi"/>
                <w:b/>
                <w:sz w:val="20"/>
                <w:szCs w:val="20"/>
              </w:rPr>
              <w:t>%</w:t>
            </w:r>
          </w:p>
        </w:tc>
        <w:tc>
          <w:tcPr>
            <w:tcW w:w="5529" w:type="dxa"/>
          </w:tcPr>
          <w:p w14:paraId="283FAA7B" w14:textId="55749FCD" w:rsidR="008458F2" w:rsidRPr="008458F2" w:rsidRDefault="008458F2" w:rsidP="008458F2">
            <w:pPr>
              <w:rPr>
                <w:rFonts w:asciiTheme="majorHAnsi" w:hAnsiTheme="majorHAnsi" w:cstheme="majorHAnsi"/>
                <w:b/>
                <w:sz w:val="20"/>
                <w:szCs w:val="20"/>
              </w:rPr>
            </w:pPr>
            <w:r w:rsidRPr="008458F2">
              <w:rPr>
                <w:rFonts w:asciiTheme="majorHAnsi" w:hAnsiTheme="majorHAnsi" w:cstheme="majorHAnsi"/>
                <w:b/>
                <w:sz w:val="20"/>
                <w:szCs w:val="20"/>
              </w:rPr>
              <w:t>Organisations</w:t>
            </w:r>
          </w:p>
        </w:tc>
      </w:tr>
      <w:tr w:rsidR="008458F2" w14:paraId="3AE35B15" w14:textId="77777777" w:rsidTr="00443DDD">
        <w:tc>
          <w:tcPr>
            <w:tcW w:w="2689" w:type="dxa"/>
          </w:tcPr>
          <w:p w14:paraId="7F3D6CEE" w14:textId="7439E16F"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Individuals</w:t>
            </w:r>
          </w:p>
        </w:tc>
        <w:tc>
          <w:tcPr>
            <w:tcW w:w="708" w:type="dxa"/>
          </w:tcPr>
          <w:p w14:paraId="7288D9B3" w14:textId="69C14AE8" w:rsidR="008458F2" w:rsidRPr="008458F2" w:rsidRDefault="008458F2" w:rsidP="008458F2">
            <w:pPr>
              <w:rPr>
                <w:rFonts w:asciiTheme="majorHAnsi" w:hAnsiTheme="majorHAnsi" w:cstheme="majorHAnsi"/>
                <w:sz w:val="20"/>
                <w:szCs w:val="20"/>
              </w:rPr>
            </w:pPr>
            <w:r>
              <w:rPr>
                <w:rFonts w:asciiTheme="majorHAnsi" w:hAnsiTheme="majorHAnsi" w:cstheme="majorHAnsi"/>
                <w:sz w:val="20"/>
                <w:szCs w:val="20"/>
              </w:rPr>
              <w:t>153</w:t>
            </w:r>
          </w:p>
        </w:tc>
        <w:tc>
          <w:tcPr>
            <w:tcW w:w="567" w:type="dxa"/>
          </w:tcPr>
          <w:p w14:paraId="2F11D66F" w14:textId="4A6B0617" w:rsidR="008458F2" w:rsidRPr="008458F2" w:rsidRDefault="00F27A6B" w:rsidP="0063139C">
            <w:pPr>
              <w:jc w:val="center"/>
              <w:rPr>
                <w:rFonts w:asciiTheme="majorHAnsi" w:hAnsiTheme="majorHAnsi" w:cstheme="majorHAnsi"/>
                <w:sz w:val="20"/>
                <w:szCs w:val="20"/>
              </w:rPr>
            </w:pPr>
            <w:r>
              <w:rPr>
                <w:rFonts w:asciiTheme="majorHAnsi" w:hAnsiTheme="majorHAnsi" w:cstheme="majorHAnsi"/>
                <w:sz w:val="20"/>
                <w:szCs w:val="20"/>
              </w:rPr>
              <w:t>67</w:t>
            </w:r>
          </w:p>
        </w:tc>
        <w:tc>
          <w:tcPr>
            <w:tcW w:w="5529" w:type="dxa"/>
          </w:tcPr>
          <w:p w14:paraId="07148FF5" w14:textId="44954F59" w:rsidR="008458F2" w:rsidRPr="008458F2" w:rsidRDefault="008458F2" w:rsidP="008458F2">
            <w:pPr>
              <w:rPr>
                <w:rFonts w:asciiTheme="majorHAnsi" w:hAnsiTheme="majorHAnsi" w:cstheme="majorHAnsi"/>
                <w:sz w:val="20"/>
                <w:szCs w:val="20"/>
              </w:rPr>
            </w:pPr>
          </w:p>
        </w:tc>
      </w:tr>
      <w:tr w:rsidR="008458F2" w14:paraId="400DEAA0" w14:textId="77777777" w:rsidTr="00443DDD">
        <w:tc>
          <w:tcPr>
            <w:tcW w:w="2689" w:type="dxa"/>
          </w:tcPr>
          <w:p w14:paraId="551D67FD" w14:textId="1B822A71"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Individual landowners/ managers/ factors</w:t>
            </w:r>
          </w:p>
        </w:tc>
        <w:tc>
          <w:tcPr>
            <w:tcW w:w="708" w:type="dxa"/>
          </w:tcPr>
          <w:p w14:paraId="642B3544"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2</w:t>
            </w:r>
          </w:p>
          <w:p w14:paraId="68A7622B" w14:textId="329278FB" w:rsidR="008458F2" w:rsidRPr="008458F2" w:rsidRDefault="008458F2" w:rsidP="008458F2">
            <w:pPr>
              <w:rPr>
                <w:rFonts w:asciiTheme="majorHAnsi" w:hAnsiTheme="majorHAnsi" w:cstheme="majorHAnsi"/>
                <w:sz w:val="20"/>
                <w:szCs w:val="20"/>
              </w:rPr>
            </w:pPr>
          </w:p>
        </w:tc>
        <w:tc>
          <w:tcPr>
            <w:tcW w:w="567" w:type="dxa"/>
          </w:tcPr>
          <w:p w14:paraId="1EA91503" w14:textId="0F010F9A"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1</w:t>
            </w:r>
          </w:p>
        </w:tc>
        <w:tc>
          <w:tcPr>
            <w:tcW w:w="5529" w:type="dxa"/>
          </w:tcPr>
          <w:p w14:paraId="2EBA66FE" w14:textId="542B136E"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Invercauld Estate,</w:t>
            </w:r>
            <w:r>
              <w:rPr>
                <w:rFonts w:asciiTheme="majorHAnsi" w:hAnsiTheme="majorHAnsi" w:cstheme="majorHAnsi"/>
                <w:sz w:val="20"/>
                <w:szCs w:val="20"/>
              </w:rPr>
              <w:t xml:space="preserve"> </w:t>
            </w:r>
            <w:r w:rsidRPr="008458F2">
              <w:rPr>
                <w:rFonts w:asciiTheme="majorHAnsi" w:hAnsiTheme="majorHAnsi" w:cstheme="majorHAnsi"/>
                <w:sz w:val="20"/>
                <w:szCs w:val="20"/>
              </w:rPr>
              <w:t>Dunecht Estates</w:t>
            </w:r>
          </w:p>
        </w:tc>
      </w:tr>
      <w:tr w:rsidR="008458F2" w14:paraId="32A74E08" w14:textId="77777777" w:rsidTr="00443DDD">
        <w:tc>
          <w:tcPr>
            <w:tcW w:w="2689" w:type="dxa"/>
          </w:tcPr>
          <w:p w14:paraId="161A5054" w14:textId="0A81DEF2"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Individual companies and businesses</w:t>
            </w:r>
          </w:p>
        </w:tc>
        <w:tc>
          <w:tcPr>
            <w:tcW w:w="708" w:type="dxa"/>
          </w:tcPr>
          <w:p w14:paraId="0A8857BF"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5</w:t>
            </w:r>
          </w:p>
          <w:p w14:paraId="2B9AFAD4" w14:textId="198EAC13" w:rsidR="008458F2" w:rsidRPr="008458F2" w:rsidRDefault="008458F2" w:rsidP="008458F2">
            <w:pPr>
              <w:rPr>
                <w:rFonts w:asciiTheme="majorHAnsi" w:hAnsiTheme="majorHAnsi" w:cstheme="majorHAnsi"/>
                <w:sz w:val="20"/>
                <w:szCs w:val="20"/>
              </w:rPr>
            </w:pPr>
          </w:p>
        </w:tc>
        <w:tc>
          <w:tcPr>
            <w:tcW w:w="567" w:type="dxa"/>
          </w:tcPr>
          <w:p w14:paraId="750674E3" w14:textId="7DEB9AC0"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2</w:t>
            </w:r>
          </w:p>
        </w:tc>
        <w:tc>
          <w:tcPr>
            <w:tcW w:w="5529" w:type="dxa"/>
          </w:tcPr>
          <w:p w14:paraId="428E077A" w14:textId="4A0612FE"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Scottish Power Renewables,</w:t>
            </w:r>
            <w:r>
              <w:rPr>
                <w:rFonts w:asciiTheme="majorHAnsi" w:hAnsiTheme="majorHAnsi" w:cstheme="majorHAnsi"/>
                <w:sz w:val="20"/>
                <w:szCs w:val="20"/>
              </w:rPr>
              <w:t xml:space="preserve"> </w:t>
            </w:r>
            <w:r w:rsidRPr="008458F2">
              <w:rPr>
                <w:rFonts w:asciiTheme="majorHAnsi" w:hAnsiTheme="majorHAnsi" w:cstheme="majorHAnsi"/>
                <w:sz w:val="20"/>
                <w:szCs w:val="20"/>
              </w:rPr>
              <w:t>SSE Renewables,</w:t>
            </w:r>
          </w:p>
          <w:p w14:paraId="6C5BB5B3" w14:textId="09CD1016"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RWE Renewables UK,</w:t>
            </w:r>
            <w:r>
              <w:rPr>
                <w:rFonts w:asciiTheme="majorHAnsi" w:hAnsiTheme="majorHAnsi" w:cstheme="majorHAnsi"/>
                <w:sz w:val="20"/>
                <w:szCs w:val="20"/>
              </w:rPr>
              <w:t xml:space="preserve"> </w:t>
            </w:r>
            <w:r w:rsidRPr="008458F2">
              <w:rPr>
                <w:rFonts w:asciiTheme="majorHAnsi" w:hAnsiTheme="majorHAnsi" w:cstheme="majorHAnsi"/>
                <w:sz w:val="20"/>
                <w:szCs w:val="20"/>
              </w:rPr>
              <w:t>EDF Renewables UK,</w:t>
            </w:r>
          </w:p>
          <w:p w14:paraId="15568133"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Scottish and Southern Electricity Networks</w:t>
            </w:r>
          </w:p>
        </w:tc>
      </w:tr>
      <w:tr w:rsidR="008458F2" w14:paraId="405F6C96" w14:textId="77777777" w:rsidTr="00443DDD">
        <w:tc>
          <w:tcPr>
            <w:tcW w:w="2689" w:type="dxa"/>
          </w:tcPr>
          <w:p w14:paraId="7DDC0F23" w14:textId="772A61E1"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Community councils and trusts</w:t>
            </w:r>
          </w:p>
        </w:tc>
        <w:tc>
          <w:tcPr>
            <w:tcW w:w="708" w:type="dxa"/>
          </w:tcPr>
          <w:p w14:paraId="7E3DB057"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1</w:t>
            </w:r>
          </w:p>
          <w:p w14:paraId="1FA2F8E9" w14:textId="5F11A557" w:rsidR="008458F2" w:rsidRPr="008458F2" w:rsidRDefault="008458F2" w:rsidP="008458F2">
            <w:pPr>
              <w:rPr>
                <w:rFonts w:asciiTheme="majorHAnsi" w:hAnsiTheme="majorHAnsi" w:cstheme="majorHAnsi"/>
                <w:sz w:val="20"/>
                <w:szCs w:val="20"/>
              </w:rPr>
            </w:pPr>
          </w:p>
        </w:tc>
        <w:tc>
          <w:tcPr>
            <w:tcW w:w="567" w:type="dxa"/>
          </w:tcPr>
          <w:p w14:paraId="273A5D49" w14:textId="6D2F0D6D" w:rsidR="008458F2" w:rsidRPr="008458F2" w:rsidRDefault="008458F2" w:rsidP="008458F2">
            <w:pPr>
              <w:jc w:val="center"/>
              <w:rPr>
                <w:rFonts w:asciiTheme="majorHAnsi" w:hAnsiTheme="majorHAnsi" w:cstheme="majorHAnsi"/>
                <w:sz w:val="20"/>
                <w:szCs w:val="20"/>
              </w:rPr>
            </w:pPr>
            <w:r>
              <w:rPr>
                <w:rFonts w:asciiTheme="majorHAnsi" w:hAnsiTheme="majorHAnsi" w:cstheme="majorHAnsi"/>
                <w:sz w:val="20"/>
                <w:szCs w:val="20"/>
              </w:rPr>
              <w:t>&gt;1</w:t>
            </w:r>
          </w:p>
        </w:tc>
        <w:tc>
          <w:tcPr>
            <w:tcW w:w="5529" w:type="dxa"/>
          </w:tcPr>
          <w:p w14:paraId="4A33CD7F" w14:textId="13BF26A6"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Strathglass Community Council</w:t>
            </w:r>
          </w:p>
        </w:tc>
      </w:tr>
      <w:tr w:rsidR="008458F2" w14:paraId="00760B6B" w14:textId="77777777" w:rsidTr="00443DDD">
        <w:tc>
          <w:tcPr>
            <w:tcW w:w="2689" w:type="dxa"/>
          </w:tcPr>
          <w:p w14:paraId="4406C178" w14:textId="5441A6FA"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Local authorities</w:t>
            </w:r>
          </w:p>
        </w:tc>
        <w:tc>
          <w:tcPr>
            <w:tcW w:w="708" w:type="dxa"/>
          </w:tcPr>
          <w:p w14:paraId="5238F222" w14:textId="6AAC9028" w:rsidR="008458F2" w:rsidRPr="008458F2" w:rsidRDefault="00F27A6B" w:rsidP="008458F2">
            <w:pPr>
              <w:rPr>
                <w:rFonts w:asciiTheme="majorHAnsi" w:hAnsiTheme="majorHAnsi" w:cstheme="majorHAnsi"/>
                <w:sz w:val="20"/>
                <w:szCs w:val="20"/>
              </w:rPr>
            </w:pPr>
            <w:r>
              <w:rPr>
                <w:rFonts w:asciiTheme="majorHAnsi" w:hAnsiTheme="majorHAnsi" w:cstheme="majorHAnsi"/>
                <w:sz w:val="20"/>
                <w:szCs w:val="20"/>
              </w:rPr>
              <w:t>9</w:t>
            </w:r>
          </w:p>
          <w:p w14:paraId="6DADDE83" w14:textId="34559DB5" w:rsidR="008458F2" w:rsidRPr="008458F2" w:rsidRDefault="008458F2" w:rsidP="008458F2">
            <w:pPr>
              <w:rPr>
                <w:rFonts w:asciiTheme="majorHAnsi" w:hAnsiTheme="majorHAnsi" w:cstheme="majorHAnsi"/>
                <w:sz w:val="20"/>
                <w:szCs w:val="20"/>
              </w:rPr>
            </w:pPr>
          </w:p>
        </w:tc>
        <w:tc>
          <w:tcPr>
            <w:tcW w:w="567" w:type="dxa"/>
          </w:tcPr>
          <w:p w14:paraId="40932977" w14:textId="1E279F11"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4</w:t>
            </w:r>
          </w:p>
        </w:tc>
        <w:tc>
          <w:tcPr>
            <w:tcW w:w="5529" w:type="dxa"/>
          </w:tcPr>
          <w:p w14:paraId="04515510" w14:textId="579F209A"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Dumfries and Galloway Council,</w:t>
            </w:r>
            <w:r>
              <w:rPr>
                <w:rFonts w:asciiTheme="majorHAnsi" w:hAnsiTheme="majorHAnsi" w:cstheme="majorHAnsi"/>
                <w:sz w:val="20"/>
                <w:szCs w:val="20"/>
              </w:rPr>
              <w:t xml:space="preserve"> </w:t>
            </w:r>
            <w:r w:rsidRPr="008458F2">
              <w:rPr>
                <w:rFonts w:asciiTheme="majorHAnsi" w:hAnsiTheme="majorHAnsi" w:cstheme="majorHAnsi"/>
                <w:sz w:val="20"/>
                <w:szCs w:val="20"/>
              </w:rPr>
              <w:t>Argyll &amp; Bute Council,</w:t>
            </w:r>
            <w:r>
              <w:rPr>
                <w:rFonts w:asciiTheme="majorHAnsi" w:hAnsiTheme="majorHAnsi" w:cstheme="majorHAnsi"/>
                <w:sz w:val="20"/>
                <w:szCs w:val="20"/>
              </w:rPr>
              <w:t xml:space="preserve"> </w:t>
            </w:r>
            <w:r w:rsidRPr="008458F2">
              <w:rPr>
                <w:rFonts w:asciiTheme="majorHAnsi" w:hAnsiTheme="majorHAnsi" w:cstheme="majorHAnsi"/>
                <w:sz w:val="20"/>
                <w:szCs w:val="20"/>
              </w:rPr>
              <w:t>South Lanarkshire Council,</w:t>
            </w:r>
            <w:r>
              <w:rPr>
                <w:rFonts w:asciiTheme="majorHAnsi" w:hAnsiTheme="majorHAnsi" w:cstheme="majorHAnsi"/>
                <w:sz w:val="20"/>
                <w:szCs w:val="20"/>
              </w:rPr>
              <w:t xml:space="preserve"> </w:t>
            </w:r>
            <w:r w:rsidRPr="008458F2">
              <w:rPr>
                <w:rFonts w:asciiTheme="majorHAnsi" w:hAnsiTheme="majorHAnsi" w:cstheme="majorHAnsi"/>
                <w:sz w:val="20"/>
                <w:szCs w:val="20"/>
              </w:rPr>
              <w:t>Aberdeenshire Council,</w:t>
            </w:r>
            <w:r>
              <w:rPr>
                <w:rFonts w:asciiTheme="majorHAnsi" w:hAnsiTheme="majorHAnsi" w:cstheme="majorHAnsi"/>
                <w:sz w:val="20"/>
                <w:szCs w:val="20"/>
              </w:rPr>
              <w:t xml:space="preserve"> </w:t>
            </w:r>
            <w:r w:rsidRPr="008458F2">
              <w:rPr>
                <w:rFonts w:asciiTheme="majorHAnsi" w:hAnsiTheme="majorHAnsi" w:cstheme="majorHAnsi"/>
                <w:sz w:val="20"/>
                <w:szCs w:val="20"/>
              </w:rPr>
              <w:t>Stirling Council,</w:t>
            </w:r>
            <w:r>
              <w:rPr>
                <w:rFonts w:asciiTheme="majorHAnsi" w:hAnsiTheme="majorHAnsi" w:cstheme="majorHAnsi"/>
                <w:sz w:val="20"/>
                <w:szCs w:val="20"/>
              </w:rPr>
              <w:t xml:space="preserve"> </w:t>
            </w:r>
            <w:r w:rsidRPr="008458F2">
              <w:rPr>
                <w:rFonts w:asciiTheme="majorHAnsi" w:hAnsiTheme="majorHAnsi" w:cstheme="majorHAnsi"/>
                <w:sz w:val="20"/>
                <w:szCs w:val="20"/>
              </w:rPr>
              <w:t>Perth &amp; Kinross Council,</w:t>
            </w:r>
          </w:p>
          <w:p w14:paraId="07DB3B13" w14:textId="2A70AFAB"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Eilean Siar Council,</w:t>
            </w:r>
            <w:r>
              <w:rPr>
                <w:rFonts w:asciiTheme="majorHAnsi" w:hAnsiTheme="majorHAnsi" w:cstheme="majorHAnsi"/>
                <w:sz w:val="20"/>
                <w:szCs w:val="20"/>
              </w:rPr>
              <w:t xml:space="preserve"> </w:t>
            </w:r>
            <w:r w:rsidRPr="008458F2">
              <w:rPr>
                <w:rFonts w:asciiTheme="majorHAnsi" w:hAnsiTheme="majorHAnsi" w:cstheme="majorHAnsi"/>
                <w:sz w:val="20"/>
                <w:szCs w:val="20"/>
              </w:rPr>
              <w:t>Borders Council</w:t>
            </w:r>
            <w:r>
              <w:rPr>
                <w:rFonts w:asciiTheme="majorHAnsi" w:hAnsiTheme="majorHAnsi" w:cstheme="majorHAnsi"/>
                <w:sz w:val="20"/>
                <w:szCs w:val="20"/>
              </w:rPr>
              <w:t xml:space="preserve">, </w:t>
            </w:r>
            <w:r w:rsidRPr="008458F2">
              <w:rPr>
                <w:rFonts w:asciiTheme="majorHAnsi" w:hAnsiTheme="majorHAnsi" w:cstheme="majorHAnsi"/>
                <w:sz w:val="20"/>
                <w:szCs w:val="20"/>
              </w:rPr>
              <w:t>Highland Council</w:t>
            </w:r>
          </w:p>
        </w:tc>
      </w:tr>
      <w:tr w:rsidR="008458F2" w14:paraId="59B300ED" w14:textId="77777777" w:rsidTr="00443DDD">
        <w:tc>
          <w:tcPr>
            <w:tcW w:w="2689" w:type="dxa"/>
          </w:tcPr>
          <w:p w14:paraId="6E490DA2" w14:textId="6413AA21"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MSP/MPs/Councillors</w:t>
            </w:r>
          </w:p>
        </w:tc>
        <w:tc>
          <w:tcPr>
            <w:tcW w:w="708" w:type="dxa"/>
          </w:tcPr>
          <w:p w14:paraId="039D035B"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0</w:t>
            </w:r>
          </w:p>
        </w:tc>
        <w:tc>
          <w:tcPr>
            <w:tcW w:w="567" w:type="dxa"/>
          </w:tcPr>
          <w:p w14:paraId="73A320D6" w14:textId="28D2AB37"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w:t>
            </w:r>
          </w:p>
        </w:tc>
        <w:tc>
          <w:tcPr>
            <w:tcW w:w="5529" w:type="dxa"/>
          </w:tcPr>
          <w:p w14:paraId="39966525" w14:textId="68AA9857" w:rsidR="008458F2" w:rsidRPr="008458F2" w:rsidRDefault="008458F2" w:rsidP="008458F2">
            <w:pPr>
              <w:rPr>
                <w:rFonts w:asciiTheme="majorHAnsi" w:hAnsiTheme="majorHAnsi" w:cstheme="majorHAnsi"/>
                <w:sz w:val="20"/>
                <w:szCs w:val="20"/>
              </w:rPr>
            </w:pPr>
          </w:p>
        </w:tc>
      </w:tr>
      <w:tr w:rsidR="008458F2" w14:paraId="656BC4B4" w14:textId="77777777" w:rsidTr="00443DDD">
        <w:tc>
          <w:tcPr>
            <w:tcW w:w="2689" w:type="dxa"/>
          </w:tcPr>
          <w:p w14:paraId="3E385091" w14:textId="51553F7B"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National Public Bodies</w:t>
            </w:r>
          </w:p>
        </w:tc>
        <w:tc>
          <w:tcPr>
            <w:tcW w:w="708" w:type="dxa"/>
          </w:tcPr>
          <w:p w14:paraId="1177A139" w14:textId="5E39B2EF" w:rsidR="008458F2" w:rsidRPr="008458F2" w:rsidRDefault="00F27A6B" w:rsidP="008458F2">
            <w:pPr>
              <w:rPr>
                <w:rFonts w:asciiTheme="majorHAnsi" w:hAnsiTheme="majorHAnsi" w:cstheme="majorHAnsi"/>
                <w:sz w:val="20"/>
                <w:szCs w:val="20"/>
              </w:rPr>
            </w:pPr>
            <w:r>
              <w:rPr>
                <w:rFonts w:asciiTheme="majorHAnsi" w:hAnsiTheme="majorHAnsi" w:cstheme="majorHAnsi"/>
                <w:sz w:val="20"/>
                <w:szCs w:val="20"/>
              </w:rPr>
              <w:t>10</w:t>
            </w:r>
          </w:p>
          <w:p w14:paraId="3570B351" w14:textId="3C5D6E68" w:rsidR="008458F2" w:rsidRPr="008458F2" w:rsidRDefault="008458F2" w:rsidP="008458F2">
            <w:pPr>
              <w:rPr>
                <w:rFonts w:asciiTheme="majorHAnsi" w:hAnsiTheme="majorHAnsi" w:cstheme="majorHAnsi"/>
                <w:sz w:val="20"/>
                <w:szCs w:val="20"/>
              </w:rPr>
            </w:pPr>
          </w:p>
        </w:tc>
        <w:tc>
          <w:tcPr>
            <w:tcW w:w="567" w:type="dxa"/>
          </w:tcPr>
          <w:p w14:paraId="44040BA9" w14:textId="2022CEF4"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4</w:t>
            </w:r>
          </w:p>
        </w:tc>
        <w:tc>
          <w:tcPr>
            <w:tcW w:w="5529" w:type="dxa"/>
          </w:tcPr>
          <w:p w14:paraId="4A14B353" w14:textId="22C4D3E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Scottish Water,</w:t>
            </w:r>
            <w:r>
              <w:rPr>
                <w:rFonts w:asciiTheme="majorHAnsi" w:hAnsiTheme="majorHAnsi" w:cstheme="majorHAnsi"/>
                <w:sz w:val="20"/>
                <w:szCs w:val="20"/>
              </w:rPr>
              <w:t xml:space="preserve"> </w:t>
            </w:r>
            <w:r w:rsidRPr="008458F2">
              <w:rPr>
                <w:rFonts w:asciiTheme="majorHAnsi" w:hAnsiTheme="majorHAnsi" w:cstheme="majorHAnsi"/>
                <w:sz w:val="20"/>
                <w:szCs w:val="20"/>
              </w:rPr>
              <w:t>Crown Estate Scotland,</w:t>
            </w:r>
            <w:r>
              <w:rPr>
                <w:rFonts w:asciiTheme="majorHAnsi" w:hAnsiTheme="majorHAnsi" w:cstheme="majorHAnsi"/>
                <w:sz w:val="20"/>
                <w:szCs w:val="20"/>
              </w:rPr>
              <w:t xml:space="preserve"> </w:t>
            </w:r>
            <w:r w:rsidRPr="008458F2">
              <w:rPr>
                <w:rFonts w:asciiTheme="majorHAnsi" w:hAnsiTheme="majorHAnsi" w:cstheme="majorHAnsi"/>
                <w:sz w:val="20"/>
                <w:szCs w:val="20"/>
              </w:rPr>
              <w:t>Architecture and Design Scotland,</w:t>
            </w:r>
            <w:r>
              <w:rPr>
                <w:rFonts w:asciiTheme="majorHAnsi" w:hAnsiTheme="majorHAnsi" w:cstheme="majorHAnsi"/>
                <w:sz w:val="20"/>
                <w:szCs w:val="20"/>
              </w:rPr>
              <w:t xml:space="preserve"> </w:t>
            </w:r>
            <w:r w:rsidRPr="008458F2">
              <w:rPr>
                <w:rFonts w:asciiTheme="majorHAnsi" w:hAnsiTheme="majorHAnsi" w:cstheme="majorHAnsi"/>
                <w:sz w:val="20"/>
                <w:szCs w:val="20"/>
              </w:rPr>
              <w:t>Historic Environment Scotland,</w:t>
            </w:r>
          </w:p>
          <w:p w14:paraId="6E1CE435" w14:textId="3228423B"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Loch Lomond and the Trossachs National Park Authority,</w:t>
            </w:r>
            <w:r>
              <w:rPr>
                <w:rFonts w:asciiTheme="majorHAnsi" w:hAnsiTheme="majorHAnsi" w:cstheme="majorHAnsi"/>
                <w:sz w:val="20"/>
                <w:szCs w:val="20"/>
              </w:rPr>
              <w:t xml:space="preserve"> </w:t>
            </w:r>
            <w:r w:rsidRPr="008458F2">
              <w:rPr>
                <w:rFonts w:asciiTheme="majorHAnsi" w:hAnsiTheme="majorHAnsi" w:cstheme="majorHAnsi"/>
                <w:sz w:val="20"/>
                <w:szCs w:val="20"/>
              </w:rPr>
              <w:t>Visit Scotland,</w:t>
            </w:r>
            <w:r>
              <w:rPr>
                <w:rFonts w:asciiTheme="majorHAnsi" w:hAnsiTheme="majorHAnsi" w:cstheme="majorHAnsi"/>
                <w:sz w:val="20"/>
                <w:szCs w:val="20"/>
              </w:rPr>
              <w:t xml:space="preserve"> </w:t>
            </w:r>
            <w:r w:rsidRPr="008458F2">
              <w:rPr>
                <w:rFonts w:asciiTheme="majorHAnsi" w:hAnsiTheme="majorHAnsi" w:cstheme="majorHAnsi"/>
                <w:sz w:val="20"/>
                <w:szCs w:val="20"/>
              </w:rPr>
              <w:t xml:space="preserve">Cairngorms National Park Authority, </w:t>
            </w:r>
            <w:r>
              <w:rPr>
                <w:rFonts w:asciiTheme="majorHAnsi" w:hAnsiTheme="majorHAnsi" w:cstheme="majorHAnsi"/>
                <w:sz w:val="20"/>
                <w:szCs w:val="20"/>
              </w:rPr>
              <w:t xml:space="preserve"> </w:t>
            </w:r>
            <w:r w:rsidRPr="008458F2">
              <w:rPr>
                <w:rFonts w:asciiTheme="majorHAnsi" w:hAnsiTheme="majorHAnsi" w:cstheme="majorHAnsi"/>
                <w:sz w:val="20"/>
                <w:szCs w:val="20"/>
              </w:rPr>
              <w:t>Bord na gaidhlig</w:t>
            </w:r>
            <w:r>
              <w:rPr>
                <w:rFonts w:asciiTheme="majorHAnsi" w:hAnsiTheme="majorHAnsi" w:cstheme="majorHAnsi"/>
                <w:sz w:val="20"/>
                <w:szCs w:val="20"/>
              </w:rPr>
              <w:t xml:space="preserve">, </w:t>
            </w:r>
            <w:r w:rsidRPr="008458F2">
              <w:rPr>
                <w:rFonts w:asciiTheme="majorHAnsi" w:hAnsiTheme="majorHAnsi" w:cstheme="majorHAnsi"/>
                <w:sz w:val="20"/>
                <w:szCs w:val="20"/>
              </w:rPr>
              <w:t>Skills Development Scotland</w:t>
            </w:r>
            <w:r>
              <w:rPr>
                <w:rFonts w:asciiTheme="majorHAnsi" w:hAnsiTheme="majorHAnsi" w:cstheme="majorHAnsi"/>
                <w:sz w:val="20"/>
                <w:szCs w:val="20"/>
              </w:rPr>
              <w:t xml:space="preserve">, </w:t>
            </w:r>
            <w:r w:rsidRPr="008458F2">
              <w:rPr>
                <w:rFonts w:asciiTheme="majorHAnsi" w:hAnsiTheme="majorHAnsi" w:cstheme="majorHAnsi"/>
                <w:sz w:val="20"/>
                <w:szCs w:val="20"/>
              </w:rPr>
              <w:t>Sportscotland</w:t>
            </w:r>
          </w:p>
        </w:tc>
      </w:tr>
      <w:tr w:rsidR="008458F2" w14:paraId="044BE8A1" w14:textId="77777777" w:rsidTr="00443DDD">
        <w:tc>
          <w:tcPr>
            <w:tcW w:w="2689" w:type="dxa"/>
          </w:tcPr>
          <w:p w14:paraId="54C7B3B3" w14:textId="12AF026D"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Regional/Local public bodies</w:t>
            </w:r>
          </w:p>
        </w:tc>
        <w:tc>
          <w:tcPr>
            <w:tcW w:w="708" w:type="dxa"/>
          </w:tcPr>
          <w:p w14:paraId="0C45C6C0"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0</w:t>
            </w:r>
          </w:p>
        </w:tc>
        <w:tc>
          <w:tcPr>
            <w:tcW w:w="567" w:type="dxa"/>
          </w:tcPr>
          <w:p w14:paraId="3991FB1E" w14:textId="2B380F03"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w:t>
            </w:r>
          </w:p>
        </w:tc>
        <w:tc>
          <w:tcPr>
            <w:tcW w:w="5529" w:type="dxa"/>
          </w:tcPr>
          <w:p w14:paraId="6BE67CBA" w14:textId="6A40232A" w:rsidR="008458F2" w:rsidRPr="008458F2" w:rsidRDefault="008458F2" w:rsidP="008458F2">
            <w:pPr>
              <w:rPr>
                <w:rFonts w:asciiTheme="majorHAnsi" w:hAnsiTheme="majorHAnsi" w:cstheme="majorHAnsi"/>
                <w:sz w:val="20"/>
                <w:szCs w:val="20"/>
              </w:rPr>
            </w:pPr>
          </w:p>
        </w:tc>
      </w:tr>
      <w:tr w:rsidR="008458F2" w14:paraId="183B08A6" w14:textId="77777777" w:rsidTr="00443DDD">
        <w:tc>
          <w:tcPr>
            <w:tcW w:w="2689" w:type="dxa"/>
          </w:tcPr>
          <w:p w14:paraId="71B159CB" w14:textId="281A12E2"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Land management interest groups</w:t>
            </w:r>
          </w:p>
        </w:tc>
        <w:tc>
          <w:tcPr>
            <w:tcW w:w="708" w:type="dxa"/>
          </w:tcPr>
          <w:p w14:paraId="3BCEC7D8" w14:textId="633B29D0" w:rsidR="008458F2" w:rsidRPr="008458F2" w:rsidRDefault="008458F2" w:rsidP="008458F2">
            <w:pPr>
              <w:rPr>
                <w:rFonts w:asciiTheme="majorHAnsi" w:hAnsiTheme="majorHAnsi" w:cstheme="majorHAnsi"/>
                <w:sz w:val="20"/>
                <w:szCs w:val="20"/>
              </w:rPr>
            </w:pPr>
            <w:r>
              <w:rPr>
                <w:rFonts w:asciiTheme="majorHAnsi" w:hAnsiTheme="majorHAnsi" w:cstheme="majorHAnsi"/>
                <w:sz w:val="20"/>
                <w:szCs w:val="20"/>
              </w:rPr>
              <w:t>6</w:t>
            </w:r>
          </w:p>
          <w:p w14:paraId="06D57021" w14:textId="774D8BA3" w:rsidR="008458F2" w:rsidRPr="008458F2" w:rsidRDefault="008458F2" w:rsidP="008458F2">
            <w:pPr>
              <w:rPr>
                <w:rFonts w:asciiTheme="majorHAnsi" w:hAnsiTheme="majorHAnsi" w:cstheme="majorHAnsi"/>
                <w:sz w:val="20"/>
                <w:szCs w:val="20"/>
              </w:rPr>
            </w:pPr>
          </w:p>
        </w:tc>
        <w:tc>
          <w:tcPr>
            <w:tcW w:w="567" w:type="dxa"/>
          </w:tcPr>
          <w:p w14:paraId="425F103D" w14:textId="35C0CB29"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2</w:t>
            </w:r>
          </w:p>
        </w:tc>
        <w:tc>
          <w:tcPr>
            <w:tcW w:w="5529" w:type="dxa"/>
          </w:tcPr>
          <w:p w14:paraId="0BD22751" w14:textId="73818591"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Scottish Gamekeepers Association,</w:t>
            </w:r>
            <w:r>
              <w:rPr>
                <w:rFonts w:asciiTheme="majorHAnsi" w:hAnsiTheme="majorHAnsi" w:cstheme="majorHAnsi"/>
                <w:sz w:val="20"/>
                <w:szCs w:val="20"/>
              </w:rPr>
              <w:t xml:space="preserve"> </w:t>
            </w:r>
            <w:r w:rsidRPr="008458F2">
              <w:rPr>
                <w:rFonts w:asciiTheme="majorHAnsi" w:hAnsiTheme="majorHAnsi" w:cstheme="majorHAnsi"/>
                <w:sz w:val="20"/>
                <w:szCs w:val="20"/>
              </w:rPr>
              <w:t>Scottish Land &amp; Estates,</w:t>
            </w:r>
            <w:r>
              <w:rPr>
                <w:rFonts w:asciiTheme="majorHAnsi" w:hAnsiTheme="majorHAnsi" w:cstheme="majorHAnsi"/>
                <w:sz w:val="20"/>
                <w:szCs w:val="20"/>
              </w:rPr>
              <w:t xml:space="preserve"> </w:t>
            </w:r>
            <w:r w:rsidRPr="008458F2">
              <w:rPr>
                <w:rFonts w:asciiTheme="majorHAnsi" w:hAnsiTheme="majorHAnsi" w:cstheme="majorHAnsi"/>
                <w:sz w:val="20"/>
                <w:szCs w:val="20"/>
              </w:rPr>
              <w:t>NFU Scotland,</w:t>
            </w:r>
            <w:r>
              <w:rPr>
                <w:rFonts w:asciiTheme="majorHAnsi" w:hAnsiTheme="majorHAnsi" w:cstheme="majorHAnsi"/>
                <w:sz w:val="20"/>
                <w:szCs w:val="20"/>
              </w:rPr>
              <w:t xml:space="preserve"> </w:t>
            </w:r>
            <w:r w:rsidRPr="008458F2">
              <w:rPr>
                <w:rFonts w:asciiTheme="majorHAnsi" w:hAnsiTheme="majorHAnsi" w:cstheme="majorHAnsi"/>
                <w:sz w:val="20"/>
                <w:szCs w:val="20"/>
              </w:rPr>
              <w:t>British Association for Shooting and Conservation,</w:t>
            </w:r>
            <w:r>
              <w:rPr>
                <w:rFonts w:asciiTheme="majorHAnsi" w:hAnsiTheme="majorHAnsi" w:cstheme="majorHAnsi"/>
                <w:sz w:val="20"/>
                <w:szCs w:val="20"/>
              </w:rPr>
              <w:t xml:space="preserve"> </w:t>
            </w:r>
            <w:r w:rsidRPr="008458F2">
              <w:rPr>
                <w:rFonts w:asciiTheme="majorHAnsi" w:hAnsiTheme="majorHAnsi" w:cstheme="majorHAnsi"/>
                <w:sz w:val="20"/>
                <w:szCs w:val="20"/>
              </w:rPr>
              <w:t>Confederation of Forest Industries,</w:t>
            </w:r>
            <w:r>
              <w:rPr>
                <w:rFonts w:asciiTheme="majorHAnsi" w:hAnsiTheme="majorHAnsi" w:cstheme="majorHAnsi"/>
                <w:sz w:val="20"/>
                <w:szCs w:val="20"/>
              </w:rPr>
              <w:t xml:space="preserve"> </w:t>
            </w:r>
            <w:r w:rsidRPr="008458F2">
              <w:rPr>
                <w:rFonts w:asciiTheme="majorHAnsi" w:hAnsiTheme="majorHAnsi" w:cstheme="majorHAnsi"/>
                <w:sz w:val="20"/>
                <w:szCs w:val="20"/>
              </w:rPr>
              <w:t>National Sheep Association</w:t>
            </w:r>
          </w:p>
        </w:tc>
      </w:tr>
      <w:tr w:rsidR="008458F2" w14:paraId="50A6D353" w14:textId="77777777" w:rsidTr="00443DDD">
        <w:tc>
          <w:tcPr>
            <w:tcW w:w="2689" w:type="dxa"/>
          </w:tcPr>
          <w:p w14:paraId="1FAAD068" w14:textId="62DBF56A"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Marine management interest groups</w:t>
            </w:r>
          </w:p>
        </w:tc>
        <w:tc>
          <w:tcPr>
            <w:tcW w:w="708" w:type="dxa"/>
          </w:tcPr>
          <w:p w14:paraId="7709EF5C"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2</w:t>
            </w:r>
          </w:p>
          <w:p w14:paraId="5330847F" w14:textId="54B353CC" w:rsidR="008458F2" w:rsidRPr="008458F2" w:rsidRDefault="008458F2" w:rsidP="008458F2">
            <w:pPr>
              <w:rPr>
                <w:rFonts w:asciiTheme="majorHAnsi" w:hAnsiTheme="majorHAnsi" w:cstheme="majorHAnsi"/>
                <w:sz w:val="20"/>
                <w:szCs w:val="20"/>
              </w:rPr>
            </w:pPr>
          </w:p>
        </w:tc>
        <w:tc>
          <w:tcPr>
            <w:tcW w:w="567" w:type="dxa"/>
          </w:tcPr>
          <w:p w14:paraId="6FB358DF" w14:textId="5BA2EC12"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1</w:t>
            </w:r>
          </w:p>
        </w:tc>
        <w:tc>
          <w:tcPr>
            <w:tcW w:w="5529" w:type="dxa"/>
          </w:tcPr>
          <w:p w14:paraId="51735593" w14:textId="653FB85A"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Berwickshire Marine Reserve,</w:t>
            </w:r>
            <w:r>
              <w:rPr>
                <w:rFonts w:asciiTheme="majorHAnsi" w:hAnsiTheme="majorHAnsi" w:cstheme="majorHAnsi"/>
                <w:sz w:val="20"/>
                <w:szCs w:val="20"/>
              </w:rPr>
              <w:t xml:space="preserve"> </w:t>
            </w:r>
            <w:r w:rsidRPr="008458F2">
              <w:rPr>
                <w:rFonts w:asciiTheme="majorHAnsi" w:hAnsiTheme="majorHAnsi" w:cstheme="majorHAnsi"/>
                <w:sz w:val="20"/>
                <w:szCs w:val="20"/>
              </w:rPr>
              <w:t>Blue Marine Foundation</w:t>
            </w:r>
          </w:p>
        </w:tc>
      </w:tr>
      <w:tr w:rsidR="008458F2" w14:paraId="399407A7" w14:textId="77777777" w:rsidTr="00443DDD">
        <w:tc>
          <w:tcPr>
            <w:tcW w:w="2689" w:type="dxa"/>
          </w:tcPr>
          <w:p w14:paraId="1F2324A1" w14:textId="7F79B58B"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Natural and cultural heritage interest groups</w:t>
            </w:r>
          </w:p>
        </w:tc>
        <w:tc>
          <w:tcPr>
            <w:tcW w:w="708" w:type="dxa"/>
          </w:tcPr>
          <w:p w14:paraId="2240E50B" w14:textId="725D9490" w:rsidR="008458F2" w:rsidRPr="008458F2" w:rsidRDefault="00F27A6B" w:rsidP="008458F2">
            <w:pPr>
              <w:rPr>
                <w:rFonts w:asciiTheme="majorHAnsi" w:hAnsiTheme="majorHAnsi" w:cstheme="majorHAnsi"/>
                <w:sz w:val="20"/>
                <w:szCs w:val="20"/>
              </w:rPr>
            </w:pPr>
            <w:r>
              <w:rPr>
                <w:rFonts w:asciiTheme="majorHAnsi" w:hAnsiTheme="majorHAnsi" w:cstheme="majorHAnsi"/>
                <w:sz w:val="20"/>
                <w:szCs w:val="20"/>
              </w:rPr>
              <w:t>24</w:t>
            </w:r>
          </w:p>
          <w:p w14:paraId="2E9FA573" w14:textId="04CB6EA0" w:rsidR="008458F2" w:rsidRPr="008458F2" w:rsidRDefault="008458F2" w:rsidP="008458F2">
            <w:pPr>
              <w:rPr>
                <w:rFonts w:asciiTheme="majorHAnsi" w:hAnsiTheme="majorHAnsi" w:cstheme="majorHAnsi"/>
                <w:sz w:val="20"/>
                <w:szCs w:val="20"/>
              </w:rPr>
            </w:pPr>
          </w:p>
        </w:tc>
        <w:tc>
          <w:tcPr>
            <w:tcW w:w="567" w:type="dxa"/>
          </w:tcPr>
          <w:p w14:paraId="1E7196A2" w14:textId="0FA091DA" w:rsidR="008458F2" w:rsidRPr="008458F2" w:rsidRDefault="00F27A6B" w:rsidP="0063139C">
            <w:pPr>
              <w:jc w:val="center"/>
              <w:rPr>
                <w:rFonts w:asciiTheme="majorHAnsi" w:hAnsiTheme="majorHAnsi" w:cstheme="majorHAnsi"/>
                <w:sz w:val="20"/>
                <w:szCs w:val="20"/>
              </w:rPr>
            </w:pPr>
            <w:r>
              <w:rPr>
                <w:rFonts w:asciiTheme="majorHAnsi" w:hAnsiTheme="majorHAnsi" w:cstheme="majorHAnsi"/>
                <w:sz w:val="20"/>
                <w:szCs w:val="20"/>
              </w:rPr>
              <w:t>10</w:t>
            </w:r>
          </w:p>
        </w:tc>
        <w:tc>
          <w:tcPr>
            <w:tcW w:w="5529" w:type="dxa"/>
          </w:tcPr>
          <w:p w14:paraId="1719E753" w14:textId="6959C77D"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Heart of Argyll Wildlife Organisation,</w:t>
            </w:r>
            <w:r>
              <w:rPr>
                <w:rFonts w:asciiTheme="majorHAnsi" w:hAnsiTheme="majorHAnsi" w:cstheme="majorHAnsi"/>
                <w:sz w:val="20"/>
                <w:szCs w:val="20"/>
              </w:rPr>
              <w:t xml:space="preserve"> </w:t>
            </w:r>
            <w:r w:rsidRPr="008458F2">
              <w:rPr>
                <w:rFonts w:asciiTheme="majorHAnsi" w:hAnsiTheme="majorHAnsi" w:cstheme="majorHAnsi"/>
                <w:sz w:val="20"/>
                <w:szCs w:val="20"/>
              </w:rPr>
              <w:t>Marine Concern &amp; Seal Scotland,</w:t>
            </w:r>
            <w:r>
              <w:rPr>
                <w:rFonts w:asciiTheme="majorHAnsi" w:hAnsiTheme="majorHAnsi" w:cstheme="majorHAnsi"/>
                <w:sz w:val="20"/>
                <w:szCs w:val="20"/>
              </w:rPr>
              <w:t xml:space="preserve"> </w:t>
            </w:r>
            <w:r w:rsidRPr="008458F2">
              <w:rPr>
                <w:rFonts w:asciiTheme="majorHAnsi" w:hAnsiTheme="majorHAnsi" w:cstheme="majorHAnsi"/>
                <w:sz w:val="20"/>
                <w:szCs w:val="20"/>
              </w:rPr>
              <w:t>Reforesting Scotland,</w:t>
            </w:r>
            <w:r>
              <w:rPr>
                <w:rFonts w:asciiTheme="majorHAnsi" w:hAnsiTheme="majorHAnsi" w:cstheme="majorHAnsi"/>
                <w:sz w:val="20"/>
                <w:szCs w:val="20"/>
              </w:rPr>
              <w:t xml:space="preserve"> </w:t>
            </w:r>
            <w:r w:rsidRPr="008458F2">
              <w:rPr>
                <w:rFonts w:asciiTheme="majorHAnsi" w:hAnsiTheme="majorHAnsi" w:cstheme="majorHAnsi"/>
                <w:sz w:val="20"/>
                <w:szCs w:val="20"/>
              </w:rPr>
              <w:t>Galloway National Park Association,</w:t>
            </w:r>
            <w:r>
              <w:rPr>
                <w:rFonts w:asciiTheme="majorHAnsi" w:hAnsiTheme="majorHAnsi" w:cstheme="majorHAnsi"/>
                <w:sz w:val="20"/>
                <w:szCs w:val="20"/>
              </w:rPr>
              <w:t xml:space="preserve"> </w:t>
            </w:r>
            <w:r w:rsidRPr="008458F2">
              <w:rPr>
                <w:rFonts w:asciiTheme="majorHAnsi" w:hAnsiTheme="majorHAnsi" w:cstheme="majorHAnsi"/>
                <w:sz w:val="20"/>
                <w:szCs w:val="20"/>
              </w:rPr>
              <w:t xml:space="preserve">Friends of Denmarkfield, </w:t>
            </w:r>
          </w:p>
          <w:p w14:paraId="11B57E90" w14:textId="52FB29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Trees for Life,</w:t>
            </w:r>
            <w:r>
              <w:rPr>
                <w:rFonts w:asciiTheme="majorHAnsi" w:hAnsiTheme="majorHAnsi" w:cstheme="majorHAnsi"/>
                <w:sz w:val="20"/>
                <w:szCs w:val="20"/>
              </w:rPr>
              <w:t xml:space="preserve"> </w:t>
            </w:r>
            <w:r w:rsidRPr="008458F2">
              <w:rPr>
                <w:rFonts w:asciiTheme="majorHAnsi" w:hAnsiTheme="majorHAnsi" w:cstheme="majorHAnsi"/>
                <w:sz w:val="20"/>
                <w:szCs w:val="20"/>
              </w:rPr>
              <w:t>Scottish Rewilding Alliance,</w:t>
            </w:r>
            <w:r>
              <w:rPr>
                <w:rFonts w:asciiTheme="majorHAnsi" w:hAnsiTheme="majorHAnsi" w:cstheme="majorHAnsi"/>
                <w:sz w:val="20"/>
                <w:szCs w:val="20"/>
              </w:rPr>
              <w:t xml:space="preserve"> </w:t>
            </w:r>
            <w:r w:rsidRPr="008458F2">
              <w:rPr>
                <w:rFonts w:asciiTheme="majorHAnsi" w:hAnsiTheme="majorHAnsi" w:cstheme="majorHAnsi"/>
                <w:sz w:val="20"/>
                <w:szCs w:val="20"/>
              </w:rPr>
              <w:t>Rewilding Britain,</w:t>
            </w:r>
            <w:r>
              <w:rPr>
                <w:rFonts w:asciiTheme="majorHAnsi" w:hAnsiTheme="majorHAnsi" w:cstheme="majorHAnsi"/>
                <w:sz w:val="20"/>
                <w:szCs w:val="20"/>
              </w:rPr>
              <w:t xml:space="preserve"> </w:t>
            </w:r>
            <w:r w:rsidRPr="008458F2">
              <w:rPr>
                <w:rFonts w:asciiTheme="majorHAnsi" w:hAnsiTheme="majorHAnsi" w:cstheme="majorHAnsi"/>
                <w:sz w:val="20"/>
                <w:szCs w:val="20"/>
              </w:rPr>
              <w:t>British Ecological Society,</w:t>
            </w:r>
            <w:r>
              <w:rPr>
                <w:rFonts w:asciiTheme="majorHAnsi" w:hAnsiTheme="majorHAnsi" w:cstheme="majorHAnsi"/>
                <w:sz w:val="20"/>
                <w:szCs w:val="20"/>
              </w:rPr>
              <w:t xml:space="preserve"> </w:t>
            </w:r>
            <w:r w:rsidRPr="008458F2">
              <w:rPr>
                <w:rFonts w:asciiTheme="majorHAnsi" w:hAnsiTheme="majorHAnsi" w:cstheme="majorHAnsi"/>
                <w:sz w:val="20"/>
                <w:szCs w:val="20"/>
              </w:rPr>
              <w:t>SCNP/ APRS,</w:t>
            </w:r>
            <w:r>
              <w:rPr>
                <w:rFonts w:asciiTheme="majorHAnsi" w:hAnsiTheme="majorHAnsi" w:cstheme="majorHAnsi"/>
                <w:sz w:val="20"/>
                <w:szCs w:val="20"/>
              </w:rPr>
              <w:t xml:space="preserve"> </w:t>
            </w:r>
            <w:r w:rsidRPr="008458F2">
              <w:rPr>
                <w:rFonts w:asciiTheme="majorHAnsi" w:hAnsiTheme="majorHAnsi" w:cstheme="majorHAnsi"/>
                <w:sz w:val="20"/>
                <w:szCs w:val="20"/>
              </w:rPr>
              <w:t>Green Action Trust,</w:t>
            </w:r>
            <w:r>
              <w:rPr>
                <w:rFonts w:asciiTheme="majorHAnsi" w:hAnsiTheme="majorHAnsi" w:cstheme="majorHAnsi"/>
                <w:sz w:val="20"/>
                <w:szCs w:val="20"/>
              </w:rPr>
              <w:t xml:space="preserve"> </w:t>
            </w:r>
            <w:r w:rsidRPr="008458F2">
              <w:rPr>
                <w:rFonts w:asciiTheme="majorHAnsi" w:hAnsiTheme="majorHAnsi" w:cstheme="majorHAnsi"/>
                <w:sz w:val="20"/>
                <w:szCs w:val="20"/>
              </w:rPr>
              <w:t>SE LINK,</w:t>
            </w:r>
            <w:r>
              <w:rPr>
                <w:rFonts w:asciiTheme="majorHAnsi" w:hAnsiTheme="majorHAnsi" w:cstheme="majorHAnsi"/>
                <w:sz w:val="20"/>
                <w:szCs w:val="20"/>
              </w:rPr>
              <w:t xml:space="preserve"> </w:t>
            </w:r>
            <w:r w:rsidRPr="008458F2">
              <w:rPr>
                <w:rFonts w:asciiTheme="majorHAnsi" w:hAnsiTheme="majorHAnsi" w:cstheme="majorHAnsi"/>
                <w:sz w:val="20"/>
                <w:szCs w:val="20"/>
              </w:rPr>
              <w:t>National Trust for Scotland,</w:t>
            </w:r>
            <w:r>
              <w:rPr>
                <w:rFonts w:asciiTheme="majorHAnsi" w:hAnsiTheme="majorHAnsi" w:cstheme="majorHAnsi"/>
                <w:sz w:val="20"/>
                <w:szCs w:val="20"/>
              </w:rPr>
              <w:t xml:space="preserve"> </w:t>
            </w:r>
            <w:r w:rsidRPr="008458F2">
              <w:rPr>
                <w:rFonts w:asciiTheme="majorHAnsi" w:hAnsiTheme="majorHAnsi" w:cstheme="majorHAnsi"/>
                <w:sz w:val="20"/>
                <w:szCs w:val="20"/>
              </w:rPr>
              <w:t>John Muir Trust,</w:t>
            </w:r>
            <w:r>
              <w:rPr>
                <w:rFonts w:asciiTheme="majorHAnsi" w:hAnsiTheme="majorHAnsi" w:cstheme="majorHAnsi"/>
                <w:sz w:val="20"/>
                <w:szCs w:val="20"/>
              </w:rPr>
              <w:t xml:space="preserve"> </w:t>
            </w:r>
            <w:r w:rsidRPr="008458F2">
              <w:rPr>
                <w:rFonts w:asciiTheme="majorHAnsi" w:hAnsiTheme="majorHAnsi" w:cstheme="majorHAnsi"/>
                <w:sz w:val="20"/>
                <w:szCs w:val="20"/>
              </w:rPr>
              <w:t>Scottish Badgers,</w:t>
            </w:r>
            <w:r>
              <w:rPr>
                <w:rFonts w:asciiTheme="majorHAnsi" w:hAnsiTheme="majorHAnsi" w:cstheme="majorHAnsi"/>
                <w:sz w:val="20"/>
                <w:szCs w:val="20"/>
              </w:rPr>
              <w:t xml:space="preserve"> </w:t>
            </w:r>
            <w:r w:rsidRPr="008458F2">
              <w:rPr>
                <w:rFonts w:asciiTheme="majorHAnsi" w:hAnsiTheme="majorHAnsi" w:cstheme="majorHAnsi"/>
                <w:sz w:val="20"/>
                <w:szCs w:val="20"/>
              </w:rPr>
              <w:t>Bug Life,</w:t>
            </w:r>
            <w:r>
              <w:rPr>
                <w:rFonts w:asciiTheme="majorHAnsi" w:hAnsiTheme="majorHAnsi" w:cstheme="majorHAnsi"/>
                <w:sz w:val="20"/>
                <w:szCs w:val="20"/>
              </w:rPr>
              <w:t xml:space="preserve"> </w:t>
            </w:r>
            <w:r w:rsidRPr="008458F2">
              <w:rPr>
                <w:rFonts w:asciiTheme="majorHAnsi" w:hAnsiTheme="majorHAnsi" w:cstheme="majorHAnsi"/>
                <w:sz w:val="20"/>
                <w:szCs w:val="20"/>
              </w:rPr>
              <w:t>REVIVE coalition for grouse moor reform,</w:t>
            </w:r>
            <w:r>
              <w:rPr>
                <w:rFonts w:asciiTheme="majorHAnsi" w:hAnsiTheme="majorHAnsi" w:cstheme="majorHAnsi"/>
                <w:sz w:val="20"/>
                <w:szCs w:val="20"/>
              </w:rPr>
              <w:t xml:space="preserve"> </w:t>
            </w:r>
            <w:r w:rsidRPr="008458F2">
              <w:rPr>
                <w:rFonts w:asciiTheme="majorHAnsi" w:hAnsiTheme="majorHAnsi" w:cstheme="majorHAnsi"/>
                <w:sz w:val="20"/>
                <w:szCs w:val="20"/>
              </w:rPr>
              <w:t>Europarc Atlantic Isles,</w:t>
            </w:r>
            <w:r>
              <w:rPr>
                <w:rFonts w:asciiTheme="majorHAnsi" w:hAnsiTheme="majorHAnsi" w:cstheme="majorHAnsi"/>
                <w:sz w:val="20"/>
                <w:szCs w:val="20"/>
              </w:rPr>
              <w:t xml:space="preserve"> </w:t>
            </w:r>
            <w:r w:rsidRPr="008458F2">
              <w:rPr>
                <w:rFonts w:asciiTheme="majorHAnsi" w:hAnsiTheme="majorHAnsi" w:cstheme="majorHAnsi"/>
                <w:sz w:val="20"/>
                <w:szCs w:val="20"/>
              </w:rPr>
              <w:t>Friends of Loch Lomond and the Trossachs,</w:t>
            </w:r>
            <w:r>
              <w:rPr>
                <w:rFonts w:asciiTheme="majorHAnsi" w:hAnsiTheme="majorHAnsi" w:cstheme="majorHAnsi"/>
                <w:sz w:val="20"/>
                <w:szCs w:val="20"/>
              </w:rPr>
              <w:t xml:space="preserve"> </w:t>
            </w:r>
            <w:r w:rsidRPr="008458F2">
              <w:rPr>
                <w:rFonts w:asciiTheme="majorHAnsi" w:hAnsiTheme="majorHAnsi" w:cstheme="majorHAnsi"/>
                <w:sz w:val="20"/>
                <w:szCs w:val="20"/>
              </w:rPr>
              <w:t>Campaign for a Scottish Borders National Park,</w:t>
            </w:r>
            <w:r>
              <w:rPr>
                <w:rFonts w:asciiTheme="majorHAnsi" w:hAnsiTheme="majorHAnsi" w:cstheme="majorHAnsi"/>
                <w:sz w:val="20"/>
                <w:szCs w:val="20"/>
              </w:rPr>
              <w:t xml:space="preserve"> </w:t>
            </w:r>
            <w:r w:rsidRPr="008458F2">
              <w:rPr>
                <w:rFonts w:asciiTheme="majorHAnsi" w:hAnsiTheme="majorHAnsi" w:cstheme="majorHAnsi"/>
                <w:sz w:val="20"/>
                <w:szCs w:val="20"/>
              </w:rPr>
              <w:t>Badenoch and Strathspey Conservation Group,</w:t>
            </w:r>
          </w:p>
          <w:p w14:paraId="1C31B25B" w14:textId="48200699"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Built Environment Forum Scotland,</w:t>
            </w:r>
            <w:r>
              <w:rPr>
                <w:rFonts w:asciiTheme="majorHAnsi" w:hAnsiTheme="majorHAnsi" w:cstheme="majorHAnsi"/>
                <w:sz w:val="20"/>
                <w:szCs w:val="20"/>
              </w:rPr>
              <w:t xml:space="preserve"> </w:t>
            </w:r>
            <w:r w:rsidRPr="008458F2">
              <w:rPr>
                <w:rFonts w:asciiTheme="majorHAnsi" w:hAnsiTheme="majorHAnsi" w:cstheme="majorHAnsi"/>
                <w:sz w:val="20"/>
                <w:szCs w:val="20"/>
              </w:rPr>
              <w:t xml:space="preserve">RSPB, </w:t>
            </w:r>
            <w:r>
              <w:rPr>
                <w:rFonts w:asciiTheme="majorHAnsi" w:hAnsiTheme="majorHAnsi" w:cstheme="majorHAnsi"/>
                <w:sz w:val="20"/>
                <w:szCs w:val="20"/>
              </w:rPr>
              <w:t xml:space="preserve"> Scottish Wildlife Trust </w:t>
            </w:r>
          </w:p>
        </w:tc>
      </w:tr>
      <w:tr w:rsidR="008458F2" w14:paraId="1F795104" w14:textId="77777777" w:rsidTr="00443DDD">
        <w:tc>
          <w:tcPr>
            <w:tcW w:w="2689" w:type="dxa"/>
          </w:tcPr>
          <w:p w14:paraId="4EC6690D" w14:textId="7DD99022"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Recreation and sporting interest groups</w:t>
            </w:r>
          </w:p>
        </w:tc>
        <w:tc>
          <w:tcPr>
            <w:tcW w:w="708" w:type="dxa"/>
          </w:tcPr>
          <w:p w14:paraId="51AFC999" w14:textId="2710C3FB"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7</w:t>
            </w:r>
          </w:p>
        </w:tc>
        <w:tc>
          <w:tcPr>
            <w:tcW w:w="567" w:type="dxa"/>
          </w:tcPr>
          <w:p w14:paraId="2667E873" w14:textId="4AAE5577"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3</w:t>
            </w:r>
          </w:p>
        </w:tc>
        <w:tc>
          <w:tcPr>
            <w:tcW w:w="5529" w:type="dxa"/>
          </w:tcPr>
          <w:p w14:paraId="43C9601F" w14:textId="235EB17E"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Royal Yachting Association Scotland,</w:t>
            </w:r>
            <w:r>
              <w:rPr>
                <w:rFonts w:asciiTheme="majorHAnsi" w:hAnsiTheme="majorHAnsi" w:cstheme="majorHAnsi"/>
                <w:sz w:val="20"/>
                <w:szCs w:val="20"/>
              </w:rPr>
              <w:t xml:space="preserve"> </w:t>
            </w:r>
            <w:r w:rsidRPr="008458F2">
              <w:rPr>
                <w:rFonts w:asciiTheme="majorHAnsi" w:hAnsiTheme="majorHAnsi" w:cstheme="majorHAnsi"/>
                <w:sz w:val="20"/>
                <w:szCs w:val="20"/>
              </w:rPr>
              <w:t>Sustrans Scotland,</w:t>
            </w:r>
            <w:r>
              <w:rPr>
                <w:rFonts w:asciiTheme="majorHAnsi" w:hAnsiTheme="majorHAnsi" w:cstheme="majorHAnsi"/>
                <w:sz w:val="20"/>
                <w:szCs w:val="20"/>
              </w:rPr>
              <w:t xml:space="preserve"> </w:t>
            </w:r>
            <w:r w:rsidRPr="008458F2">
              <w:rPr>
                <w:rFonts w:asciiTheme="majorHAnsi" w:hAnsiTheme="majorHAnsi" w:cstheme="majorHAnsi"/>
                <w:sz w:val="20"/>
                <w:szCs w:val="20"/>
              </w:rPr>
              <w:t>Intelligent Health,</w:t>
            </w:r>
            <w:r>
              <w:rPr>
                <w:rFonts w:asciiTheme="majorHAnsi" w:hAnsiTheme="majorHAnsi" w:cstheme="majorHAnsi"/>
                <w:sz w:val="20"/>
                <w:szCs w:val="20"/>
              </w:rPr>
              <w:t xml:space="preserve"> </w:t>
            </w:r>
            <w:r w:rsidRPr="008458F2">
              <w:rPr>
                <w:rFonts w:asciiTheme="majorHAnsi" w:hAnsiTheme="majorHAnsi" w:cstheme="majorHAnsi"/>
                <w:sz w:val="20"/>
                <w:szCs w:val="20"/>
              </w:rPr>
              <w:t>Mountaineering Scotland,</w:t>
            </w:r>
            <w:r>
              <w:rPr>
                <w:rFonts w:asciiTheme="majorHAnsi" w:hAnsiTheme="majorHAnsi" w:cstheme="majorHAnsi"/>
                <w:sz w:val="20"/>
                <w:szCs w:val="20"/>
              </w:rPr>
              <w:t xml:space="preserve"> </w:t>
            </w:r>
            <w:r w:rsidRPr="008458F2">
              <w:rPr>
                <w:rFonts w:asciiTheme="majorHAnsi" w:hAnsiTheme="majorHAnsi" w:cstheme="majorHAnsi"/>
                <w:sz w:val="20"/>
                <w:szCs w:val="20"/>
              </w:rPr>
              <w:t>Paths for All,</w:t>
            </w:r>
            <w:r>
              <w:rPr>
                <w:rFonts w:asciiTheme="majorHAnsi" w:hAnsiTheme="majorHAnsi" w:cstheme="majorHAnsi"/>
                <w:sz w:val="20"/>
                <w:szCs w:val="20"/>
              </w:rPr>
              <w:t xml:space="preserve"> </w:t>
            </w:r>
            <w:r w:rsidRPr="008458F2">
              <w:rPr>
                <w:rFonts w:asciiTheme="majorHAnsi" w:hAnsiTheme="majorHAnsi" w:cstheme="majorHAnsi"/>
                <w:sz w:val="20"/>
                <w:szCs w:val="20"/>
              </w:rPr>
              <w:t>Scot Ways,</w:t>
            </w:r>
            <w:r>
              <w:rPr>
                <w:rFonts w:asciiTheme="majorHAnsi" w:hAnsiTheme="majorHAnsi" w:cstheme="majorHAnsi"/>
                <w:sz w:val="20"/>
                <w:szCs w:val="20"/>
              </w:rPr>
              <w:t xml:space="preserve"> </w:t>
            </w:r>
            <w:r w:rsidRPr="008458F2">
              <w:rPr>
                <w:rFonts w:asciiTheme="majorHAnsi" w:hAnsiTheme="majorHAnsi" w:cstheme="majorHAnsi"/>
                <w:sz w:val="20"/>
                <w:szCs w:val="20"/>
              </w:rPr>
              <w:t>Adventurous Activities Industry Advisory Committee</w:t>
            </w:r>
          </w:p>
        </w:tc>
      </w:tr>
      <w:tr w:rsidR="008458F2" w14:paraId="76BB11FC" w14:textId="77777777" w:rsidTr="00443DDD">
        <w:tc>
          <w:tcPr>
            <w:tcW w:w="2689" w:type="dxa"/>
          </w:tcPr>
          <w:p w14:paraId="2206A6D8" w14:textId="43658C7C"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Social and economic interest groups</w:t>
            </w:r>
          </w:p>
        </w:tc>
        <w:tc>
          <w:tcPr>
            <w:tcW w:w="708" w:type="dxa"/>
          </w:tcPr>
          <w:p w14:paraId="743B80FC"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3</w:t>
            </w:r>
          </w:p>
          <w:p w14:paraId="29D03F8E" w14:textId="6A3FF851" w:rsidR="008458F2" w:rsidRPr="008458F2" w:rsidRDefault="008458F2" w:rsidP="008458F2">
            <w:pPr>
              <w:rPr>
                <w:rFonts w:asciiTheme="majorHAnsi" w:hAnsiTheme="majorHAnsi" w:cstheme="majorHAnsi"/>
                <w:sz w:val="20"/>
                <w:szCs w:val="20"/>
              </w:rPr>
            </w:pPr>
          </w:p>
        </w:tc>
        <w:tc>
          <w:tcPr>
            <w:tcW w:w="567" w:type="dxa"/>
          </w:tcPr>
          <w:p w14:paraId="60443CA2" w14:textId="12390B5F"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1</w:t>
            </w:r>
          </w:p>
        </w:tc>
        <w:tc>
          <w:tcPr>
            <w:tcW w:w="5529" w:type="dxa"/>
          </w:tcPr>
          <w:p w14:paraId="69016CE2" w14:textId="5F81EBE1"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Newton Stewart Initiative,</w:t>
            </w:r>
            <w:r>
              <w:rPr>
                <w:rFonts w:asciiTheme="majorHAnsi" w:hAnsiTheme="majorHAnsi" w:cstheme="majorHAnsi"/>
                <w:sz w:val="20"/>
                <w:szCs w:val="20"/>
              </w:rPr>
              <w:t xml:space="preserve"> </w:t>
            </w:r>
            <w:r w:rsidRPr="008458F2">
              <w:rPr>
                <w:rFonts w:asciiTheme="majorHAnsi" w:hAnsiTheme="majorHAnsi" w:cstheme="majorHAnsi"/>
                <w:sz w:val="20"/>
                <w:szCs w:val="20"/>
              </w:rPr>
              <w:t>Scottish Women's Convention,</w:t>
            </w:r>
            <w:r>
              <w:rPr>
                <w:rFonts w:asciiTheme="majorHAnsi" w:hAnsiTheme="majorHAnsi" w:cstheme="majorHAnsi"/>
                <w:sz w:val="20"/>
                <w:szCs w:val="20"/>
              </w:rPr>
              <w:t xml:space="preserve"> </w:t>
            </w:r>
            <w:r w:rsidRPr="008458F2">
              <w:rPr>
                <w:rFonts w:asciiTheme="majorHAnsi" w:hAnsiTheme="majorHAnsi" w:cstheme="majorHAnsi"/>
                <w:sz w:val="20"/>
                <w:szCs w:val="20"/>
              </w:rPr>
              <w:t>Scottish Renewables</w:t>
            </w:r>
          </w:p>
        </w:tc>
      </w:tr>
      <w:tr w:rsidR="008458F2" w14:paraId="36BE084F" w14:textId="77777777" w:rsidTr="00443DDD">
        <w:tc>
          <w:tcPr>
            <w:tcW w:w="2689" w:type="dxa"/>
          </w:tcPr>
          <w:p w14:paraId="06D1E055" w14:textId="60769A6B"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Professional bodies</w:t>
            </w:r>
          </w:p>
        </w:tc>
        <w:tc>
          <w:tcPr>
            <w:tcW w:w="708" w:type="dxa"/>
          </w:tcPr>
          <w:p w14:paraId="3C97C87D" w14:textId="5A7A3CB3" w:rsidR="008458F2" w:rsidRPr="008458F2" w:rsidRDefault="008458F2" w:rsidP="008458F2">
            <w:pPr>
              <w:rPr>
                <w:rFonts w:asciiTheme="majorHAnsi" w:hAnsiTheme="majorHAnsi" w:cstheme="majorHAnsi"/>
                <w:sz w:val="20"/>
                <w:szCs w:val="20"/>
              </w:rPr>
            </w:pPr>
            <w:r>
              <w:rPr>
                <w:rFonts w:asciiTheme="majorHAnsi" w:hAnsiTheme="majorHAnsi" w:cstheme="majorHAnsi"/>
                <w:sz w:val="20"/>
                <w:szCs w:val="20"/>
              </w:rPr>
              <w:t>6</w:t>
            </w:r>
          </w:p>
          <w:p w14:paraId="25F3494E" w14:textId="7D9B1A16" w:rsidR="008458F2" w:rsidRPr="008458F2" w:rsidRDefault="008458F2" w:rsidP="008458F2">
            <w:pPr>
              <w:rPr>
                <w:rFonts w:asciiTheme="majorHAnsi" w:hAnsiTheme="majorHAnsi" w:cstheme="majorHAnsi"/>
                <w:sz w:val="20"/>
                <w:szCs w:val="20"/>
              </w:rPr>
            </w:pPr>
          </w:p>
        </w:tc>
        <w:tc>
          <w:tcPr>
            <w:tcW w:w="567" w:type="dxa"/>
          </w:tcPr>
          <w:p w14:paraId="34AA8F51" w14:textId="4DB01705" w:rsidR="008458F2" w:rsidRPr="008458F2" w:rsidRDefault="008458F2" w:rsidP="008458F2">
            <w:pPr>
              <w:jc w:val="center"/>
              <w:rPr>
                <w:rFonts w:asciiTheme="majorHAnsi" w:hAnsiTheme="majorHAnsi" w:cstheme="majorHAnsi"/>
                <w:sz w:val="20"/>
                <w:szCs w:val="20"/>
              </w:rPr>
            </w:pPr>
            <w:r>
              <w:rPr>
                <w:rFonts w:asciiTheme="majorHAnsi" w:hAnsiTheme="majorHAnsi" w:cstheme="majorHAnsi"/>
                <w:sz w:val="20"/>
                <w:szCs w:val="20"/>
              </w:rPr>
              <w:t>3</w:t>
            </w:r>
          </w:p>
        </w:tc>
        <w:tc>
          <w:tcPr>
            <w:tcW w:w="5529" w:type="dxa"/>
          </w:tcPr>
          <w:p w14:paraId="75469B54" w14:textId="353ABC9B"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 xml:space="preserve">RoSPA, </w:t>
            </w:r>
            <w:r>
              <w:rPr>
                <w:rFonts w:asciiTheme="majorHAnsi" w:hAnsiTheme="majorHAnsi" w:cstheme="majorHAnsi"/>
                <w:sz w:val="20"/>
                <w:szCs w:val="20"/>
              </w:rPr>
              <w:t xml:space="preserve"> </w:t>
            </w:r>
            <w:r w:rsidRPr="008458F2">
              <w:rPr>
                <w:rFonts w:asciiTheme="majorHAnsi" w:hAnsiTheme="majorHAnsi" w:cstheme="majorHAnsi"/>
                <w:sz w:val="20"/>
                <w:szCs w:val="20"/>
              </w:rPr>
              <w:t>Chartered Institute for Archaeologists,</w:t>
            </w:r>
          </w:p>
          <w:p w14:paraId="1AA4D4FA" w14:textId="0BC26FB9"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CIEEM,</w:t>
            </w:r>
            <w:r>
              <w:rPr>
                <w:rFonts w:asciiTheme="majorHAnsi" w:hAnsiTheme="majorHAnsi" w:cstheme="majorHAnsi"/>
                <w:sz w:val="20"/>
                <w:szCs w:val="20"/>
              </w:rPr>
              <w:t xml:space="preserve"> </w:t>
            </w:r>
            <w:r w:rsidRPr="008458F2">
              <w:rPr>
                <w:rFonts w:asciiTheme="majorHAnsi" w:hAnsiTheme="majorHAnsi" w:cstheme="majorHAnsi"/>
                <w:sz w:val="20"/>
                <w:szCs w:val="20"/>
              </w:rPr>
              <w:t>The Royal Town Planning Institute Scotland,</w:t>
            </w:r>
          </w:p>
          <w:p w14:paraId="408B3005" w14:textId="4026507D"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Landscape Institute</w:t>
            </w:r>
            <w:r>
              <w:rPr>
                <w:rFonts w:asciiTheme="majorHAnsi" w:hAnsiTheme="majorHAnsi" w:cstheme="majorHAnsi"/>
                <w:sz w:val="20"/>
                <w:szCs w:val="20"/>
              </w:rPr>
              <w:t xml:space="preserve">, </w:t>
            </w:r>
            <w:r w:rsidRPr="008458F2">
              <w:rPr>
                <w:rFonts w:asciiTheme="majorHAnsi" w:hAnsiTheme="majorHAnsi" w:cstheme="majorHAnsi"/>
                <w:sz w:val="20"/>
                <w:szCs w:val="20"/>
              </w:rPr>
              <w:t>Scottish Countryside Rangers' Association</w:t>
            </w:r>
          </w:p>
        </w:tc>
      </w:tr>
      <w:tr w:rsidR="008458F2" w14:paraId="3B61914C" w14:textId="77777777" w:rsidTr="00443DDD">
        <w:tc>
          <w:tcPr>
            <w:tcW w:w="2689" w:type="dxa"/>
          </w:tcPr>
          <w:p w14:paraId="598FB7BF" w14:textId="70B0E30A"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Research/Academia/</w:t>
            </w:r>
            <w:r>
              <w:rPr>
                <w:rFonts w:asciiTheme="majorHAnsi" w:hAnsiTheme="majorHAnsi" w:cstheme="majorHAnsi"/>
                <w:sz w:val="20"/>
                <w:szCs w:val="20"/>
              </w:rPr>
              <w:t xml:space="preserve"> </w:t>
            </w:r>
            <w:r w:rsidRPr="008458F2">
              <w:rPr>
                <w:rFonts w:asciiTheme="majorHAnsi" w:hAnsiTheme="majorHAnsi" w:cstheme="majorHAnsi"/>
                <w:sz w:val="20"/>
                <w:szCs w:val="20"/>
              </w:rPr>
              <w:t>Academics</w:t>
            </w:r>
          </w:p>
        </w:tc>
        <w:tc>
          <w:tcPr>
            <w:tcW w:w="708" w:type="dxa"/>
          </w:tcPr>
          <w:p w14:paraId="7989083A"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0</w:t>
            </w:r>
          </w:p>
        </w:tc>
        <w:tc>
          <w:tcPr>
            <w:tcW w:w="567" w:type="dxa"/>
          </w:tcPr>
          <w:p w14:paraId="1FE86A5C" w14:textId="728A4373"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w:t>
            </w:r>
          </w:p>
        </w:tc>
        <w:tc>
          <w:tcPr>
            <w:tcW w:w="5529" w:type="dxa"/>
          </w:tcPr>
          <w:p w14:paraId="190DA437" w14:textId="0E48F4EA" w:rsidR="008458F2" w:rsidRPr="008458F2" w:rsidRDefault="008458F2" w:rsidP="008458F2">
            <w:pPr>
              <w:rPr>
                <w:rFonts w:asciiTheme="majorHAnsi" w:hAnsiTheme="majorHAnsi" w:cstheme="majorHAnsi"/>
                <w:sz w:val="20"/>
                <w:szCs w:val="20"/>
              </w:rPr>
            </w:pPr>
          </w:p>
        </w:tc>
      </w:tr>
      <w:tr w:rsidR="008458F2" w14:paraId="0E49B98B" w14:textId="77777777" w:rsidTr="00443DDD">
        <w:tc>
          <w:tcPr>
            <w:tcW w:w="2689" w:type="dxa"/>
          </w:tcPr>
          <w:p w14:paraId="5FAE1176" w14:textId="3B4D8F78"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Other</w:t>
            </w:r>
          </w:p>
        </w:tc>
        <w:tc>
          <w:tcPr>
            <w:tcW w:w="708" w:type="dxa"/>
          </w:tcPr>
          <w:p w14:paraId="33E0BEEC"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0</w:t>
            </w:r>
          </w:p>
        </w:tc>
        <w:tc>
          <w:tcPr>
            <w:tcW w:w="567" w:type="dxa"/>
          </w:tcPr>
          <w:p w14:paraId="1DD67981" w14:textId="7EB4B9AC"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w:t>
            </w:r>
          </w:p>
        </w:tc>
        <w:tc>
          <w:tcPr>
            <w:tcW w:w="5529" w:type="dxa"/>
          </w:tcPr>
          <w:p w14:paraId="50094285" w14:textId="32450B7D" w:rsidR="008458F2" w:rsidRPr="008458F2" w:rsidRDefault="008458F2" w:rsidP="008458F2">
            <w:pPr>
              <w:rPr>
                <w:rFonts w:asciiTheme="majorHAnsi" w:hAnsiTheme="majorHAnsi" w:cstheme="majorHAnsi"/>
                <w:sz w:val="20"/>
                <w:szCs w:val="20"/>
              </w:rPr>
            </w:pPr>
          </w:p>
        </w:tc>
      </w:tr>
      <w:tr w:rsidR="008458F2" w14:paraId="733D2C63" w14:textId="77777777" w:rsidTr="00443DDD">
        <w:tc>
          <w:tcPr>
            <w:tcW w:w="2689" w:type="dxa"/>
          </w:tcPr>
          <w:p w14:paraId="1C4BF4DB" w14:textId="6632F998" w:rsidR="008458F2" w:rsidRPr="008458F2" w:rsidRDefault="008458F2" w:rsidP="008458F2">
            <w:pPr>
              <w:pStyle w:val="ListParagraph"/>
              <w:numPr>
                <w:ilvl w:val="0"/>
                <w:numId w:val="35"/>
              </w:numPr>
              <w:rPr>
                <w:rFonts w:asciiTheme="majorHAnsi" w:hAnsiTheme="majorHAnsi" w:cstheme="majorHAnsi"/>
                <w:sz w:val="20"/>
                <w:szCs w:val="20"/>
              </w:rPr>
            </w:pPr>
            <w:r w:rsidRPr="008458F2">
              <w:rPr>
                <w:rFonts w:asciiTheme="majorHAnsi" w:hAnsiTheme="majorHAnsi" w:cstheme="majorHAnsi"/>
                <w:sz w:val="20"/>
                <w:szCs w:val="20"/>
              </w:rPr>
              <w:t>Outside Scotland</w:t>
            </w:r>
          </w:p>
        </w:tc>
        <w:tc>
          <w:tcPr>
            <w:tcW w:w="708" w:type="dxa"/>
          </w:tcPr>
          <w:p w14:paraId="28FD3F11" w14:textId="1DA9A30F" w:rsidR="008458F2" w:rsidRPr="008458F2" w:rsidRDefault="008458F2" w:rsidP="008458F2">
            <w:pPr>
              <w:rPr>
                <w:rFonts w:asciiTheme="majorHAnsi" w:hAnsiTheme="majorHAnsi" w:cstheme="majorHAnsi"/>
                <w:sz w:val="20"/>
                <w:szCs w:val="20"/>
              </w:rPr>
            </w:pPr>
            <w:r>
              <w:rPr>
                <w:rFonts w:asciiTheme="majorHAnsi" w:hAnsiTheme="majorHAnsi" w:cstheme="majorHAnsi"/>
                <w:sz w:val="20"/>
                <w:szCs w:val="20"/>
              </w:rPr>
              <w:t>2</w:t>
            </w:r>
          </w:p>
          <w:p w14:paraId="166929EC" w14:textId="4F21F567" w:rsidR="008458F2" w:rsidRPr="008458F2" w:rsidRDefault="008458F2" w:rsidP="008458F2">
            <w:pPr>
              <w:rPr>
                <w:rFonts w:asciiTheme="majorHAnsi" w:hAnsiTheme="majorHAnsi" w:cstheme="majorHAnsi"/>
                <w:sz w:val="20"/>
                <w:szCs w:val="20"/>
              </w:rPr>
            </w:pPr>
          </w:p>
        </w:tc>
        <w:tc>
          <w:tcPr>
            <w:tcW w:w="567" w:type="dxa"/>
          </w:tcPr>
          <w:p w14:paraId="42508828" w14:textId="3AB816B0" w:rsidR="008458F2" w:rsidRPr="008458F2" w:rsidRDefault="008458F2" w:rsidP="008458F2">
            <w:pPr>
              <w:jc w:val="center"/>
              <w:rPr>
                <w:rFonts w:asciiTheme="majorHAnsi" w:hAnsiTheme="majorHAnsi" w:cstheme="majorHAnsi"/>
                <w:sz w:val="20"/>
                <w:szCs w:val="20"/>
              </w:rPr>
            </w:pPr>
            <w:r>
              <w:rPr>
                <w:rFonts w:asciiTheme="majorHAnsi" w:hAnsiTheme="majorHAnsi" w:cstheme="majorHAnsi"/>
                <w:sz w:val="20"/>
                <w:szCs w:val="20"/>
              </w:rPr>
              <w:t>1</w:t>
            </w:r>
          </w:p>
        </w:tc>
        <w:tc>
          <w:tcPr>
            <w:tcW w:w="5529" w:type="dxa"/>
          </w:tcPr>
          <w:p w14:paraId="1DEAA072" w14:textId="77777777" w:rsid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 xml:space="preserve">Europarc Federation </w:t>
            </w:r>
          </w:p>
          <w:p w14:paraId="5B7A05CB" w14:textId="6D3B7B00"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Campaign for National Parks</w:t>
            </w:r>
          </w:p>
        </w:tc>
      </w:tr>
      <w:tr w:rsidR="008458F2" w14:paraId="6E25536D" w14:textId="77777777" w:rsidTr="00443DDD">
        <w:tc>
          <w:tcPr>
            <w:tcW w:w="2689" w:type="dxa"/>
          </w:tcPr>
          <w:p w14:paraId="0CDCC489" w14:textId="77777777" w:rsidR="008458F2" w:rsidRPr="008458F2" w:rsidRDefault="008458F2" w:rsidP="008458F2">
            <w:pPr>
              <w:rPr>
                <w:rFonts w:asciiTheme="majorHAnsi" w:hAnsiTheme="majorHAnsi" w:cstheme="majorHAnsi"/>
                <w:sz w:val="20"/>
                <w:szCs w:val="20"/>
              </w:rPr>
            </w:pPr>
            <w:r w:rsidRPr="008458F2">
              <w:rPr>
                <w:rFonts w:asciiTheme="majorHAnsi" w:hAnsiTheme="majorHAnsi" w:cstheme="majorHAnsi"/>
                <w:sz w:val="20"/>
                <w:szCs w:val="20"/>
              </w:rPr>
              <w:t>Total</w:t>
            </w:r>
          </w:p>
        </w:tc>
        <w:tc>
          <w:tcPr>
            <w:tcW w:w="708" w:type="dxa"/>
          </w:tcPr>
          <w:p w14:paraId="0C6C64E9" w14:textId="326776E1" w:rsidR="008458F2" w:rsidRPr="008458F2" w:rsidRDefault="008458F2" w:rsidP="008458F2">
            <w:pPr>
              <w:rPr>
                <w:rFonts w:asciiTheme="majorHAnsi" w:hAnsiTheme="majorHAnsi" w:cstheme="majorHAnsi"/>
                <w:sz w:val="20"/>
                <w:szCs w:val="20"/>
              </w:rPr>
            </w:pPr>
            <w:r>
              <w:rPr>
                <w:rFonts w:asciiTheme="majorHAnsi" w:hAnsiTheme="majorHAnsi" w:cstheme="majorHAnsi"/>
                <w:sz w:val="20"/>
                <w:szCs w:val="20"/>
              </w:rPr>
              <w:t>230</w:t>
            </w:r>
          </w:p>
        </w:tc>
        <w:tc>
          <w:tcPr>
            <w:tcW w:w="567" w:type="dxa"/>
          </w:tcPr>
          <w:p w14:paraId="3BDCC038" w14:textId="730D7A80" w:rsidR="008458F2" w:rsidRPr="008458F2" w:rsidRDefault="008458F2" w:rsidP="0063139C">
            <w:pPr>
              <w:jc w:val="center"/>
              <w:rPr>
                <w:rFonts w:asciiTheme="majorHAnsi" w:hAnsiTheme="majorHAnsi" w:cstheme="majorHAnsi"/>
                <w:sz w:val="20"/>
                <w:szCs w:val="20"/>
              </w:rPr>
            </w:pPr>
            <w:r>
              <w:rPr>
                <w:rFonts w:asciiTheme="majorHAnsi" w:hAnsiTheme="majorHAnsi" w:cstheme="majorHAnsi"/>
                <w:sz w:val="20"/>
                <w:szCs w:val="20"/>
              </w:rPr>
              <w:t>100</w:t>
            </w:r>
          </w:p>
        </w:tc>
        <w:tc>
          <w:tcPr>
            <w:tcW w:w="5529" w:type="dxa"/>
          </w:tcPr>
          <w:p w14:paraId="3567E768" w14:textId="26844877" w:rsidR="008458F2" w:rsidRPr="008458F2" w:rsidRDefault="008458F2" w:rsidP="008458F2">
            <w:pPr>
              <w:rPr>
                <w:rFonts w:asciiTheme="majorHAnsi" w:hAnsiTheme="majorHAnsi" w:cstheme="majorHAnsi"/>
                <w:sz w:val="20"/>
                <w:szCs w:val="20"/>
              </w:rPr>
            </w:pPr>
          </w:p>
        </w:tc>
      </w:tr>
    </w:tbl>
    <w:p w14:paraId="079DF441" w14:textId="1DDD437E" w:rsidR="00AC4AB1" w:rsidRDefault="00AC4AB1">
      <w:pPr>
        <w:spacing w:after="160" w:line="259" w:lineRule="auto"/>
      </w:pPr>
      <w:r>
        <w:br w:type="page"/>
      </w:r>
    </w:p>
    <w:p w14:paraId="23268F48" w14:textId="124BBF39" w:rsidR="009306F8" w:rsidRPr="00AC4AB1" w:rsidRDefault="00AC4AB1" w:rsidP="00E20C3B">
      <w:pPr>
        <w:ind w:hanging="426"/>
        <w:rPr>
          <w:b/>
        </w:rPr>
      </w:pPr>
      <w:r w:rsidRPr="00AC4AB1">
        <w:rPr>
          <w:b/>
        </w:rPr>
        <w:lastRenderedPageBreak/>
        <w:t xml:space="preserve">Annex 2 </w:t>
      </w:r>
      <w:r>
        <w:rPr>
          <w:b/>
        </w:rPr>
        <w:t>– response tables</w:t>
      </w:r>
    </w:p>
    <w:p w14:paraId="5DE1F447" w14:textId="40653B42" w:rsidR="00AC4AB1" w:rsidRDefault="00AC4AB1" w:rsidP="009306F8"/>
    <w:p w14:paraId="069F294C" w14:textId="77F92153" w:rsidR="00AC4AB1" w:rsidRPr="009306F8" w:rsidRDefault="00443DDD" w:rsidP="00443DDD">
      <w:pPr>
        <w:ind w:hanging="426"/>
      </w:pPr>
      <w:r>
        <w:rPr>
          <w:b/>
        </w:rPr>
        <w:t xml:space="preserve">Full analysis </w:t>
      </w:r>
      <w:r w:rsidRPr="009306F8">
        <w:rPr>
          <w:b/>
        </w:rPr>
        <w:t xml:space="preserve">template </w:t>
      </w:r>
      <w:r>
        <w:rPr>
          <w:b/>
        </w:rPr>
        <w:t>–</w:t>
      </w:r>
      <w:r w:rsidRPr="009306F8">
        <w:rPr>
          <w:b/>
        </w:rPr>
        <w:t xml:space="preserve"> explanation</w:t>
      </w:r>
      <w:r>
        <w:rPr>
          <w:b/>
        </w:rPr>
        <w:t xml:space="preserve"> of categories of response</w:t>
      </w:r>
    </w:p>
    <w:tbl>
      <w:tblPr>
        <w:tblStyle w:val="TableGrid"/>
        <w:tblW w:w="9782" w:type="dxa"/>
        <w:tblInd w:w="-431" w:type="dxa"/>
        <w:tblLook w:val="04A0" w:firstRow="1" w:lastRow="0" w:firstColumn="1" w:lastColumn="0" w:noHBand="0" w:noVBand="1"/>
      </w:tblPr>
      <w:tblGrid>
        <w:gridCol w:w="1702"/>
        <w:gridCol w:w="2552"/>
        <w:gridCol w:w="1502"/>
        <w:gridCol w:w="1246"/>
        <w:gridCol w:w="2780"/>
      </w:tblGrid>
      <w:tr w:rsidR="009306F8" w:rsidRPr="009306F8" w14:paraId="3422A559" w14:textId="77777777" w:rsidTr="00261A1A">
        <w:trPr>
          <w:trHeight w:val="340"/>
        </w:trPr>
        <w:tc>
          <w:tcPr>
            <w:tcW w:w="9782" w:type="dxa"/>
            <w:gridSpan w:val="5"/>
            <w:tcBorders>
              <w:top w:val="single" w:sz="4" w:space="0" w:color="auto"/>
              <w:left w:val="single" w:sz="4" w:space="0" w:color="auto"/>
              <w:bottom w:val="single" w:sz="4" w:space="0" w:color="auto"/>
              <w:right w:val="single" w:sz="4" w:space="0" w:color="auto"/>
            </w:tcBorders>
            <w:vAlign w:val="center"/>
          </w:tcPr>
          <w:p w14:paraId="19538504" w14:textId="175A9A2D" w:rsidR="009306F8" w:rsidRPr="009306F8" w:rsidRDefault="009306F8" w:rsidP="00443DDD">
            <w:pPr>
              <w:rPr>
                <w:b/>
              </w:rPr>
            </w:pPr>
            <w:r w:rsidRPr="009306F8">
              <w:rPr>
                <w:b/>
              </w:rPr>
              <w:t>n</w:t>
            </w:r>
            <w:r w:rsidR="00443DDD">
              <w:rPr>
                <w:b/>
              </w:rPr>
              <w:t>ew national park consultation –</w:t>
            </w:r>
          </w:p>
        </w:tc>
      </w:tr>
      <w:tr w:rsidR="009306F8" w:rsidRPr="009306F8" w14:paraId="736835EA" w14:textId="77777777" w:rsidTr="00261A1A">
        <w:trPr>
          <w:trHeight w:val="340"/>
        </w:trPr>
        <w:tc>
          <w:tcPr>
            <w:tcW w:w="9782" w:type="dxa"/>
            <w:gridSpan w:val="5"/>
            <w:tcBorders>
              <w:top w:val="single" w:sz="4" w:space="0" w:color="auto"/>
              <w:left w:val="single" w:sz="4" w:space="0" w:color="auto"/>
              <w:bottom w:val="single" w:sz="4" w:space="0" w:color="auto"/>
              <w:right w:val="single" w:sz="4" w:space="0" w:color="auto"/>
            </w:tcBorders>
            <w:vAlign w:val="center"/>
          </w:tcPr>
          <w:p w14:paraId="302E1855" w14:textId="65967558" w:rsidR="009306F8" w:rsidRPr="009306F8" w:rsidRDefault="009306F8" w:rsidP="00443DDD">
            <w:pPr>
              <w:rPr>
                <w:b/>
              </w:rPr>
            </w:pPr>
            <w:r w:rsidRPr="009306F8">
              <w:rPr>
                <w:b/>
              </w:rPr>
              <w:t>Question x</w:t>
            </w:r>
          </w:p>
        </w:tc>
      </w:tr>
      <w:tr w:rsidR="009306F8" w:rsidRPr="009306F8" w14:paraId="1CA8ECAA" w14:textId="77777777" w:rsidTr="00261A1A">
        <w:trPr>
          <w:trHeight w:val="567"/>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FE94552" w14:textId="77777777" w:rsidR="009306F8" w:rsidRPr="009306F8" w:rsidRDefault="009306F8" w:rsidP="009306F8">
            <w:r w:rsidRPr="009306F8">
              <w:t>Category of Response</w:t>
            </w:r>
          </w:p>
          <w:p w14:paraId="3315499C" w14:textId="77777777" w:rsidR="009306F8" w:rsidRPr="009306F8" w:rsidRDefault="009306F8" w:rsidP="009306F8">
            <w:pPr>
              <w:rPr>
                <w:i/>
                <w:sz w:val="20"/>
                <w:szCs w:val="20"/>
              </w:rPr>
            </w:pPr>
            <w:r w:rsidRPr="009306F8">
              <w:rPr>
                <w:i/>
                <w:sz w:val="20"/>
                <w:szCs w:val="20"/>
              </w:rPr>
              <w:t xml:space="preserve">tailored to each question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52B5B206" w14:textId="77777777" w:rsidR="009306F8" w:rsidRPr="009306F8" w:rsidRDefault="009306F8" w:rsidP="009306F8">
            <w:r w:rsidRPr="009306F8">
              <w:t xml:space="preserve">Respondent code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F7B6D8B" w14:textId="77777777" w:rsidR="009306F8" w:rsidRPr="009306F8" w:rsidRDefault="009306F8" w:rsidP="009306F8">
            <w:r w:rsidRPr="009306F8">
              <w:t>no of responses</w:t>
            </w:r>
          </w:p>
        </w:tc>
        <w:tc>
          <w:tcPr>
            <w:tcW w:w="2780" w:type="dxa"/>
            <w:tcBorders>
              <w:top w:val="single" w:sz="4" w:space="0" w:color="auto"/>
              <w:left w:val="single" w:sz="4" w:space="0" w:color="auto"/>
              <w:bottom w:val="single" w:sz="4" w:space="0" w:color="auto"/>
              <w:right w:val="single" w:sz="4" w:space="0" w:color="auto"/>
            </w:tcBorders>
            <w:vAlign w:val="center"/>
            <w:hideMark/>
          </w:tcPr>
          <w:p w14:paraId="5D262D69" w14:textId="77777777" w:rsidR="009306F8" w:rsidRPr="009306F8" w:rsidRDefault="009306F8" w:rsidP="009306F8">
            <w:r w:rsidRPr="009306F8">
              <w:t xml:space="preserve">Selected Quotations </w:t>
            </w:r>
            <w:r w:rsidRPr="009306F8">
              <w:rPr>
                <w:i/>
              </w:rPr>
              <w:t>include respondent code</w:t>
            </w:r>
          </w:p>
        </w:tc>
      </w:tr>
      <w:tr w:rsidR="009306F8" w:rsidRPr="009306F8" w14:paraId="3A2E43F5" w14:textId="77777777" w:rsidTr="00261A1A">
        <w:trPr>
          <w:trHeight w:val="964"/>
        </w:trPr>
        <w:tc>
          <w:tcPr>
            <w:tcW w:w="1702" w:type="dxa"/>
            <w:tcBorders>
              <w:top w:val="single" w:sz="4" w:space="0" w:color="auto"/>
              <w:left w:val="single" w:sz="4" w:space="0" w:color="auto"/>
              <w:bottom w:val="single" w:sz="4" w:space="0" w:color="auto"/>
              <w:right w:val="single" w:sz="4" w:space="0" w:color="auto"/>
            </w:tcBorders>
            <w:vAlign w:val="center"/>
          </w:tcPr>
          <w:p w14:paraId="178BEF3B" w14:textId="77777777" w:rsidR="009306F8" w:rsidRPr="009306F8" w:rsidRDefault="009306F8" w:rsidP="009306F8">
            <w:r w:rsidRPr="009306F8">
              <w:t>No response</w:t>
            </w:r>
          </w:p>
        </w:tc>
        <w:tc>
          <w:tcPr>
            <w:tcW w:w="2552" w:type="dxa"/>
            <w:tcBorders>
              <w:left w:val="single" w:sz="4" w:space="0" w:color="auto"/>
              <w:right w:val="single" w:sz="4" w:space="0" w:color="auto"/>
            </w:tcBorders>
            <w:vAlign w:val="center"/>
          </w:tcPr>
          <w:p w14:paraId="6E656A1F" w14:textId="77777777" w:rsidR="009306F8" w:rsidRPr="009306F8" w:rsidRDefault="009306F8" w:rsidP="009306F8">
            <w:pPr>
              <w:rPr>
                <w:sz w:val="20"/>
                <w:szCs w:val="20"/>
              </w:rPr>
            </w:pPr>
            <w:r w:rsidRPr="009306F8">
              <w:rPr>
                <w:sz w:val="20"/>
                <w:szCs w:val="20"/>
              </w:rPr>
              <w:t xml:space="preserve">Skipped - did not answer this question or only put “n/a”, or similar.  </w:t>
            </w:r>
          </w:p>
        </w:tc>
        <w:tc>
          <w:tcPr>
            <w:tcW w:w="1502" w:type="dxa"/>
            <w:tcBorders>
              <w:top w:val="single" w:sz="4" w:space="0" w:color="auto"/>
              <w:left w:val="single" w:sz="4" w:space="0" w:color="auto"/>
              <w:bottom w:val="single" w:sz="4" w:space="0" w:color="auto"/>
              <w:right w:val="single" w:sz="4" w:space="0" w:color="auto"/>
            </w:tcBorders>
            <w:vAlign w:val="center"/>
          </w:tcPr>
          <w:p w14:paraId="43A5103D" w14:textId="77777777" w:rsidR="009306F8" w:rsidRPr="009306F8" w:rsidRDefault="009306F8" w:rsidP="009306F8">
            <w:pPr>
              <w:rPr>
                <w:i/>
              </w:rPr>
            </w:pPr>
          </w:p>
        </w:tc>
        <w:tc>
          <w:tcPr>
            <w:tcW w:w="1246" w:type="dxa"/>
            <w:tcBorders>
              <w:top w:val="single" w:sz="4" w:space="0" w:color="auto"/>
              <w:left w:val="single" w:sz="4" w:space="0" w:color="auto"/>
              <w:bottom w:val="single" w:sz="4" w:space="0" w:color="auto"/>
              <w:right w:val="single" w:sz="4" w:space="0" w:color="auto"/>
            </w:tcBorders>
            <w:vAlign w:val="center"/>
          </w:tcPr>
          <w:p w14:paraId="2E6CBA12" w14:textId="77777777" w:rsidR="009306F8" w:rsidRPr="009306F8" w:rsidRDefault="009306F8" w:rsidP="009306F8"/>
        </w:tc>
        <w:tc>
          <w:tcPr>
            <w:tcW w:w="2780" w:type="dxa"/>
            <w:tcBorders>
              <w:top w:val="single" w:sz="4" w:space="0" w:color="auto"/>
              <w:left w:val="single" w:sz="4" w:space="0" w:color="auto"/>
              <w:bottom w:val="single" w:sz="4" w:space="0" w:color="auto"/>
              <w:right w:val="single" w:sz="4" w:space="0" w:color="auto"/>
            </w:tcBorders>
            <w:vAlign w:val="center"/>
          </w:tcPr>
          <w:p w14:paraId="1C2B0A13" w14:textId="77777777" w:rsidR="009306F8" w:rsidRPr="009306F8" w:rsidRDefault="009306F8" w:rsidP="009306F8"/>
        </w:tc>
      </w:tr>
      <w:tr w:rsidR="009306F8" w:rsidRPr="009306F8" w14:paraId="3BC18C34" w14:textId="77777777" w:rsidTr="00261A1A">
        <w:trPr>
          <w:trHeight w:val="1361"/>
        </w:trPr>
        <w:tc>
          <w:tcPr>
            <w:tcW w:w="1702" w:type="dxa"/>
            <w:tcBorders>
              <w:top w:val="single" w:sz="4" w:space="0" w:color="auto"/>
              <w:left w:val="single" w:sz="4" w:space="0" w:color="auto"/>
              <w:bottom w:val="single" w:sz="4" w:space="0" w:color="auto"/>
              <w:right w:val="single" w:sz="4" w:space="0" w:color="auto"/>
            </w:tcBorders>
            <w:vAlign w:val="center"/>
          </w:tcPr>
          <w:p w14:paraId="1BF1EBAB" w14:textId="77777777" w:rsidR="009306F8" w:rsidRPr="009306F8" w:rsidRDefault="009306F8" w:rsidP="009306F8">
            <w:r w:rsidRPr="009306F8">
              <w:t>No view</w:t>
            </w:r>
          </w:p>
        </w:tc>
        <w:tc>
          <w:tcPr>
            <w:tcW w:w="2552" w:type="dxa"/>
            <w:tcBorders>
              <w:left w:val="single" w:sz="4" w:space="0" w:color="auto"/>
              <w:right w:val="single" w:sz="4" w:space="0" w:color="auto"/>
            </w:tcBorders>
            <w:vAlign w:val="center"/>
          </w:tcPr>
          <w:p w14:paraId="2AEAB48C" w14:textId="77777777" w:rsidR="009306F8" w:rsidRPr="009306F8" w:rsidRDefault="009306F8" w:rsidP="009306F8">
            <w:pPr>
              <w:rPr>
                <w:sz w:val="20"/>
                <w:szCs w:val="20"/>
              </w:rPr>
            </w:pPr>
            <w:r w:rsidRPr="009306F8">
              <w:rPr>
                <w:sz w:val="20"/>
                <w:szCs w:val="20"/>
              </w:rPr>
              <w:t>The response does not include an overall opinion (unlike agree/disagree).</w:t>
            </w:r>
          </w:p>
        </w:tc>
        <w:tc>
          <w:tcPr>
            <w:tcW w:w="1502" w:type="dxa"/>
            <w:tcBorders>
              <w:top w:val="single" w:sz="4" w:space="0" w:color="auto"/>
              <w:left w:val="single" w:sz="4" w:space="0" w:color="auto"/>
              <w:bottom w:val="single" w:sz="4" w:space="0" w:color="auto"/>
              <w:right w:val="single" w:sz="4" w:space="0" w:color="auto"/>
            </w:tcBorders>
            <w:vAlign w:val="center"/>
          </w:tcPr>
          <w:p w14:paraId="091D25E5" w14:textId="77777777" w:rsidR="009306F8" w:rsidRPr="009306F8" w:rsidRDefault="009306F8" w:rsidP="009306F8"/>
        </w:tc>
        <w:tc>
          <w:tcPr>
            <w:tcW w:w="1246" w:type="dxa"/>
            <w:tcBorders>
              <w:top w:val="single" w:sz="4" w:space="0" w:color="auto"/>
              <w:left w:val="single" w:sz="4" w:space="0" w:color="auto"/>
              <w:bottom w:val="single" w:sz="4" w:space="0" w:color="auto"/>
              <w:right w:val="single" w:sz="4" w:space="0" w:color="auto"/>
            </w:tcBorders>
            <w:vAlign w:val="center"/>
          </w:tcPr>
          <w:p w14:paraId="3E437D29" w14:textId="77777777" w:rsidR="009306F8" w:rsidRPr="009306F8" w:rsidRDefault="009306F8" w:rsidP="009306F8"/>
        </w:tc>
        <w:tc>
          <w:tcPr>
            <w:tcW w:w="2780" w:type="dxa"/>
            <w:tcBorders>
              <w:top w:val="single" w:sz="4" w:space="0" w:color="auto"/>
              <w:left w:val="single" w:sz="4" w:space="0" w:color="auto"/>
              <w:bottom w:val="single" w:sz="4" w:space="0" w:color="auto"/>
              <w:right w:val="single" w:sz="4" w:space="0" w:color="auto"/>
            </w:tcBorders>
            <w:vAlign w:val="center"/>
          </w:tcPr>
          <w:p w14:paraId="3E2565DC" w14:textId="77777777" w:rsidR="009306F8" w:rsidRPr="009306F8" w:rsidRDefault="009306F8" w:rsidP="009306F8"/>
        </w:tc>
      </w:tr>
      <w:tr w:rsidR="009306F8" w:rsidRPr="009306F8" w14:paraId="237CD0C1" w14:textId="77777777" w:rsidTr="00261A1A">
        <w:trPr>
          <w:trHeight w:val="1474"/>
        </w:trPr>
        <w:tc>
          <w:tcPr>
            <w:tcW w:w="1702" w:type="dxa"/>
            <w:tcBorders>
              <w:top w:val="single" w:sz="4" w:space="0" w:color="auto"/>
              <w:left w:val="single" w:sz="4" w:space="0" w:color="auto"/>
              <w:bottom w:val="single" w:sz="4" w:space="0" w:color="auto"/>
              <w:right w:val="single" w:sz="4" w:space="0" w:color="auto"/>
            </w:tcBorders>
            <w:vAlign w:val="center"/>
          </w:tcPr>
          <w:p w14:paraId="0B2C7438" w14:textId="77777777" w:rsidR="009306F8" w:rsidRPr="009306F8" w:rsidRDefault="009306F8" w:rsidP="009306F8">
            <w:r w:rsidRPr="009306F8">
              <w:t>/ Unclear</w:t>
            </w:r>
          </w:p>
        </w:tc>
        <w:tc>
          <w:tcPr>
            <w:tcW w:w="2552" w:type="dxa"/>
            <w:tcBorders>
              <w:left w:val="single" w:sz="4" w:space="0" w:color="auto"/>
              <w:right w:val="single" w:sz="4" w:space="0" w:color="auto"/>
            </w:tcBorders>
            <w:vAlign w:val="center"/>
          </w:tcPr>
          <w:p w14:paraId="43734D34" w14:textId="77777777" w:rsidR="009306F8" w:rsidRPr="009306F8" w:rsidRDefault="009306F8" w:rsidP="009306F8">
            <w:pPr>
              <w:rPr>
                <w:sz w:val="20"/>
                <w:szCs w:val="20"/>
              </w:rPr>
            </w:pPr>
            <w:r w:rsidRPr="009306F8">
              <w:rPr>
                <w:sz w:val="20"/>
                <w:szCs w:val="20"/>
              </w:rPr>
              <w:t>The response includes text but it is unclear what view the respondent is taking ,.</w:t>
            </w:r>
          </w:p>
        </w:tc>
        <w:tc>
          <w:tcPr>
            <w:tcW w:w="1502" w:type="dxa"/>
            <w:tcBorders>
              <w:top w:val="single" w:sz="4" w:space="0" w:color="auto"/>
              <w:left w:val="single" w:sz="4" w:space="0" w:color="auto"/>
              <w:bottom w:val="single" w:sz="4" w:space="0" w:color="auto"/>
              <w:right w:val="single" w:sz="4" w:space="0" w:color="auto"/>
            </w:tcBorders>
            <w:vAlign w:val="center"/>
          </w:tcPr>
          <w:p w14:paraId="39659AF5" w14:textId="77777777" w:rsidR="009306F8" w:rsidRPr="009306F8" w:rsidRDefault="009306F8" w:rsidP="009306F8"/>
        </w:tc>
        <w:tc>
          <w:tcPr>
            <w:tcW w:w="1246" w:type="dxa"/>
            <w:tcBorders>
              <w:top w:val="single" w:sz="4" w:space="0" w:color="auto"/>
              <w:left w:val="single" w:sz="4" w:space="0" w:color="auto"/>
              <w:bottom w:val="single" w:sz="4" w:space="0" w:color="auto"/>
              <w:right w:val="single" w:sz="4" w:space="0" w:color="auto"/>
            </w:tcBorders>
            <w:vAlign w:val="center"/>
          </w:tcPr>
          <w:p w14:paraId="09F68565" w14:textId="77777777" w:rsidR="009306F8" w:rsidRPr="009306F8" w:rsidRDefault="009306F8" w:rsidP="009306F8"/>
        </w:tc>
        <w:tc>
          <w:tcPr>
            <w:tcW w:w="2780" w:type="dxa"/>
            <w:tcBorders>
              <w:top w:val="single" w:sz="4" w:space="0" w:color="auto"/>
              <w:left w:val="single" w:sz="4" w:space="0" w:color="auto"/>
              <w:bottom w:val="single" w:sz="4" w:space="0" w:color="auto"/>
              <w:right w:val="single" w:sz="4" w:space="0" w:color="auto"/>
            </w:tcBorders>
            <w:vAlign w:val="center"/>
          </w:tcPr>
          <w:p w14:paraId="516825BE" w14:textId="77777777" w:rsidR="009306F8" w:rsidRPr="009306F8" w:rsidRDefault="009306F8" w:rsidP="009306F8"/>
        </w:tc>
      </w:tr>
      <w:tr w:rsidR="009306F8" w:rsidRPr="009306F8" w14:paraId="11E7EA66" w14:textId="77777777" w:rsidTr="00261A1A">
        <w:trPr>
          <w:trHeight w:val="964"/>
        </w:trPr>
        <w:tc>
          <w:tcPr>
            <w:tcW w:w="1702" w:type="dxa"/>
            <w:tcBorders>
              <w:top w:val="single" w:sz="4" w:space="0" w:color="auto"/>
              <w:left w:val="single" w:sz="4" w:space="0" w:color="auto"/>
              <w:bottom w:val="single" w:sz="4" w:space="0" w:color="auto"/>
              <w:right w:val="single" w:sz="4" w:space="0" w:color="auto"/>
            </w:tcBorders>
            <w:vAlign w:val="center"/>
          </w:tcPr>
          <w:p w14:paraId="066130B7" w14:textId="77777777" w:rsidR="009306F8" w:rsidRPr="009306F8" w:rsidRDefault="009306F8" w:rsidP="009306F8">
            <w:r w:rsidRPr="009306F8">
              <w:rPr>
                <w:sz w:val="20"/>
                <w:szCs w:val="20"/>
              </w:rPr>
              <w:t>Refers to a response to another question – note respondent’s ID number</w:t>
            </w:r>
          </w:p>
        </w:tc>
        <w:tc>
          <w:tcPr>
            <w:tcW w:w="2552" w:type="dxa"/>
            <w:tcBorders>
              <w:left w:val="single" w:sz="4" w:space="0" w:color="auto"/>
              <w:right w:val="single" w:sz="4" w:space="0" w:color="auto"/>
            </w:tcBorders>
            <w:vAlign w:val="center"/>
          </w:tcPr>
          <w:p w14:paraId="5996A396" w14:textId="77777777" w:rsidR="009306F8" w:rsidRPr="009306F8" w:rsidRDefault="009306F8" w:rsidP="009306F8">
            <w:pPr>
              <w:rPr>
                <w:sz w:val="20"/>
                <w:szCs w:val="20"/>
              </w:rPr>
            </w:pPr>
          </w:p>
        </w:tc>
        <w:tc>
          <w:tcPr>
            <w:tcW w:w="1502" w:type="dxa"/>
            <w:tcBorders>
              <w:top w:val="single" w:sz="4" w:space="0" w:color="auto"/>
              <w:left w:val="single" w:sz="4" w:space="0" w:color="auto"/>
              <w:bottom w:val="single" w:sz="4" w:space="0" w:color="auto"/>
              <w:right w:val="single" w:sz="4" w:space="0" w:color="auto"/>
            </w:tcBorders>
            <w:vAlign w:val="center"/>
          </w:tcPr>
          <w:p w14:paraId="030E99CC" w14:textId="77777777" w:rsidR="009306F8" w:rsidRPr="009306F8" w:rsidRDefault="009306F8" w:rsidP="009306F8"/>
        </w:tc>
        <w:tc>
          <w:tcPr>
            <w:tcW w:w="1246" w:type="dxa"/>
            <w:tcBorders>
              <w:top w:val="single" w:sz="4" w:space="0" w:color="auto"/>
              <w:left w:val="single" w:sz="4" w:space="0" w:color="auto"/>
              <w:bottom w:val="single" w:sz="4" w:space="0" w:color="auto"/>
              <w:right w:val="single" w:sz="4" w:space="0" w:color="auto"/>
            </w:tcBorders>
            <w:vAlign w:val="center"/>
          </w:tcPr>
          <w:p w14:paraId="622ED497" w14:textId="77777777" w:rsidR="009306F8" w:rsidRPr="009306F8" w:rsidRDefault="009306F8" w:rsidP="009306F8"/>
        </w:tc>
        <w:tc>
          <w:tcPr>
            <w:tcW w:w="2780" w:type="dxa"/>
            <w:tcBorders>
              <w:top w:val="single" w:sz="4" w:space="0" w:color="auto"/>
              <w:left w:val="single" w:sz="4" w:space="0" w:color="auto"/>
              <w:bottom w:val="single" w:sz="4" w:space="0" w:color="auto"/>
              <w:right w:val="single" w:sz="4" w:space="0" w:color="auto"/>
            </w:tcBorders>
            <w:vAlign w:val="center"/>
          </w:tcPr>
          <w:p w14:paraId="399E8883" w14:textId="77777777" w:rsidR="009306F8" w:rsidRPr="009306F8" w:rsidRDefault="009306F8" w:rsidP="009306F8"/>
        </w:tc>
      </w:tr>
      <w:tr w:rsidR="009306F8" w:rsidRPr="009306F8" w14:paraId="40DB3C95" w14:textId="77777777" w:rsidTr="00261A1A">
        <w:trPr>
          <w:trHeight w:val="964"/>
        </w:trPr>
        <w:tc>
          <w:tcPr>
            <w:tcW w:w="1702" w:type="dxa"/>
            <w:tcBorders>
              <w:left w:val="single" w:sz="4" w:space="0" w:color="auto"/>
              <w:right w:val="single" w:sz="4" w:space="0" w:color="auto"/>
            </w:tcBorders>
            <w:vAlign w:val="center"/>
          </w:tcPr>
          <w:p w14:paraId="0918189C" w14:textId="77777777" w:rsidR="009306F8" w:rsidRPr="009306F8" w:rsidRDefault="009306F8" w:rsidP="009306F8">
            <w:r w:rsidRPr="009306F8">
              <w:t>Disagree</w:t>
            </w:r>
          </w:p>
        </w:tc>
        <w:tc>
          <w:tcPr>
            <w:tcW w:w="2552" w:type="dxa"/>
            <w:tcBorders>
              <w:left w:val="single" w:sz="4" w:space="0" w:color="auto"/>
              <w:right w:val="single" w:sz="4" w:space="0" w:color="auto"/>
            </w:tcBorders>
            <w:vAlign w:val="center"/>
          </w:tcPr>
          <w:p w14:paraId="7C74CC12" w14:textId="77777777" w:rsidR="009306F8" w:rsidRPr="009306F8" w:rsidRDefault="009306F8" w:rsidP="009306F8">
            <w:pPr>
              <w:rPr>
                <w:sz w:val="20"/>
                <w:szCs w:val="20"/>
              </w:rPr>
            </w:pPr>
            <w:r w:rsidRPr="009306F8">
              <w:rPr>
                <w:sz w:val="20"/>
                <w:szCs w:val="20"/>
              </w:rPr>
              <w:t>The respondent disagrees with the suggestion (the wording is tailored to suit the question and suggestions).</w:t>
            </w:r>
          </w:p>
          <w:p w14:paraId="27C5BF9C" w14:textId="77777777" w:rsidR="009306F8" w:rsidRPr="009306F8" w:rsidRDefault="009306F8" w:rsidP="009306F8">
            <w:pPr>
              <w:rPr>
                <w:sz w:val="20"/>
                <w:szCs w:val="20"/>
              </w:rPr>
            </w:pPr>
          </w:p>
          <w:p w14:paraId="68547AE4" w14:textId="77777777" w:rsidR="009306F8" w:rsidRPr="009306F8" w:rsidRDefault="009306F8" w:rsidP="009306F8">
            <w:pPr>
              <w:rPr>
                <w:sz w:val="20"/>
                <w:szCs w:val="20"/>
              </w:rPr>
            </w:pPr>
            <w:r w:rsidRPr="009306F8">
              <w:rPr>
                <w:sz w:val="20"/>
                <w:szCs w:val="20"/>
              </w:rPr>
              <w:t xml:space="preserve">This may include options for providing additional information.  </w:t>
            </w:r>
          </w:p>
        </w:tc>
        <w:tc>
          <w:tcPr>
            <w:tcW w:w="1502" w:type="dxa"/>
            <w:tcBorders>
              <w:top w:val="single" w:sz="4" w:space="0" w:color="auto"/>
              <w:left w:val="single" w:sz="4" w:space="0" w:color="auto"/>
              <w:bottom w:val="single" w:sz="4" w:space="0" w:color="auto"/>
              <w:right w:val="single" w:sz="4" w:space="0" w:color="auto"/>
            </w:tcBorders>
            <w:vAlign w:val="center"/>
          </w:tcPr>
          <w:p w14:paraId="0BFB7804" w14:textId="0E40A4EB" w:rsidR="009306F8" w:rsidRPr="009306F8" w:rsidRDefault="009306F8" w:rsidP="009306F8">
            <w:r w:rsidRPr="009306F8">
              <w:t xml:space="preserve">e.g. </w:t>
            </w:r>
            <w:r w:rsidR="00E20C3B">
              <w:t>R</w:t>
            </w:r>
            <w:r w:rsidRPr="009306F8">
              <w:t xml:space="preserve">4, </w:t>
            </w:r>
            <w:r w:rsidR="00E20C3B">
              <w:t>S</w:t>
            </w:r>
            <w:r w:rsidRPr="009306F8">
              <w:t>2</w:t>
            </w:r>
          </w:p>
          <w:p w14:paraId="4937D63E" w14:textId="77777777" w:rsidR="009306F8" w:rsidRPr="009306F8" w:rsidRDefault="009306F8" w:rsidP="009306F8">
            <w:r w:rsidRPr="009306F8">
              <w:t>(</w:t>
            </w:r>
            <w:r w:rsidRPr="009306F8">
              <w:rPr>
                <w:i/>
              </w:rPr>
              <w:t>from spreadsheet)</w:t>
            </w:r>
          </w:p>
        </w:tc>
        <w:tc>
          <w:tcPr>
            <w:tcW w:w="1246" w:type="dxa"/>
            <w:tcBorders>
              <w:top w:val="single" w:sz="4" w:space="0" w:color="auto"/>
              <w:left w:val="single" w:sz="4" w:space="0" w:color="auto"/>
              <w:bottom w:val="single" w:sz="4" w:space="0" w:color="auto"/>
              <w:right w:val="single" w:sz="4" w:space="0" w:color="auto"/>
            </w:tcBorders>
            <w:vAlign w:val="center"/>
          </w:tcPr>
          <w:p w14:paraId="7E22E97A" w14:textId="77777777" w:rsidR="009306F8" w:rsidRPr="009306F8" w:rsidRDefault="009306F8" w:rsidP="009306F8">
            <w:r w:rsidRPr="009306F8">
              <w:t>3</w:t>
            </w:r>
          </w:p>
        </w:tc>
        <w:tc>
          <w:tcPr>
            <w:tcW w:w="2780" w:type="dxa"/>
            <w:tcBorders>
              <w:top w:val="single" w:sz="4" w:space="0" w:color="auto"/>
              <w:left w:val="single" w:sz="4" w:space="0" w:color="auto"/>
              <w:bottom w:val="single" w:sz="4" w:space="0" w:color="auto"/>
              <w:right w:val="single" w:sz="4" w:space="0" w:color="auto"/>
            </w:tcBorders>
            <w:vAlign w:val="center"/>
          </w:tcPr>
          <w:p w14:paraId="1C63EF2C" w14:textId="0398ACFE" w:rsidR="009306F8" w:rsidRPr="009306F8" w:rsidRDefault="00E20C3B" w:rsidP="009306F8">
            <w:r>
              <w:t>The grass is dead (T</w:t>
            </w:r>
            <w:r w:rsidR="009306F8" w:rsidRPr="009306F8">
              <w:t>2)</w:t>
            </w:r>
          </w:p>
        </w:tc>
      </w:tr>
      <w:tr w:rsidR="009306F8" w:rsidRPr="009306F8" w14:paraId="3C73575D" w14:textId="77777777" w:rsidTr="00261A1A">
        <w:trPr>
          <w:trHeight w:val="964"/>
        </w:trPr>
        <w:tc>
          <w:tcPr>
            <w:tcW w:w="1702" w:type="dxa"/>
            <w:tcBorders>
              <w:left w:val="single" w:sz="4" w:space="0" w:color="auto"/>
              <w:right w:val="single" w:sz="4" w:space="0" w:color="auto"/>
            </w:tcBorders>
            <w:vAlign w:val="center"/>
          </w:tcPr>
          <w:p w14:paraId="35AFF28D" w14:textId="77777777" w:rsidR="009306F8" w:rsidRPr="009306F8" w:rsidRDefault="009306F8" w:rsidP="009306F8">
            <w:r w:rsidRPr="009306F8">
              <w:t xml:space="preserve">Agree </w:t>
            </w:r>
          </w:p>
        </w:tc>
        <w:tc>
          <w:tcPr>
            <w:tcW w:w="2552" w:type="dxa"/>
            <w:tcBorders>
              <w:left w:val="single" w:sz="4" w:space="0" w:color="auto"/>
              <w:right w:val="single" w:sz="4" w:space="0" w:color="auto"/>
            </w:tcBorders>
            <w:vAlign w:val="center"/>
          </w:tcPr>
          <w:p w14:paraId="39F8DD92" w14:textId="77777777" w:rsidR="009306F8" w:rsidRPr="009306F8" w:rsidRDefault="009306F8" w:rsidP="009306F8">
            <w:pPr>
              <w:rPr>
                <w:sz w:val="20"/>
                <w:szCs w:val="20"/>
              </w:rPr>
            </w:pPr>
            <w:r w:rsidRPr="009306F8">
              <w:rPr>
                <w:sz w:val="20"/>
                <w:szCs w:val="20"/>
              </w:rPr>
              <w:t xml:space="preserve">The respondent agrees with the suggestion (the wording is tailored to suit the question and suggestions). </w:t>
            </w:r>
          </w:p>
          <w:p w14:paraId="1B58F56B" w14:textId="77777777" w:rsidR="009306F8" w:rsidRPr="009306F8" w:rsidRDefault="009306F8" w:rsidP="009306F8">
            <w:pPr>
              <w:rPr>
                <w:sz w:val="20"/>
                <w:szCs w:val="20"/>
              </w:rPr>
            </w:pPr>
          </w:p>
          <w:p w14:paraId="3ECBD95F" w14:textId="77777777" w:rsidR="009306F8" w:rsidRPr="009306F8" w:rsidRDefault="009306F8" w:rsidP="009306F8">
            <w:pPr>
              <w:rPr>
                <w:sz w:val="20"/>
                <w:szCs w:val="20"/>
              </w:rPr>
            </w:pPr>
            <w:r w:rsidRPr="009306F8">
              <w:rPr>
                <w:sz w:val="20"/>
                <w:szCs w:val="20"/>
              </w:rPr>
              <w:t>This may include options for providing additional information.</w:t>
            </w:r>
          </w:p>
        </w:tc>
        <w:tc>
          <w:tcPr>
            <w:tcW w:w="1502" w:type="dxa"/>
            <w:tcBorders>
              <w:top w:val="single" w:sz="4" w:space="0" w:color="auto"/>
              <w:left w:val="single" w:sz="4" w:space="0" w:color="auto"/>
              <w:bottom w:val="single" w:sz="4" w:space="0" w:color="auto"/>
              <w:right w:val="single" w:sz="4" w:space="0" w:color="auto"/>
            </w:tcBorders>
            <w:vAlign w:val="center"/>
          </w:tcPr>
          <w:p w14:paraId="2D5EE0A3" w14:textId="03D80D11" w:rsidR="009306F8" w:rsidRPr="009306F8" w:rsidRDefault="009306F8" w:rsidP="00E20C3B">
            <w:r w:rsidRPr="009306F8">
              <w:t xml:space="preserve">e.g. </w:t>
            </w:r>
            <w:r w:rsidR="00E20C3B">
              <w:t>R</w:t>
            </w:r>
            <w:r w:rsidRPr="009306F8">
              <w:t xml:space="preserve">1, </w:t>
            </w:r>
            <w:r w:rsidR="00E20C3B">
              <w:t>R</w:t>
            </w:r>
            <w:r w:rsidRPr="009306F8">
              <w:t>2</w:t>
            </w:r>
          </w:p>
        </w:tc>
        <w:tc>
          <w:tcPr>
            <w:tcW w:w="1246" w:type="dxa"/>
            <w:tcBorders>
              <w:top w:val="single" w:sz="4" w:space="0" w:color="auto"/>
              <w:left w:val="single" w:sz="4" w:space="0" w:color="auto"/>
              <w:bottom w:val="single" w:sz="4" w:space="0" w:color="auto"/>
              <w:right w:val="single" w:sz="4" w:space="0" w:color="auto"/>
            </w:tcBorders>
            <w:vAlign w:val="center"/>
          </w:tcPr>
          <w:p w14:paraId="2BDC9FDD" w14:textId="77777777" w:rsidR="009306F8" w:rsidRPr="009306F8" w:rsidRDefault="009306F8" w:rsidP="009306F8">
            <w:r w:rsidRPr="009306F8">
              <w:t>64</w:t>
            </w:r>
          </w:p>
        </w:tc>
        <w:tc>
          <w:tcPr>
            <w:tcW w:w="2780" w:type="dxa"/>
            <w:tcBorders>
              <w:top w:val="single" w:sz="4" w:space="0" w:color="auto"/>
              <w:left w:val="single" w:sz="4" w:space="0" w:color="auto"/>
              <w:bottom w:val="single" w:sz="4" w:space="0" w:color="auto"/>
              <w:right w:val="single" w:sz="4" w:space="0" w:color="auto"/>
            </w:tcBorders>
            <w:vAlign w:val="center"/>
          </w:tcPr>
          <w:p w14:paraId="49EDA22C" w14:textId="5300DCB9" w:rsidR="009306F8" w:rsidRPr="009306F8" w:rsidRDefault="009306F8" w:rsidP="00E20C3B">
            <w:r w:rsidRPr="009306F8">
              <w:t>The grass is greener…(</w:t>
            </w:r>
            <w:r w:rsidR="00E20C3B">
              <w:t>R</w:t>
            </w:r>
            <w:r w:rsidRPr="009306F8">
              <w:t>2)</w:t>
            </w:r>
          </w:p>
        </w:tc>
      </w:tr>
      <w:tr w:rsidR="009306F8" w:rsidRPr="009306F8" w14:paraId="305B2B4A" w14:textId="77777777" w:rsidTr="00261A1A">
        <w:trPr>
          <w:trHeight w:val="496"/>
        </w:trPr>
        <w:tc>
          <w:tcPr>
            <w:tcW w:w="1702" w:type="dxa"/>
            <w:tcBorders>
              <w:left w:val="single" w:sz="4" w:space="0" w:color="auto"/>
              <w:bottom w:val="single" w:sz="4" w:space="0" w:color="auto"/>
              <w:right w:val="single" w:sz="4" w:space="0" w:color="auto"/>
            </w:tcBorders>
            <w:vAlign w:val="center"/>
            <w:hideMark/>
          </w:tcPr>
          <w:p w14:paraId="2FEB5B69" w14:textId="77777777" w:rsidR="009306F8" w:rsidRPr="009306F8" w:rsidRDefault="009306F8" w:rsidP="009306F8"/>
        </w:tc>
        <w:tc>
          <w:tcPr>
            <w:tcW w:w="2552" w:type="dxa"/>
            <w:tcBorders>
              <w:left w:val="single" w:sz="4" w:space="0" w:color="auto"/>
              <w:bottom w:val="single" w:sz="4" w:space="0" w:color="auto"/>
              <w:right w:val="single" w:sz="4" w:space="0" w:color="auto"/>
            </w:tcBorders>
            <w:vAlign w:val="center"/>
          </w:tcPr>
          <w:p w14:paraId="731E8FB3" w14:textId="77777777" w:rsidR="009306F8" w:rsidRPr="009306F8" w:rsidRDefault="009306F8" w:rsidP="009306F8">
            <w:pPr>
              <w:rPr>
                <w:sz w:val="20"/>
                <w:szCs w:val="20"/>
              </w:rPr>
            </w:pPr>
          </w:p>
        </w:tc>
        <w:tc>
          <w:tcPr>
            <w:tcW w:w="1502" w:type="dxa"/>
            <w:tcBorders>
              <w:top w:val="single" w:sz="4" w:space="0" w:color="auto"/>
              <w:left w:val="single" w:sz="4" w:space="0" w:color="auto"/>
              <w:bottom w:val="single" w:sz="4" w:space="0" w:color="auto"/>
              <w:right w:val="single" w:sz="4" w:space="0" w:color="auto"/>
            </w:tcBorders>
            <w:vAlign w:val="center"/>
          </w:tcPr>
          <w:p w14:paraId="767BCDF2" w14:textId="77777777" w:rsidR="009306F8" w:rsidRPr="009306F8" w:rsidRDefault="009306F8" w:rsidP="009306F8"/>
        </w:tc>
        <w:tc>
          <w:tcPr>
            <w:tcW w:w="1246" w:type="dxa"/>
            <w:tcBorders>
              <w:top w:val="single" w:sz="4" w:space="0" w:color="auto"/>
              <w:left w:val="single" w:sz="4" w:space="0" w:color="auto"/>
              <w:bottom w:val="single" w:sz="4" w:space="0" w:color="auto"/>
              <w:right w:val="single" w:sz="4" w:space="0" w:color="auto"/>
            </w:tcBorders>
            <w:vAlign w:val="center"/>
          </w:tcPr>
          <w:p w14:paraId="0698A9F0" w14:textId="77777777" w:rsidR="009306F8" w:rsidRPr="009306F8" w:rsidRDefault="009306F8" w:rsidP="009306F8"/>
        </w:tc>
        <w:tc>
          <w:tcPr>
            <w:tcW w:w="2780" w:type="dxa"/>
            <w:tcBorders>
              <w:top w:val="single" w:sz="4" w:space="0" w:color="auto"/>
              <w:left w:val="single" w:sz="4" w:space="0" w:color="auto"/>
              <w:bottom w:val="single" w:sz="4" w:space="0" w:color="auto"/>
              <w:right w:val="single" w:sz="4" w:space="0" w:color="auto"/>
            </w:tcBorders>
            <w:vAlign w:val="center"/>
          </w:tcPr>
          <w:p w14:paraId="29BC1AC1" w14:textId="77777777" w:rsidR="009306F8" w:rsidRPr="009306F8" w:rsidRDefault="009306F8" w:rsidP="009306F8"/>
        </w:tc>
      </w:tr>
    </w:tbl>
    <w:p w14:paraId="3498932B" w14:textId="77777777" w:rsidR="009306F8" w:rsidRPr="009306F8" w:rsidRDefault="009306F8" w:rsidP="009306F8"/>
    <w:p w14:paraId="5C52B7EE" w14:textId="77777777" w:rsidR="009306F8" w:rsidRPr="009306F8" w:rsidRDefault="009306F8" w:rsidP="009306F8"/>
    <w:p w14:paraId="3FB7C173" w14:textId="5729543E" w:rsidR="009306F8" w:rsidRDefault="009306F8" w:rsidP="009306F8">
      <w:pPr>
        <w:ind w:hanging="709"/>
      </w:pPr>
    </w:p>
    <w:p w14:paraId="6791A7FC" w14:textId="7EF3BAF4" w:rsidR="00AC4AB1" w:rsidRDefault="00AC4AB1" w:rsidP="009306F8">
      <w:pPr>
        <w:ind w:hanging="709"/>
      </w:pPr>
    </w:p>
    <w:p w14:paraId="67582D42" w14:textId="3CCD1851" w:rsidR="00AC4AB1" w:rsidRDefault="00AC4AB1" w:rsidP="009306F8">
      <w:pPr>
        <w:ind w:hanging="709"/>
      </w:pPr>
    </w:p>
    <w:p w14:paraId="232A9F03" w14:textId="352309C9" w:rsidR="00AC4AB1" w:rsidRDefault="00AC4AB1" w:rsidP="009306F8">
      <w:pPr>
        <w:ind w:hanging="709"/>
      </w:pPr>
    </w:p>
    <w:p w14:paraId="1C3B39BD" w14:textId="2722D9B5" w:rsidR="00AC4AB1" w:rsidRDefault="00AC4AB1" w:rsidP="009306F8">
      <w:pPr>
        <w:ind w:hanging="709"/>
      </w:pPr>
    </w:p>
    <w:p w14:paraId="7F06CA9E" w14:textId="28A929B7" w:rsidR="00443DDD" w:rsidRDefault="00443DDD">
      <w:pPr>
        <w:spacing w:after="160" w:line="259" w:lineRule="auto"/>
      </w:pPr>
      <w:r>
        <w:br w:type="page"/>
      </w:r>
    </w:p>
    <w:p w14:paraId="7CB218A9" w14:textId="77777777" w:rsidR="00AC4AB1" w:rsidRDefault="00AC4AB1" w:rsidP="009306F8">
      <w:pPr>
        <w:ind w:hanging="709"/>
      </w:pPr>
    </w:p>
    <w:p w14:paraId="5F870E16" w14:textId="70F0A3B3" w:rsidR="00AC4AB1" w:rsidRPr="00AC4AB1" w:rsidRDefault="00AC4AB1" w:rsidP="009306F8">
      <w:pPr>
        <w:ind w:hanging="709"/>
        <w:rPr>
          <w:b/>
          <w:sz w:val="24"/>
          <w:szCs w:val="24"/>
        </w:rPr>
      </w:pPr>
      <w:r w:rsidRPr="00AC4AB1">
        <w:rPr>
          <w:b/>
          <w:sz w:val="24"/>
          <w:szCs w:val="24"/>
        </w:rPr>
        <w:t>Full response table</w:t>
      </w:r>
      <w:r>
        <w:rPr>
          <w:b/>
          <w:sz w:val="24"/>
          <w:szCs w:val="24"/>
        </w:rPr>
        <w:t xml:space="preserve"> - sample</w:t>
      </w:r>
    </w:p>
    <w:p w14:paraId="7FFBF41F" w14:textId="77777777" w:rsidR="00AC4AB1" w:rsidRPr="009306F8" w:rsidRDefault="00AC4AB1" w:rsidP="009306F8">
      <w:pPr>
        <w:ind w:hanging="709"/>
      </w:pPr>
    </w:p>
    <w:tbl>
      <w:tblPr>
        <w:tblStyle w:val="TableGrid"/>
        <w:tblW w:w="10632" w:type="dxa"/>
        <w:tblInd w:w="-714" w:type="dxa"/>
        <w:tblLook w:val="04A0" w:firstRow="1" w:lastRow="0" w:firstColumn="1" w:lastColumn="0" w:noHBand="0" w:noVBand="1"/>
      </w:tblPr>
      <w:tblGrid>
        <w:gridCol w:w="3261"/>
        <w:gridCol w:w="1984"/>
        <w:gridCol w:w="1843"/>
        <w:gridCol w:w="3544"/>
      </w:tblGrid>
      <w:tr w:rsidR="009306F8" w:rsidRPr="009306F8" w14:paraId="4DC83A87" w14:textId="77777777" w:rsidTr="00261A1A">
        <w:trPr>
          <w:trHeight w:val="1191"/>
          <w:tblHeader/>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07853937" w14:textId="77777777" w:rsidR="009306F8" w:rsidRPr="009306F8" w:rsidRDefault="009306F8" w:rsidP="009306F8">
            <w:pPr>
              <w:rPr>
                <w:b/>
              </w:rPr>
            </w:pPr>
            <w:r w:rsidRPr="009306F8">
              <w:rPr>
                <w:b/>
              </w:rPr>
              <w:t xml:space="preserve">Question 1 – </w:t>
            </w:r>
          </w:p>
          <w:p w14:paraId="1CF09DB1" w14:textId="77777777" w:rsidR="009306F8" w:rsidRPr="009306F8" w:rsidRDefault="009306F8" w:rsidP="009306F8">
            <w:r w:rsidRPr="009306F8">
              <w:t xml:space="preserve">Do you support “leadership of nature recovery and a just transition to net zero” becoming the overarching purpose of Scotland’s National Parks?  </w:t>
            </w:r>
          </w:p>
          <w:p w14:paraId="55DE574E" w14:textId="77777777" w:rsidR="009306F8" w:rsidRPr="009306F8" w:rsidRDefault="009306F8" w:rsidP="009306F8">
            <w:r w:rsidRPr="009306F8">
              <w:t>If not, what else would you propose?</w:t>
            </w:r>
          </w:p>
        </w:tc>
      </w:tr>
      <w:tr w:rsidR="009306F8" w:rsidRPr="009306F8" w14:paraId="2661E801" w14:textId="77777777" w:rsidTr="00261A1A">
        <w:trPr>
          <w:trHeight w:val="340"/>
          <w:tblHeader/>
        </w:trPr>
        <w:tc>
          <w:tcPr>
            <w:tcW w:w="3261" w:type="dxa"/>
            <w:tcBorders>
              <w:top w:val="single" w:sz="4" w:space="0" w:color="auto"/>
              <w:left w:val="single" w:sz="4" w:space="0" w:color="auto"/>
              <w:bottom w:val="single" w:sz="4" w:space="0" w:color="auto"/>
              <w:right w:val="single" w:sz="4" w:space="0" w:color="auto"/>
            </w:tcBorders>
            <w:vAlign w:val="center"/>
            <w:hideMark/>
          </w:tcPr>
          <w:p w14:paraId="157A3C2A" w14:textId="77777777" w:rsidR="009306F8" w:rsidRPr="009306F8" w:rsidRDefault="009306F8" w:rsidP="009306F8">
            <w:pPr>
              <w:rPr>
                <w:b/>
                <w:sz w:val="20"/>
                <w:szCs w:val="20"/>
              </w:rPr>
            </w:pPr>
            <w:r w:rsidRPr="009306F8">
              <w:rPr>
                <w:b/>
                <w:sz w:val="20"/>
                <w:szCs w:val="20"/>
              </w:rPr>
              <w:t>Category of Response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62D90C" w14:textId="77777777" w:rsidR="009306F8" w:rsidRPr="009306F8" w:rsidRDefault="009306F8" w:rsidP="009306F8">
            <w:pPr>
              <w:rPr>
                <w:b/>
                <w:sz w:val="20"/>
                <w:szCs w:val="20"/>
              </w:rPr>
            </w:pPr>
            <w:r w:rsidRPr="009306F8">
              <w:rPr>
                <w:b/>
                <w:sz w:val="20"/>
                <w:szCs w:val="20"/>
              </w:rPr>
              <w:t>Respondent code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2D6745" w14:textId="77777777" w:rsidR="009306F8" w:rsidRPr="009306F8" w:rsidRDefault="009306F8" w:rsidP="009306F8">
            <w:pPr>
              <w:rPr>
                <w:b/>
                <w:sz w:val="20"/>
                <w:szCs w:val="20"/>
              </w:rPr>
            </w:pPr>
            <w:r w:rsidRPr="009306F8">
              <w:rPr>
                <w:b/>
                <w:sz w:val="20"/>
                <w:szCs w:val="20"/>
              </w:rPr>
              <w:t>No. of responses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F8799" w14:textId="77777777" w:rsidR="009306F8" w:rsidRPr="009306F8" w:rsidRDefault="009306F8" w:rsidP="009306F8">
            <w:pPr>
              <w:rPr>
                <w:b/>
                <w:sz w:val="20"/>
                <w:szCs w:val="20"/>
              </w:rPr>
            </w:pPr>
            <w:r w:rsidRPr="009306F8">
              <w:rPr>
                <w:b/>
                <w:sz w:val="20"/>
                <w:szCs w:val="20"/>
              </w:rPr>
              <w:t>Selected Quotations</w:t>
            </w:r>
          </w:p>
        </w:tc>
      </w:tr>
      <w:tr w:rsidR="009306F8" w:rsidRPr="009306F8" w14:paraId="27872F6A" w14:textId="77777777" w:rsidTr="00261A1A">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14:paraId="150E25BD" w14:textId="77777777" w:rsidR="009306F8" w:rsidRPr="009306F8" w:rsidRDefault="009306F8" w:rsidP="009306F8">
            <w:r w:rsidRPr="009306F8">
              <w:t>No response</w:t>
            </w:r>
          </w:p>
        </w:tc>
        <w:tc>
          <w:tcPr>
            <w:tcW w:w="1984" w:type="dxa"/>
            <w:tcBorders>
              <w:top w:val="single" w:sz="4" w:space="0" w:color="auto"/>
              <w:left w:val="single" w:sz="4" w:space="0" w:color="auto"/>
              <w:bottom w:val="single" w:sz="4" w:space="0" w:color="auto"/>
              <w:right w:val="single" w:sz="4" w:space="0" w:color="auto"/>
            </w:tcBorders>
          </w:tcPr>
          <w:p w14:paraId="5ACA800D" w14:textId="76453F77" w:rsidR="009306F8" w:rsidRPr="009306F8" w:rsidRDefault="00E20C3B" w:rsidP="00E20C3B">
            <w:pPr>
              <w:rPr>
                <w:color w:val="404040" w:themeColor="text1" w:themeTint="BF"/>
              </w:rPr>
            </w:pPr>
            <w:r>
              <w:rPr>
                <w:color w:val="404040" w:themeColor="text1" w:themeTint="BF"/>
              </w:rPr>
              <w:t>TV</w:t>
            </w:r>
            <w:r w:rsidR="009306F8" w:rsidRPr="009306F8">
              <w:rPr>
                <w:color w:val="404040" w:themeColor="text1" w:themeTint="BF"/>
              </w:rPr>
              <w:t xml:space="preserve">12, </w:t>
            </w:r>
            <w:r>
              <w:rPr>
                <w:color w:val="404040" w:themeColor="text1" w:themeTint="BF"/>
              </w:rPr>
              <w:t>R1</w:t>
            </w:r>
            <w:r w:rsidR="009306F8" w:rsidRPr="009306F8">
              <w:rPr>
                <w:color w:val="404040" w:themeColor="text1" w:themeTint="BF"/>
              </w:rPr>
              <w:t xml:space="preserve">5, </w:t>
            </w:r>
          </w:p>
        </w:tc>
        <w:tc>
          <w:tcPr>
            <w:tcW w:w="1843" w:type="dxa"/>
            <w:tcBorders>
              <w:top w:val="single" w:sz="4" w:space="0" w:color="auto"/>
              <w:left w:val="single" w:sz="4" w:space="0" w:color="auto"/>
              <w:bottom w:val="single" w:sz="4" w:space="0" w:color="auto"/>
              <w:right w:val="single" w:sz="4" w:space="0" w:color="auto"/>
            </w:tcBorders>
          </w:tcPr>
          <w:p w14:paraId="259F5C00" w14:textId="77777777" w:rsidR="009306F8" w:rsidRPr="009306F8" w:rsidRDefault="009306F8" w:rsidP="009306F8">
            <w:pPr>
              <w:rPr>
                <w:color w:val="404040" w:themeColor="text1" w:themeTint="BF"/>
              </w:rPr>
            </w:pPr>
            <w:r w:rsidRPr="009306F8">
              <w:rPr>
                <w:color w:val="404040" w:themeColor="text1" w:themeTint="BF"/>
              </w:rPr>
              <w:t>2</w:t>
            </w:r>
          </w:p>
        </w:tc>
        <w:tc>
          <w:tcPr>
            <w:tcW w:w="3544" w:type="dxa"/>
            <w:tcBorders>
              <w:top w:val="single" w:sz="4" w:space="0" w:color="auto"/>
              <w:left w:val="single" w:sz="4" w:space="0" w:color="auto"/>
              <w:bottom w:val="single" w:sz="4" w:space="0" w:color="auto"/>
              <w:right w:val="single" w:sz="4" w:space="0" w:color="auto"/>
            </w:tcBorders>
          </w:tcPr>
          <w:p w14:paraId="6D992757" w14:textId="77777777" w:rsidR="009306F8" w:rsidRPr="009306F8" w:rsidRDefault="009306F8" w:rsidP="009306F8">
            <w:pPr>
              <w:rPr>
                <w:color w:val="404040" w:themeColor="text1" w:themeTint="BF"/>
              </w:rPr>
            </w:pPr>
          </w:p>
        </w:tc>
      </w:tr>
      <w:tr w:rsidR="009306F8" w:rsidRPr="009306F8" w14:paraId="5DDFE2BF" w14:textId="77777777" w:rsidTr="00261A1A">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14:paraId="0832C443" w14:textId="77777777" w:rsidR="009306F8" w:rsidRPr="009306F8" w:rsidRDefault="009306F8" w:rsidP="009306F8">
            <w:r w:rsidRPr="009306F8">
              <w:t>No view</w:t>
            </w:r>
          </w:p>
        </w:tc>
        <w:tc>
          <w:tcPr>
            <w:tcW w:w="1984" w:type="dxa"/>
            <w:tcBorders>
              <w:top w:val="single" w:sz="4" w:space="0" w:color="auto"/>
              <w:left w:val="single" w:sz="4" w:space="0" w:color="auto"/>
              <w:bottom w:val="single" w:sz="4" w:space="0" w:color="auto"/>
              <w:right w:val="single" w:sz="4" w:space="0" w:color="auto"/>
            </w:tcBorders>
          </w:tcPr>
          <w:p w14:paraId="1E9FEE25" w14:textId="77777777" w:rsidR="009306F8" w:rsidRPr="009306F8" w:rsidRDefault="009306F8" w:rsidP="009306F8">
            <w:pPr>
              <w:rPr>
                <w:color w:val="404040" w:themeColor="text1" w:themeTint="BF"/>
              </w:rPr>
            </w:pPr>
          </w:p>
        </w:tc>
        <w:tc>
          <w:tcPr>
            <w:tcW w:w="1843" w:type="dxa"/>
            <w:tcBorders>
              <w:top w:val="single" w:sz="4" w:space="0" w:color="auto"/>
              <w:left w:val="single" w:sz="4" w:space="0" w:color="auto"/>
              <w:bottom w:val="single" w:sz="4" w:space="0" w:color="auto"/>
              <w:right w:val="single" w:sz="4" w:space="0" w:color="auto"/>
            </w:tcBorders>
          </w:tcPr>
          <w:p w14:paraId="787FD6EE" w14:textId="77777777" w:rsidR="009306F8" w:rsidRPr="009306F8" w:rsidRDefault="009306F8" w:rsidP="009306F8">
            <w:pPr>
              <w:rPr>
                <w:color w:val="404040" w:themeColor="text1" w:themeTint="BF"/>
              </w:rPr>
            </w:pPr>
            <w:r w:rsidRPr="009306F8">
              <w:rPr>
                <w:color w:val="404040" w:themeColor="text1" w:themeTint="BF"/>
              </w:rPr>
              <w:t>0</w:t>
            </w:r>
          </w:p>
        </w:tc>
        <w:tc>
          <w:tcPr>
            <w:tcW w:w="3544" w:type="dxa"/>
            <w:tcBorders>
              <w:top w:val="single" w:sz="4" w:space="0" w:color="auto"/>
              <w:left w:val="single" w:sz="4" w:space="0" w:color="auto"/>
              <w:bottom w:val="single" w:sz="4" w:space="0" w:color="auto"/>
              <w:right w:val="single" w:sz="4" w:space="0" w:color="auto"/>
            </w:tcBorders>
          </w:tcPr>
          <w:p w14:paraId="5B657254" w14:textId="77777777" w:rsidR="009306F8" w:rsidRPr="009306F8" w:rsidRDefault="009306F8" w:rsidP="009306F8">
            <w:pPr>
              <w:rPr>
                <w:color w:val="404040" w:themeColor="text1" w:themeTint="BF"/>
              </w:rPr>
            </w:pPr>
          </w:p>
        </w:tc>
      </w:tr>
      <w:tr w:rsidR="009306F8" w:rsidRPr="009306F8" w14:paraId="49D19EAA" w14:textId="77777777" w:rsidTr="00261A1A">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14:paraId="710A983E" w14:textId="77777777" w:rsidR="009306F8" w:rsidRPr="009306F8" w:rsidRDefault="009306F8" w:rsidP="009306F8">
            <w:r w:rsidRPr="009306F8">
              <w:t>Not sure</w:t>
            </w:r>
          </w:p>
        </w:tc>
        <w:tc>
          <w:tcPr>
            <w:tcW w:w="1984" w:type="dxa"/>
            <w:tcBorders>
              <w:top w:val="single" w:sz="4" w:space="0" w:color="auto"/>
              <w:left w:val="single" w:sz="4" w:space="0" w:color="auto"/>
              <w:bottom w:val="single" w:sz="4" w:space="0" w:color="auto"/>
              <w:right w:val="single" w:sz="4" w:space="0" w:color="auto"/>
            </w:tcBorders>
          </w:tcPr>
          <w:p w14:paraId="3E7F8114" w14:textId="5079E5F3" w:rsidR="009306F8" w:rsidRPr="009306F8" w:rsidRDefault="00E20C3B" w:rsidP="00E20C3B">
            <w:pPr>
              <w:rPr>
                <w:color w:val="404040" w:themeColor="text1" w:themeTint="BF"/>
              </w:rPr>
            </w:pPr>
            <w:r>
              <w:rPr>
                <w:color w:val="404040" w:themeColor="text1" w:themeTint="BF"/>
              </w:rPr>
              <w:t>R</w:t>
            </w:r>
            <w:r w:rsidR="009306F8" w:rsidRPr="009306F8">
              <w:rPr>
                <w:color w:val="404040" w:themeColor="text1" w:themeTint="BF"/>
              </w:rPr>
              <w:t>16</w:t>
            </w:r>
          </w:p>
        </w:tc>
        <w:tc>
          <w:tcPr>
            <w:tcW w:w="1843" w:type="dxa"/>
            <w:tcBorders>
              <w:top w:val="single" w:sz="4" w:space="0" w:color="auto"/>
              <w:left w:val="single" w:sz="4" w:space="0" w:color="auto"/>
              <w:bottom w:val="single" w:sz="4" w:space="0" w:color="auto"/>
              <w:right w:val="single" w:sz="4" w:space="0" w:color="auto"/>
            </w:tcBorders>
          </w:tcPr>
          <w:p w14:paraId="3C87AE2A" w14:textId="77777777" w:rsidR="009306F8" w:rsidRPr="009306F8" w:rsidRDefault="009306F8" w:rsidP="009306F8">
            <w:pPr>
              <w:rPr>
                <w:color w:val="404040" w:themeColor="text1" w:themeTint="BF"/>
              </w:rPr>
            </w:pPr>
            <w:r w:rsidRPr="009306F8">
              <w:rPr>
                <w:color w:val="404040" w:themeColor="text1" w:themeTint="BF"/>
              </w:rPr>
              <w:t>1</w:t>
            </w:r>
          </w:p>
        </w:tc>
        <w:tc>
          <w:tcPr>
            <w:tcW w:w="3544" w:type="dxa"/>
            <w:tcBorders>
              <w:top w:val="single" w:sz="4" w:space="0" w:color="auto"/>
              <w:left w:val="single" w:sz="4" w:space="0" w:color="auto"/>
              <w:bottom w:val="single" w:sz="4" w:space="0" w:color="auto"/>
              <w:right w:val="single" w:sz="4" w:space="0" w:color="auto"/>
            </w:tcBorders>
          </w:tcPr>
          <w:p w14:paraId="3C314931" w14:textId="77777777" w:rsidR="009306F8" w:rsidRPr="009306F8" w:rsidRDefault="009306F8" w:rsidP="009306F8">
            <w:pPr>
              <w:rPr>
                <w:color w:val="404040" w:themeColor="text1" w:themeTint="BF"/>
              </w:rPr>
            </w:pPr>
          </w:p>
        </w:tc>
      </w:tr>
      <w:tr w:rsidR="009306F8" w:rsidRPr="009306F8" w14:paraId="7E46D8C5" w14:textId="77777777" w:rsidTr="00261A1A">
        <w:trPr>
          <w:trHeight w:val="340"/>
        </w:trPr>
        <w:tc>
          <w:tcPr>
            <w:tcW w:w="3261" w:type="dxa"/>
            <w:tcBorders>
              <w:top w:val="single" w:sz="4" w:space="0" w:color="auto"/>
              <w:left w:val="single" w:sz="4" w:space="0" w:color="auto"/>
              <w:bottom w:val="single" w:sz="4" w:space="0" w:color="auto"/>
              <w:right w:val="single" w:sz="4" w:space="0" w:color="auto"/>
            </w:tcBorders>
            <w:vAlign w:val="center"/>
          </w:tcPr>
          <w:p w14:paraId="09C0ACA3" w14:textId="77777777" w:rsidR="009306F8" w:rsidRPr="009306F8" w:rsidRDefault="009306F8" w:rsidP="009306F8">
            <w:r w:rsidRPr="009306F8">
              <w:rPr>
                <w:sz w:val="20"/>
                <w:szCs w:val="20"/>
              </w:rPr>
              <w:t>Refers to a response to another question – note respondent’s ID number</w:t>
            </w:r>
          </w:p>
        </w:tc>
        <w:tc>
          <w:tcPr>
            <w:tcW w:w="1984" w:type="dxa"/>
            <w:tcBorders>
              <w:top w:val="single" w:sz="4" w:space="0" w:color="auto"/>
              <w:left w:val="single" w:sz="4" w:space="0" w:color="auto"/>
              <w:bottom w:val="single" w:sz="4" w:space="0" w:color="auto"/>
              <w:right w:val="single" w:sz="4" w:space="0" w:color="auto"/>
            </w:tcBorders>
          </w:tcPr>
          <w:p w14:paraId="3FABAAA1" w14:textId="22C1E074" w:rsidR="009306F8" w:rsidRPr="009306F8" w:rsidRDefault="00E20C3B" w:rsidP="009306F8">
            <w:pPr>
              <w:rPr>
                <w:color w:val="404040" w:themeColor="text1" w:themeTint="BF"/>
              </w:rPr>
            </w:pPr>
            <w:r>
              <w:rPr>
                <w:color w:val="404040" w:themeColor="text1" w:themeTint="BF"/>
              </w:rPr>
              <w:t>U</w:t>
            </w:r>
            <w:r w:rsidR="009306F8" w:rsidRPr="009306F8">
              <w:rPr>
                <w:color w:val="404040" w:themeColor="text1" w:themeTint="BF"/>
              </w:rPr>
              <w:t>55</w:t>
            </w:r>
          </w:p>
        </w:tc>
        <w:tc>
          <w:tcPr>
            <w:tcW w:w="1843" w:type="dxa"/>
            <w:tcBorders>
              <w:top w:val="single" w:sz="4" w:space="0" w:color="auto"/>
              <w:left w:val="single" w:sz="4" w:space="0" w:color="auto"/>
              <w:bottom w:val="single" w:sz="4" w:space="0" w:color="auto"/>
              <w:right w:val="single" w:sz="4" w:space="0" w:color="auto"/>
            </w:tcBorders>
          </w:tcPr>
          <w:p w14:paraId="37BDABEB" w14:textId="77777777" w:rsidR="009306F8" w:rsidRPr="009306F8" w:rsidRDefault="009306F8" w:rsidP="009306F8">
            <w:pPr>
              <w:rPr>
                <w:color w:val="404040" w:themeColor="text1" w:themeTint="BF"/>
              </w:rPr>
            </w:pPr>
            <w:r w:rsidRPr="009306F8">
              <w:rPr>
                <w:color w:val="404040" w:themeColor="text1" w:themeTint="BF"/>
              </w:rPr>
              <w:t>1</w:t>
            </w:r>
          </w:p>
        </w:tc>
        <w:tc>
          <w:tcPr>
            <w:tcW w:w="3544" w:type="dxa"/>
            <w:tcBorders>
              <w:top w:val="single" w:sz="4" w:space="0" w:color="auto"/>
              <w:left w:val="single" w:sz="4" w:space="0" w:color="auto"/>
              <w:bottom w:val="single" w:sz="4" w:space="0" w:color="auto"/>
              <w:right w:val="single" w:sz="4" w:space="0" w:color="auto"/>
            </w:tcBorders>
          </w:tcPr>
          <w:p w14:paraId="02793084" w14:textId="77777777" w:rsidR="009306F8" w:rsidRPr="009306F8" w:rsidRDefault="009306F8" w:rsidP="009306F8">
            <w:pPr>
              <w:rPr>
                <w:color w:val="404040" w:themeColor="text1" w:themeTint="BF"/>
              </w:rPr>
            </w:pPr>
          </w:p>
        </w:tc>
      </w:tr>
      <w:tr w:rsidR="009306F8" w:rsidRPr="009306F8" w14:paraId="44003647" w14:textId="77777777" w:rsidTr="00261A1A">
        <w:trPr>
          <w:trHeight w:val="340"/>
        </w:trPr>
        <w:tc>
          <w:tcPr>
            <w:tcW w:w="3261" w:type="dxa"/>
            <w:tcBorders>
              <w:top w:val="single" w:sz="4" w:space="0" w:color="auto"/>
              <w:left w:val="single" w:sz="4" w:space="0" w:color="auto"/>
              <w:bottom w:val="single" w:sz="4" w:space="0" w:color="auto"/>
              <w:right w:val="single" w:sz="4" w:space="0" w:color="auto"/>
            </w:tcBorders>
            <w:vAlign w:val="center"/>
          </w:tcPr>
          <w:p w14:paraId="7EF6ECD5" w14:textId="77777777" w:rsidR="009306F8" w:rsidRPr="009306F8" w:rsidRDefault="009306F8" w:rsidP="009306F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E8B478" w14:textId="77777777" w:rsidR="009306F8" w:rsidRPr="009306F8" w:rsidRDefault="009306F8" w:rsidP="009306F8">
            <w:pPr>
              <w:rPr>
                <w:color w:val="404040" w:themeColor="text1" w:themeTint="BF"/>
              </w:rPr>
            </w:pPr>
          </w:p>
        </w:tc>
        <w:tc>
          <w:tcPr>
            <w:tcW w:w="1843" w:type="dxa"/>
            <w:tcBorders>
              <w:top w:val="single" w:sz="4" w:space="0" w:color="auto"/>
              <w:left w:val="single" w:sz="4" w:space="0" w:color="auto"/>
              <w:bottom w:val="single" w:sz="4" w:space="0" w:color="auto"/>
              <w:right w:val="single" w:sz="4" w:space="0" w:color="auto"/>
            </w:tcBorders>
          </w:tcPr>
          <w:p w14:paraId="37603AA2" w14:textId="77777777" w:rsidR="009306F8" w:rsidRPr="009306F8" w:rsidRDefault="009306F8" w:rsidP="009306F8">
            <w:pPr>
              <w:rPr>
                <w:color w:val="404040" w:themeColor="text1" w:themeTint="BF"/>
              </w:rPr>
            </w:pPr>
          </w:p>
        </w:tc>
        <w:tc>
          <w:tcPr>
            <w:tcW w:w="3544" w:type="dxa"/>
            <w:tcBorders>
              <w:top w:val="single" w:sz="4" w:space="0" w:color="auto"/>
              <w:left w:val="single" w:sz="4" w:space="0" w:color="auto"/>
              <w:bottom w:val="single" w:sz="4" w:space="0" w:color="auto"/>
              <w:right w:val="single" w:sz="4" w:space="0" w:color="auto"/>
            </w:tcBorders>
          </w:tcPr>
          <w:p w14:paraId="01B626EE" w14:textId="77777777" w:rsidR="009306F8" w:rsidRPr="009306F8" w:rsidRDefault="009306F8" w:rsidP="009306F8">
            <w:pPr>
              <w:rPr>
                <w:color w:val="404040" w:themeColor="text1" w:themeTint="BF"/>
              </w:rPr>
            </w:pPr>
          </w:p>
        </w:tc>
      </w:tr>
      <w:tr w:rsidR="009306F8" w:rsidRPr="009306F8" w14:paraId="2C9B2BA2" w14:textId="77777777" w:rsidTr="00261A1A">
        <w:trPr>
          <w:trHeight w:val="624"/>
        </w:trPr>
        <w:tc>
          <w:tcPr>
            <w:tcW w:w="3261" w:type="dxa"/>
            <w:tcBorders>
              <w:top w:val="single" w:sz="4" w:space="0" w:color="auto"/>
              <w:left w:val="single" w:sz="4" w:space="0" w:color="auto"/>
              <w:bottom w:val="single" w:sz="4" w:space="0" w:color="auto"/>
              <w:right w:val="single" w:sz="4" w:space="0" w:color="auto"/>
            </w:tcBorders>
            <w:vAlign w:val="center"/>
          </w:tcPr>
          <w:p w14:paraId="572F1603" w14:textId="77777777" w:rsidR="009306F8" w:rsidRPr="009306F8" w:rsidRDefault="009306F8" w:rsidP="009306F8">
            <w:r w:rsidRPr="009306F8">
              <w:t>Agree with proposed overarching purpose</w:t>
            </w:r>
          </w:p>
        </w:tc>
        <w:tc>
          <w:tcPr>
            <w:tcW w:w="1984" w:type="dxa"/>
            <w:tcBorders>
              <w:top w:val="single" w:sz="4" w:space="0" w:color="auto"/>
              <w:left w:val="single" w:sz="4" w:space="0" w:color="auto"/>
              <w:bottom w:val="single" w:sz="4" w:space="0" w:color="auto"/>
              <w:right w:val="single" w:sz="4" w:space="0" w:color="auto"/>
            </w:tcBorders>
          </w:tcPr>
          <w:p w14:paraId="446C683A" w14:textId="1B717A81" w:rsidR="009306F8" w:rsidRPr="009306F8" w:rsidRDefault="00E20C3B" w:rsidP="00E20C3B">
            <w:pPr>
              <w:rPr>
                <w:color w:val="404040" w:themeColor="text1" w:themeTint="BF"/>
              </w:rPr>
            </w:pPr>
            <w:r>
              <w:rPr>
                <w:color w:val="404040" w:themeColor="text1" w:themeTint="BF"/>
              </w:rPr>
              <w:t>V</w:t>
            </w:r>
            <w:r w:rsidR="009306F8" w:rsidRPr="009306F8">
              <w:rPr>
                <w:color w:val="404040" w:themeColor="text1" w:themeTint="BF"/>
              </w:rPr>
              <w:t xml:space="preserve">7, </w:t>
            </w:r>
            <w:r>
              <w:rPr>
                <w:color w:val="404040" w:themeColor="text1" w:themeTint="BF"/>
              </w:rPr>
              <w:t>T</w:t>
            </w:r>
            <w:r w:rsidR="009306F8" w:rsidRPr="009306F8">
              <w:rPr>
                <w:color w:val="404040" w:themeColor="text1" w:themeTint="BF"/>
              </w:rPr>
              <w:t xml:space="preserve">12, </w:t>
            </w:r>
            <w:r>
              <w:rPr>
                <w:color w:val="404040" w:themeColor="text1" w:themeTint="BF"/>
              </w:rPr>
              <w:t>W</w:t>
            </w:r>
            <w:r w:rsidR="009306F8" w:rsidRPr="009306F8">
              <w:rPr>
                <w:color w:val="404040" w:themeColor="text1" w:themeTint="BF"/>
              </w:rPr>
              <w:t xml:space="preserve">18, </w:t>
            </w:r>
            <w:r>
              <w:rPr>
                <w:color w:val="404040" w:themeColor="text1" w:themeTint="BF"/>
              </w:rPr>
              <w:t>Y</w:t>
            </w:r>
            <w:r w:rsidR="009306F8" w:rsidRPr="009306F8">
              <w:rPr>
                <w:color w:val="404040" w:themeColor="text1" w:themeTint="BF"/>
              </w:rPr>
              <w:t xml:space="preserve">22, </w:t>
            </w:r>
            <w:r>
              <w:rPr>
                <w:color w:val="404040" w:themeColor="text1" w:themeTint="BF"/>
              </w:rPr>
              <w:t>Z</w:t>
            </w:r>
            <w:r w:rsidR="009306F8" w:rsidRPr="009306F8">
              <w:rPr>
                <w:color w:val="404040" w:themeColor="text1" w:themeTint="BF"/>
              </w:rPr>
              <w:t xml:space="preserve">1, </w:t>
            </w:r>
            <w:r>
              <w:rPr>
                <w:color w:val="404040" w:themeColor="text1" w:themeTint="BF"/>
              </w:rPr>
              <w:t>V</w:t>
            </w:r>
            <w:r w:rsidR="009306F8" w:rsidRPr="009306F8">
              <w:rPr>
                <w:color w:val="404040" w:themeColor="text1" w:themeTint="BF"/>
              </w:rPr>
              <w:t>58</w:t>
            </w:r>
          </w:p>
        </w:tc>
        <w:tc>
          <w:tcPr>
            <w:tcW w:w="1843" w:type="dxa"/>
            <w:tcBorders>
              <w:top w:val="single" w:sz="4" w:space="0" w:color="auto"/>
              <w:left w:val="single" w:sz="4" w:space="0" w:color="auto"/>
              <w:bottom w:val="single" w:sz="4" w:space="0" w:color="auto"/>
              <w:right w:val="single" w:sz="4" w:space="0" w:color="auto"/>
            </w:tcBorders>
          </w:tcPr>
          <w:p w14:paraId="0DE74B92" w14:textId="77777777" w:rsidR="009306F8" w:rsidRPr="009306F8" w:rsidRDefault="009306F8" w:rsidP="009306F8">
            <w:pPr>
              <w:rPr>
                <w:color w:val="404040" w:themeColor="text1" w:themeTint="BF"/>
              </w:rPr>
            </w:pPr>
            <w:r w:rsidRPr="009306F8">
              <w:rPr>
                <w:color w:val="404040" w:themeColor="text1" w:themeTint="BF"/>
              </w:rPr>
              <w:t>6</w:t>
            </w:r>
          </w:p>
        </w:tc>
        <w:tc>
          <w:tcPr>
            <w:tcW w:w="3544" w:type="dxa"/>
            <w:tcBorders>
              <w:top w:val="single" w:sz="4" w:space="0" w:color="auto"/>
              <w:left w:val="single" w:sz="4" w:space="0" w:color="auto"/>
              <w:bottom w:val="single" w:sz="4" w:space="0" w:color="auto"/>
              <w:right w:val="single" w:sz="4" w:space="0" w:color="auto"/>
            </w:tcBorders>
          </w:tcPr>
          <w:p w14:paraId="7D4AD2FD" w14:textId="1AA27C09" w:rsidR="009306F8" w:rsidRPr="009306F8" w:rsidRDefault="009306F8" w:rsidP="009306F8">
            <w:pPr>
              <w:rPr>
                <w:color w:val="404040" w:themeColor="text1" w:themeTint="BF"/>
              </w:rPr>
            </w:pPr>
            <w:r w:rsidRPr="009306F8">
              <w:rPr>
                <w:color w:val="404040" w:themeColor="text1" w:themeTint="BF"/>
              </w:rPr>
              <w:t>An important part of our armoury in fighting biodiversity loss.(</w:t>
            </w:r>
            <w:r w:rsidR="00E20C3B">
              <w:rPr>
                <w:color w:val="404040" w:themeColor="text1" w:themeTint="BF"/>
              </w:rPr>
              <w:t>V</w:t>
            </w:r>
            <w:r w:rsidRPr="009306F8">
              <w:rPr>
                <w:color w:val="404040" w:themeColor="text1" w:themeTint="BF"/>
              </w:rPr>
              <w:t>7)</w:t>
            </w:r>
          </w:p>
          <w:p w14:paraId="3A8D2188" w14:textId="77777777" w:rsidR="009306F8" w:rsidRPr="009306F8" w:rsidRDefault="009306F8" w:rsidP="009306F8">
            <w:pPr>
              <w:rPr>
                <w:color w:val="404040" w:themeColor="text1" w:themeTint="BF"/>
              </w:rPr>
            </w:pPr>
          </w:p>
          <w:p w14:paraId="534C2E5B" w14:textId="77777777" w:rsidR="009306F8" w:rsidRPr="009306F8" w:rsidRDefault="009306F8" w:rsidP="009306F8">
            <w:pPr>
              <w:rPr>
                <w:color w:val="404040" w:themeColor="text1" w:themeTint="BF"/>
              </w:rPr>
            </w:pPr>
            <w:r w:rsidRPr="009306F8">
              <w:rPr>
                <w:color w:val="404040" w:themeColor="text1" w:themeTint="BF"/>
              </w:rPr>
              <w:t>Link with lynx (P31)</w:t>
            </w:r>
          </w:p>
        </w:tc>
      </w:tr>
      <w:tr w:rsidR="009306F8" w:rsidRPr="009306F8" w14:paraId="31FFA229" w14:textId="77777777" w:rsidTr="00261A1A">
        <w:trPr>
          <w:trHeight w:val="1524"/>
        </w:trPr>
        <w:tc>
          <w:tcPr>
            <w:tcW w:w="3261" w:type="dxa"/>
            <w:tcBorders>
              <w:top w:val="single" w:sz="4" w:space="0" w:color="auto"/>
              <w:left w:val="single" w:sz="4" w:space="0" w:color="auto"/>
              <w:right w:val="single" w:sz="4" w:space="0" w:color="auto"/>
            </w:tcBorders>
            <w:vAlign w:val="center"/>
            <w:hideMark/>
          </w:tcPr>
          <w:p w14:paraId="57E59FC5" w14:textId="77777777" w:rsidR="009306F8" w:rsidRPr="009306F8" w:rsidRDefault="009306F8" w:rsidP="009306F8">
            <w:r w:rsidRPr="009306F8">
              <w:t>Disagree with proposed overarching purpose</w:t>
            </w:r>
          </w:p>
        </w:tc>
        <w:tc>
          <w:tcPr>
            <w:tcW w:w="1984" w:type="dxa"/>
            <w:tcBorders>
              <w:top w:val="single" w:sz="4" w:space="0" w:color="auto"/>
              <w:left w:val="single" w:sz="4" w:space="0" w:color="auto"/>
              <w:right w:val="single" w:sz="4" w:space="0" w:color="auto"/>
            </w:tcBorders>
          </w:tcPr>
          <w:p w14:paraId="1F2F3211" w14:textId="2C5B8ADC" w:rsidR="009306F8" w:rsidRPr="009306F8" w:rsidRDefault="00E20C3B" w:rsidP="00E20C3B">
            <w:pPr>
              <w:rPr>
                <w:color w:val="404040" w:themeColor="text1" w:themeTint="BF"/>
              </w:rPr>
            </w:pPr>
            <w:r>
              <w:rPr>
                <w:color w:val="404040" w:themeColor="text1" w:themeTint="BF"/>
              </w:rPr>
              <w:t>W</w:t>
            </w:r>
            <w:r w:rsidR="009306F8" w:rsidRPr="009306F8">
              <w:rPr>
                <w:color w:val="404040" w:themeColor="text1" w:themeTint="BF"/>
              </w:rPr>
              <w:t xml:space="preserve">3, </w:t>
            </w:r>
            <w:r>
              <w:rPr>
                <w:color w:val="404040" w:themeColor="text1" w:themeTint="BF"/>
              </w:rPr>
              <w:t>X</w:t>
            </w:r>
            <w:r w:rsidR="009306F8" w:rsidRPr="009306F8">
              <w:rPr>
                <w:color w:val="404040" w:themeColor="text1" w:themeTint="BF"/>
              </w:rPr>
              <w:t xml:space="preserve">23, </w:t>
            </w:r>
            <w:r>
              <w:rPr>
                <w:color w:val="404040" w:themeColor="text1" w:themeTint="BF"/>
              </w:rPr>
              <w:t>Y</w:t>
            </w:r>
            <w:r w:rsidR="009306F8" w:rsidRPr="009306F8">
              <w:rPr>
                <w:color w:val="404040" w:themeColor="text1" w:themeTint="BF"/>
              </w:rPr>
              <w:t xml:space="preserve">45, </w:t>
            </w:r>
            <w:r>
              <w:rPr>
                <w:color w:val="404040" w:themeColor="text1" w:themeTint="BF"/>
              </w:rPr>
              <w:t>Z</w:t>
            </w:r>
            <w:r w:rsidR="009306F8" w:rsidRPr="009306F8">
              <w:rPr>
                <w:color w:val="404040" w:themeColor="text1" w:themeTint="BF"/>
              </w:rPr>
              <w:t xml:space="preserve">47, </w:t>
            </w:r>
            <w:r>
              <w:rPr>
                <w:color w:val="404040" w:themeColor="text1" w:themeTint="BF"/>
              </w:rPr>
              <w:t>S</w:t>
            </w:r>
            <w:r w:rsidR="009306F8" w:rsidRPr="009306F8">
              <w:rPr>
                <w:color w:val="404040" w:themeColor="text1" w:themeTint="BF"/>
              </w:rPr>
              <w:t xml:space="preserve">56, </w:t>
            </w:r>
            <w:r>
              <w:rPr>
                <w:color w:val="404040" w:themeColor="text1" w:themeTint="BF"/>
              </w:rPr>
              <w:t>T</w:t>
            </w:r>
            <w:r w:rsidR="009306F8" w:rsidRPr="009306F8">
              <w:rPr>
                <w:color w:val="404040" w:themeColor="text1" w:themeTint="BF"/>
              </w:rPr>
              <w:t xml:space="preserve">60, </w:t>
            </w:r>
            <w:r>
              <w:rPr>
                <w:color w:val="404040" w:themeColor="text1" w:themeTint="BF"/>
              </w:rPr>
              <w:t>S</w:t>
            </w:r>
            <w:r w:rsidR="009306F8" w:rsidRPr="009306F8">
              <w:rPr>
                <w:color w:val="404040" w:themeColor="text1" w:themeTint="BF"/>
              </w:rPr>
              <w:t xml:space="preserve">62, </w:t>
            </w:r>
            <w:r>
              <w:rPr>
                <w:color w:val="404040" w:themeColor="text1" w:themeTint="BF"/>
              </w:rPr>
              <w:t>S</w:t>
            </w:r>
            <w:r w:rsidR="009306F8" w:rsidRPr="009306F8">
              <w:rPr>
                <w:color w:val="404040" w:themeColor="text1" w:themeTint="BF"/>
              </w:rPr>
              <w:t>101</w:t>
            </w:r>
          </w:p>
        </w:tc>
        <w:tc>
          <w:tcPr>
            <w:tcW w:w="1843" w:type="dxa"/>
            <w:tcBorders>
              <w:top w:val="single" w:sz="4" w:space="0" w:color="auto"/>
              <w:left w:val="single" w:sz="4" w:space="0" w:color="auto"/>
              <w:right w:val="single" w:sz="4" w:space="0" w:color="auto"/>
            </w:tcBorders>
          </w:tcPr>
          <w:p w14:paraId="70A0866C" w14:textId="77777777" w:rsidR="009306F8" w:rsidRPr="009306F8" w:rsidRDefault="009306F8" w:rsidP="009306F8">
            <w:pPr>
              <w:rPr>
                <w:color w:val="404040" w:themeColor="text1" w:themeTint="BF"/>
              </w:rPr>
            </w:pPr>
            <w:r w:rsidRPr="009306F8">
              <w:rPr>
                <w:color w:val="404040" w:themeColor="text1" w:themeTint="BF"/>
              </w:rPr>
              <w:t>8</w:t>
            </w:r>
          </w:p>
        </w:tc>
        <w:tc>
          <w:tcPr>
            <w:tcW w:w="3544" w:type="dxa"/>
            <w:tcBorders>
              <w:top w:val="single" w:sz="4" w:space="0" w:color="auto"/>
              <w:left w:val="single" w:sz="4" w:space="0" w:color="auto"/>
              <w:right w:val="single" w:sz="4" w:space="0" w:color="auto"/>
            </w:tcBorders>
          </w:tcPr>
          <w:p w14:paraId="5951CBAD" w14:textId="707F0ACF" w:rsidR="009306F8" w:rsidRPr="009306F8" w:rsidRDefault="009306F8" w:rsidP="00E20C3B">
            <w:pPr>
              <w:rPr>
                <w:color w:val="404040" w:themeColor="text1" w:themeTint="BF"/>
              </w:rPr>
            </w:pPr>
            <w:r w:rsidRPr="009306F8">
              <w:rPr>
                <w:color w:val="404040" w:themeColor="text1" w:themeTint="BF"/>
              </w:rPr>
              <w:t>Must not be sought at all costs, (</w:t>
            </w:r>
            <w:r w:rsidR="00E20C3B">
              <w:rPr>
                <w:color w:val="404040" w:themeColor="text1" w:themeTint="BF"/>
              </w:rPr>
              <w:t>S</w:t>
            </w:r>
            <w:r w:rsidRPr="009306F8">
              <w:rPr>
                <w:color w:val="404040" w:themeColor="text1" w:themeTint="BF"/>
              </w:rPr>
              <w:t>101)</w:t>
            </w:r>
          </w:p>
        </w:tc>
      </w:tr>
      <w:tr w:rsidR="009306F8" w:rsidRPr="009306F8" w14:paraId="416C239F" w14:textId="77777777" w:rsidTr="00261A1A">
        <w:trPr>
          <w:trHeight w:val="1309"/>
        </w:trPr>
        <w:tc>
          <w:tcPr>
            <w:tcW w:w="3261" w:type="dxa"/>
            <w:tcBorders>
              <w:top w:val="single" w:sz="4" w:space="0" w:color="auto"/>
              <w:left w:val="single" w:sz="4" w:space="0" w:color="auto"/>
              <w:bottom w:val="single" w:sz="4" w:space="0" w:color="auto"/>
              <w:right w:val="single" w:sz="4" w:space="0" w:color="auto"/>
            </w:tcBorders>
            <w:vAlign w:val="center"/>
          </w:tcPr>
          <w:p w14:paraId="36FCD177" w14:textId="77777777" w:rsidR="009306F8" w:rsidRPr="009306F8" w:rsidRDefault="009306F8" w:rsidP="009306F8">
            <w:r w:rsidRPr="009306F8">
              <w:t>Proposed an alternative</w:t>
            </w:r>
          </w:p>
          <w:p w14:paraId="1BFCA284" w14:textId="77777777" w:rsidR="009306F8" w:rsidRPr="009306F8" w:rsidRDefault="009306F8" w:rsidP="009306F8">
            <w:pPr>
              <w:rPr>
                <w:i/>
                <w:sz w:val="20"/>
                <w:szCs w:val="20"/>
              </w:rPr>
            </w:pPr>
            <w:r w:rsidRPr="009306F8">
              <w:rPr>
                <w:i/>
              </w:rPr>
              <w:t xml:space="preserve">List the alternatives in categories, </w:t>
            </w:r>
            <w:r w:rsidRPr="009306F8">
              <w:rPr>
                <w:i/>
                <w:sz w:val="20"/>
                <w:szCs w:val="20"/>
              </w:rPr>
              <w:t>noting respondent code for each category</w:t>
            </w:r>
          </w:p>
          <w:p w14:paraId="45F36517" w14:textId="77777777" w:rsidR="009306F8" w:rsidRPr="009306F8" w:rsidRDefault="009306F8" w:rsidP="009306F8"/>
        </w:tc>
        <w:tc>
          <w:tcPr>
            <w:tcW w:w="1984" w:type="dxa"/>
            <w:tcBorders>
              <w:top w:val="single" w:sz="4" w:space="0" w:color="auto"/>
              <w:left w:val="single" w:sz="4" w:space="0" w:color="auto"/>
              <w:right w:val="single" w:sz="4" w:space="0" w:color="auto"/>
            </w:tcBorders>
            <w:shd w:val="clear" w:color="auto" w:fill="D9D9D9" w:themeFill="background1" w:themeFillShade="D9"/>
          </w:tcPr>
          <w:p w14:paraId="2579F39B" w14:textId="77777777" w:rsidR="009306F8" w:rsidRPr="009306F8" w:rsidRDefault="009306F8" w:rsidP="009306F8"/>
        </w:tc>
        <w:tc>
          <w:tcPr>
            <w:tcW w:w="1843" w:type="dxa"/>
            <w:tcBorders>
              <w:top w:val="single" w:sz="4" w:space="0" w:color="auto"/>
              <w:left w:val="single" w:sz="4" w:space="0" w:color="auto"/>
              <w:right w:val="single" w:sz="4" w:space="0" w:color="auto"/>
            </w:tcBorders>
            <w:shd w:val="clear" w:color="auto" w:fill="D9D9D9" w:themeFill="background1" w:themeFillShade="D9"/>
          </w:tcPr>
          <w:p w14:paraId="52834964" w14:textId="77777777" w:rsidR="009306F8" w:rsidRPr="009306F8" w:rsidRDefault="009306F8" w:rsidP="009306F8"/>
        </w:tc>
        <w:tc>
          <w:tcPr>
            <w:tcW w:w="3544" w:type="dxa"/>
            <w:tcBorders>
              <w:top w:val="single" w:sz="4" w:space="0" w:color="auto"/>
              <w:left w:val="single" w:sz="4" w:space="0" w:color="auto"/>
              <w:right w:val="single" w:sz="4" w:space="0" w:color="auto"/>
            </w:tcBorders>
            <w:shd w:val="clear" w:color="auto" w:fill="D9D9D9" w:themeFill="background1" w:themeFillShade="D9"/>
          </w:tcPr>
          <w:p w14:paraId="11A35121" w14:textId="77777777" w:rsidR="009306F8" w:rsidRPr="009306F8" w:rsidRDefault="009306F8" w:rsidP="009306F8"/>
        </w:tc>
      </w:tr>
      <w:tr w:rsidR="009306F8" w:rsidRPr="009306F8" w14:paraId="3BFE8CBF" w14:textId="77777777" w:rsidTr="00261A1A">
        <w:trPr>
          <w:trHeight w:val="15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E47C84D" w14:textId="4704C9D0" w:rsidR="009306F8" w:rsidRPr="00443DDD" w:rsidRDefault="009306F8" w:rsidP="00AC4AB1">
            <w:r w:rsidRPr="00443DDD">
              <w:t xml:space="preserve">electric vehicles </w:t>
            </w:r>
          </w:p>
        </w:tc>
        <w:tc>
          <w:tcPr>
            <w:tcW w:w="1984" w:type="dxa"/>
            <w:tcBorders>
              <w:top w:val="single" w:sz="4" w:space="0" w:color="auto"/>
              <w:left w:val="single" w:sz="4" w:space="0" w:color="auto"/>
              <w:bottom w:val="single" w:sz="4" w:space="0" w:color="auto"/>
              <w:right w:val="single" w:sz="4" w:space="0" w:color="auto"/>
            </w:tcBorders>
            <w:vAlign w:val="center"/>
          </w:tcPr>
          <w:p w14:paraId="72DBDEC7" w14:textId="77777777" w:rsidR="009306F8" w:rsidRPr="00443DDD" w:rsidRDefault="009306F8" w:rsidP="009306F8">
            <w:r w:rsidRPr="00443DDD">
              <w:t>T42</w:t>
            </w:r>
          </w:p>
        </w:tc>
        <w:tc>
          <w:tcPr>
            <w:tcW w:w="1843" w:type="dxa"/>
            <w:tcBorders>
              <w:top w:val="single" w:sz="4" w:space="0" w:color="auto"/>
              <w:left w:val="single" w:sz="4" w:space="0" w:color="auto"/>
              <w:bottom w:val="single" w:sz="4" w:space="0" w:color="auto"/>
              <w:right w:val="single" w:sz="4" w:space="0" w:color="auto"/>
            </w:tcBorders>
            <w:vAlign w:val="center"/>
          </w:tcPr>
          <w:p w14:paraId="77FE69F5" w14:textId="77777777" w:rsidR="009306F8" w:rsidRPr="00443DDD" w:rsidRDefault="009306F8" w:rsidP="009306F8">
            <w:r w:rsidRPr="00443DDD">
              <w:t>1</w:t>
            </w:r>
          </w:p>
        </w:tc>
        <w:tc>
          <w:tcPr>
            <w:tcW w:w="3544" w:type="dxa"/>
            <w:tcBorders>
              <w:top w:val="single" w:sz="4" w:space="0" w:color="auto"/>
              <w:left w:val="single" w:sz="4" w:space="0" w:color="auto"/>
              <w:bottom w:val="single" w:sz="4" w:space="0" w:color="auto"/>
              <w:right w:val="single" w:sz="4" w:space="0" w:color="auto"/>
            </w:tcBorders>
            <w:vAlign w:val="center"/>
          </w:tcPr>
          <w:p w14:paraId="7633CAF8" w14:textId="77777777" w:rsidR="009306F8" w:rsidRPr="00443DDD" w:rsidRDefault="009306F8" w:rsidP="009306F8">
            <w:r w:rsidRPr="00443DDD">
              <w:t>subsidise electric cars instead (T42)</w:t>
            </w:r>
          </w:p>
        </w:tc>
      </w:tr>
      <w:tr w:rsidR="00AC4AB1" w:rsidRPr="009306F8" w14:paraId="37BA102C" w14:textId="77777777" w:rsidTr="00261A1A">
        <w:trPr>
          <w:trHeight w:val="15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F6A5095" w14:textId="6673479D" w:rsidR="00AC4AB1" w:rsidRPr="00443DDD" w:rsidRDefault="00AC4AB1" w:rsidP="00AC4AB1">
            <w:r w:rsidRPr="00443DDD">
              <w:t xml:space="preserve">mince pies </w:t>
            </w:r>
          </w:p>
        </w:tc>
        <w:tc>
          <w:tcPr>
            <w:tcW w:w="1984" w:type="dxa"/>
            <w:tcBorders>
              <w:top w:val="single" w:sz="4" w:space="0" w:color="auto"/>
              <w:left w:val="single" w:sz="4" w:space="0" w:color="auto"/>
              <w:bottom w:val="single" w:sz="4" w:space="0" w:color="auto"/>
              <w:right w:val="single" w:sz="4" w:space="0" w:color="auto"/>
            </w:tcBorders>
            <w:vAlign w:val="center"/>
          </w:tcPr>
          <w:p w14:paraId="1CA22BC3" w14:textId="070F88D3" w:rsidR="00AC4AB1" w:rsidRPr="00443DDD" w:rsidRDefault="00E20C3B" w:rsidP="00AC4AB1">
            <w:r w:rsidRPr="00443DDD">
              <w:t>Z</w:t>
            </w:r>
            <w:r w:rsidR="00AC4AB1" w:rsidRPr="00443DDD">
              <w:t>23</w:t>
            </w:r>
          </w:p>
        </w:tc>
        <w:tc>
          <w:tcPr>
            <w:tcW w:w="1843" w:type="dxa"/>
            <w:tcBorders>
              <w:top w:val="single" w:sz="4" w:space="0" w:color="auto"/>
              <w:left w:val="single" w:sz="4" w:space="0" w:color="auto"/>
              <w:bottom w:val="single" w:sz="4" w:space="0" w:color="auto"/>
              <w:right w:val="single" w:sz="4" w:space="0" w:color="auto"/>
            </w:tcBorders>
            <w:vAlign w:val="center"/>
          </w:tcPr>
          <w:p w14:paraId="1475A432" w14:textId="65676174" w:rsidR="00AC4AB1" w:rsidRPr="00443DDD" w:rsidRDefault="00AC4AB1" w:rsidP="00AC4AB1">
            <w:r w:rsidRPr="00443DDD">
              <w:t>1</w:t>
            </w:r>
          </w:p>
        </w:tc>
        <w:tc>
          <w:tcPr>
            <w:tcW w:w="3544" w:type="dxa"/>
            <w:tcBorders>
              <w:top w:val="single" w:sz="4" w:space="0" w:color="auto"/>
              <w:left w:val="single" w:sz="4" w:space="0" w:color="auto"/>
              <w:bottom w:val="single" w:sz="4" w:space="0" w:color="auto"/>
              <w:right w:val="single" w:sz="4" w:space="0" w:color="auto"/>
            </w:tcBorders>
            <w:vAlign w:val="center"/>
          </w:tcPr>
          <w:p w14:paraId="0028C92A" w14:textId="382748B3" w:rsidR="00AC4AB1" w:rsidRPr="00443DDD" w:rsidRDefault="00AC4AB1" w:rsidP="00E20C3B">
            <w:r w:rsidRPr="00443DDD">
              <w:t>mince pies should never contain marzipan (</w:t>
            </w:r>
            <w:r w:rsidR="00E20C3B" w:rsidRPr="00443DDD">
              <w:t>Z</w:t>
            </w:r>
            <w:r w:rsidRPr="00443DDD">
              <w:t>23)</w:t>
            </w:r>
          </w:p>
        </w:tc>
      </w:tr>
      <w:tr w:rsidR="009306F8" w:rsidRPr="009306F8" w14:paraId="2EE96D58" w14:textId="77777777" w:rsidTr="00261A1A">
        <w:tc>
          <w:tcPr>
            <w:tcW w:w="3261" w:type="dxa"/>
            <w:tcBorders>
              <w:top w:val="single" w:sz="4" w:space="0" w:color="auto"/>
              <w:left w:val="single" w:sz="4" w:space="0" w:color="auto"/>
              <w:bottom w:val="single" w:sz="4" w:space="0" w:color="auto"/>
              <w:right w:val="single" w:sz="4" w:space="0" w:color="auto"/>
            </w:tcBorders>
            <w:hideMark/>
          </w:tcPr>
          <w:p w14:paraId="780B3F80" w14:textId="77777777" w:rsidR="009306F8" w:rsidRPr="009306F8" w:rsidRDefault="009306F8" w:rsidP="009306F8"/>
        </w:tc>
        <w:tc>
          <w:tcPr>
            <w:tcW w:w="1984" w:type="dxa"/>
            <w:tcBorders>
              <w:top w:val="single" w:sz="4" w:space="0" w:color="auto"/>
              <w:left w:val="single" w:sz="4" w:space="0" w:color="auto"/>
              <w:bottom w:val="single" w:sz="4" w:space="0" w:color="auto"/>
              <w:right w:val="single" w:sz="4" w:space="0" w:color="auto"/>
            </w:tcBorders>
          </w:tcPr>
          <w:p w14:paraId="628FFFB8" w14:textId="77777777" w:rsidR="009306F8" w:rsidRPr="009306F8" w:rsidRDefault="009306F8" w:rsidP="009306F8"/>
        </w:tc>
        <w:tc>
          <w:tcPr>
            <w:tcW w:w="1843" w:type="dxa"/>
            <w:tcBorders>
              <w:top w:val="single" w:sz="4" w:space="0" w:color="auto"/>
              <w:left w:val="single" w:sz="4" w:space="0" w:color="auto"/>
              <w:bottom w:val="single" w:sz="4" w:space="0" w:color="auto"/>
              <w:right w:val="single" w:sz="4" w:space="0" w:color="auto"/>
            </w:tcBorders>
          </w:tcPr>
          <w:p w14:paraId="4952172D" w14:textId="77777777" w:rsidR="009306F8" w:rsidRPr="009306F8" w:rsidRDefault="009306F8" w:rsidP="009306F8"/>
        </w:tc>
        <w:tc>
          <w:tcPr>
            <w:tcW w:w="3544" w:type="dxa"/>
            <w:tcBorders>
              <w:top w:val="single" w:sz="4" w:space="0" w:color="auto"/>
              <w:left w:val="single" w:sz="4" w:space="0" w:color="auto"/>
              <w:bottom w:val="single" w:sz="4" w:space="0" w:color="auto"/>
              <w:right w:val="single" w:sz="4" w:space="0" w:color="auto"/>
            </w:tcBorders>
          </w:tcPr>
          <w:p w14:paraId="6D4FF150" w14:textId="77777777" w:rsidR="009306F8" w:rsidRPr="009306F8" w:rsidRDefault="009306F8" w:rsidP="009306F8"/>
        </w:tc>
      </w:tr>
    </w:tbl>
    <w:p w14:paraId="4C14965F" w14:textId="77777777" w:rsidR="009306F8" w:rsidRPr="009306F8" w:rsidRDefault="009306F8" w:rsidP="009306F8"/>
    <w:p w14:paraId="4CD98657" w14:textId="77777777" w:rsidR="009306F8" w:rsidRPr="009306F8" w:rsidRDefault="009306F8" w:rsidP="009306F8">
      <w:pPr>
        <w:spacing w:after="160" w:line="259" w:lineRule="auto"/>
      </w:pPr>
      <w:r w:rsidRPr="009306F8">
        <w:br w:type="page"/>
      </w:r>
    </w:p>
    <w:p w14:paraId="50038A8D" w14:textId="77777777" w:rsidR="009306F8" w:rsidRPr="009306F8" w:rsidRDefault="009306F8" w:rsidP="009306F8"/>
    <w:p w14:paraId="32E71FFC" w14:textId="77777777" w:rsidR="009306F8" w:rsidRPr="009306F8" w:rsidRDefault="009306F8" w:rsidP="009306F8"/>
    <w:p w14:paraId="67C2DB70" w14:textId="746A4AD6" w:rsidR="009306F8" w:rsidRPr="00AC4AB1" w:rsidRDefault="009306F8" w:rsidP="009306F8">
      <w:pPr>
        <w:rPr>
          <w:b/>
        </w:rPr>
      </w:pPr>
      <w:r w:rsidRPr="00AC4AB1">
        <w:rPr>
          <w:b/>
        </w:rPr>
        <w:t xml:space="preserve">Summary response </w:t>
      </w:r>
      <w:r w:rsidR="00AC4AB1">
        <w:rPr>
          <w:b/>
        </w:rPr>
        <w:t xml:space="preserve">table - </w:t>
      </w:r>
      <w:r w:rsidR="00443DDD">
        <w:rPr>
          <w:b/>
        </w:rPr>
        <w:t>blank</w:t>
      </w:r>
    </w:p>
    <w:p w14:paraId="58354826" w14:textId="77777777" w:rsidR="009306F8" w:rsidRPr="009306F8" w:rsidRDefault="009306F8" w:rsidP="009306F8"/>
    <w:tbl>
      <w:tblPr>
        <w:tblStyle w:val="TableGrid1"/>
        <w:tblW w:w="9876" w:type="dxa"/>
        <w:tblInd w:w="-5" w:type="dxa"/>
        <w:tblLook w:val="04A0" w:firstRow="1" w:lastRow="0" w:firstColumn="1" w:lastColumn="0" w:noHBand="0" w:noVBand="1"/>
      </w:tblPr>
      <w:tblGrid>
        <w:gridCol w:w="1217"/>
        <w:gridCol w:w="1833"/>
        <w:gridCol w:w="1795"/>
        <w:gridCol w:w="615"/>
        <w:gridCol w:w="1225"/>
        <w:gridCol w:w="1836"/>
        <w:gridCol w:w="1355"/>
      </w:tblGrid>
      <w:tr w:rsidR="009306F8" w:rsidRPr="009306F8" w14:paraId="6040D7B8" w14:textId="77777777" w:rsidTr="00261A1A">
        <w:trPr>
          <w:trHeight w:val="340"/>
        </w:trPr>
        <w:tc>
          <w:tcPr>
            <w:tcW w:w="5451" w:type="dxa"/>
            <w:gridSpan w:val="4"/>
          </w:tcPr>
          <w:p w14:paraId="0F1DCE2C" w14:textId="77777777" w:rsidR="009306F8" w:rsidRPr="009306F8" w:rsidRDefault="009306F8" w:rsidP="009306F8">
            <w:pPr>
              <w:rPr>
                <w:b/>
              </w:rPr>
            </w:pPr>
            <w:r w:rsidRPr="009306F8">
              <w:rPr>
                <w:b/>
              </w:rPr>
              <w:t xml:space="preserve">Question </w:t>
            </w:r>
            <w:r w:rsidRPr="009306F8">
              <w:rPr>
                <w:b/>
                <w:sz w:val="24"/>
                <w:szCs w:val="24"/>
              </w:rPr>
              <w:t xml:space="preserve">Y </w:t>
            </w:r>
          </w:p>
        </w:tc>
        <w:tc>
          <w:tcPr>
            <w:tcW w:w="4425" w:type="dxa"/>
            <w:gridSpan w:val="3"/>
          </w:tcPr>
          <w:p w14:paraId="057B24D6" w14:textId="77777777" w:rsidR="009306F8" w:rsidRPr="009306F8" w:rsidRDefault="009306F8" w:rsidP="009306F8">
            <w:r w:rsidRPr="009306F8">
              <w:rPr>
                <w:b/>
              </w:rPr>
              <w:t>summary response table</w:t>
            </w:r>
          </w:p>
        </w:tc>
      </w:tr>
      <w:tr w:rsidR="009306F8" w:rsidRPr="009306F8" w14:paraId="4856F5A3" w14:textId="77777777" w:rsidTr="00261A1A">
        <w:trPr>
          <w:trHeight w:val="340"/>
        </w:trPr>
        <w:tc>
          <w:tcPr>
            <w:tcW w:w="1195" w:type="dxa"/>
          </w:tcPr>
          <w:p w14:paraId="32A08D9A" w14:textId="77777777" w:rsidR="009306F8" w:rsidRPr="009306F8" w:rsidRDefault="009306F8" w:rsidP="009306F8">
            <w:pPr>
              <w:rPr>
                <w:b/>
              </w:rPr>
            </w:pPr>
          </w:p>
        </w:tc>
        <w:tc>
          <w:tcPr>
            <w:tcW w:w="8681" w:type="dxa"/>
            <w:gridSpan w:val="6"/>
            <w:vAlign w:val="center"/>
          </w:tcPr>
          <w:p w14:paraId="54652C07" w14:textId="77777777" w:rsidR="009306F8" w:rsidRPr="009306F8" w:rsidRDefault="009306F8" w:rsidP="009306F8">
            <w:pPr>
              <w:rPr>
                <w:b/>
              </w:rPr>
            </w:pPr>
            <w:r w:rsidRPr="009306F8">
              <w:rPr>
                <w:b/>
              </w:rPr>
              <w:t>numbers of responses per category</w:t>
            </w:r>
          </w:p>
        </w:tc>
      </w:tr>
      <w:tr w:rsidR="009306F8" w:rsidRPr="009306F8" w14:paraId="56AC768D" w14:textId="77777777" w:rsidTr="00261A1A">
        <w:trPr>
          <w:trHeight w:val="917"/>
        </w:trPr>
        <w:tc>
          <w:tcPr>
            <w:tcW w:w="1195" w:type="dxa"/>
          </w:tcPr>
          <w:p w14:paraId="4B1A5A09" w14:textId="77777777" w:rsidR="009306F8" w:rsidRPr="009306F8" w:rsidRDefault="009306F8" w:rsidP="009306F8">
            <w:pPr>
              <w:rPr>
                <w:b/>
              </w:rPr>
            </w:pPr>
          </w:p>
        </w:tc>
        <w:tc>
          <w:tcPr>
            <w:tcW w:w="1840" w:type="dxa"/>
          </w:tcPr>
          <w:p w14:paraId="4CFCF3B8" w14:textId="77777777" w:rsidR="009306F8" w:rsidRPr="009306F8" w:rsidRDefault="009306F8" w:rsidP="009306F8">
            <w:pPr>
              <w:rPr>
                <w:b/>
              </w:rPr>
            </w:pPr>
            <w:r w:rsidRPr="009306F8">
              <w:rPr>
                <w:b/>
              </w:rPr>
              <w:t xml:space="preserve">agree </w:t>
            </w:r>
          </w:p>
        </w:tc>
        <w:tc>
          <w:tcPr>
            <w:tcW w:w="1800" w:type="dxa"/>
          </w:tcPr>
          <w:p w14:paraId="1F1EBBA1" w14:textId="77777777" w:rsidR="009306F8" w:rsidRPr="009306F8" w:rsidRDefault="009306F8" w:rsidP="009306F8">
            <w:pPr>
              <w:rPr>
                <w:b/>
              </w:rPr>
            </w:pPr>
            <w:r w:rsidRPr="009306F8">
              <w:rPr>
                <w:b/>
              </w:rPr>
              <w:t xml:space="preserve">mostly agree </w:t>
            </w:r>
          </w:p>
        </w:tc>
        <w:tc>
          <w:tcPr>
            <w:tcW w:w="1845" w:type="dxa"/>
            <w:gridSpan w:val="2"/>
          </w:tcPr>
          <w:p w14:paraId="7910C489" w14:textId="77777777" w:rsidR="009306F8" w:rsidRPr="009306F8" w:rsidRDefault="009306F8" w:rsidP="009306F8">
            <w:r w:rsidRPr="009306F8">
              <w:rPr>
                <w:b/>
              </w:rPr>
              <w:t>not sure</w:t>
            </w:r>
            <w:r w:rsidRPr="009306F8">
              <w:t xml:space="preserve"> (</w:t>
            </w:r>
            <w:r w:rsidRPr="009306F8">
              <w:rPr>
                <w:sz w:val="20"/>
                <w:szCs w:val="20"/>
              </w:rPr>
              <w:t>includes “no view”, excludes ‘no response’)</w:t>
            </w:r>
          </w:p>
        </w:tc>
        <w:tc>
          <w:tcPr>
            <w:tcW w:w="1840" w:type="dxa"/>
          </w:tcPr>
          <w:p w14:paraId="1350ACB1" w14:textId="77777777" w:rsidR="009306F8" w:rsidRPr="009306F8" w:rsidRDefault="009306F8" w:rsidP="009306F8">
            <w:pPr>
              <w:rPr>
                <w:b/>
              </w:rPr>
            </w:pPr>
            <w:r w:rsidRPr="009306F8">
              <w:rPr>
                <w:b/>
              </w:rPr>
              <w:t xml:space="preserve">mostly disagree </w:t>
            </w:r>
          </w:p>
        </w:tc>
        <w:tc>
          <w:tcPr>
            <w:tcW w:w="1356" w:type="dxa"/>
          </w:tcPr>
          <w:p w14:paraId="18FDAB97" w14:textId="77777777" w:rsidR="009306F8" w:rsidRPr="009306F8" w:rsidRDefault="009306F8" w:rsidP="009306F8">
            <w:pPr>
              <w:rPr>
                <w:b/>
              </w:rPr>
            </w:pPr>
            <w:r w:rsidRPr="009306F8">
              <w:rPr>
                <w:b/>
              </w:rPr>
              <w:t xml:space="preserve">disagree </w:t>
            </w:r>
          </w:p>
        </w:tc>
      </w:tr>
      <w:tr w:rsidR="009306F8" w:rsidRPr="009306F8" w14:paraId="1420FA05" w14:textId="77777777" w:rsidTr="00261A1A">
        <w:trPr>
          <w:trHeight w:val="517"/>
        </w:trPr>
        <w:tc>
          <w:tcPr>
            <w:tcW w:w="1195" w:type="dxa"/>
          </w:tcPr>
          <w:p w14:paraId="314CEFFE" w14:textId="77777777" w:rsidR="009306F8" w:rsidRPr="009306F8" w:rsidRDefault="009306F8" w:rsidP="009306F8">
            <w:pPr>
              <w:rPr>
                <w:sz w:val="20"/>
                <w:szCs w:val="20"/>
              </w:rPr>
            </w:pPr>
            <w:r w:rsidRPr="009306F8">
              <w:rPr>
                <w:sz w:val="20"/>
                <w:szCs w:val="20"/>
              </w:rPr>
              <w:t>respondent code</w:t>
            </w:r>
          </w:p>
        </w:tc>
        <w:tc>
          <w:tcPr>
            <w:tcW w:w="1840" w:type="dxa"/>
          </w:tcPr>
          <w:p w14:paraId="6F9FA4E8" w14:textId="77777777" w:rsidR="009306F8" w:rsidRPr="009306F8" w:rsidRDefault="009306F8" w:rsidP="009306F8">
            <w:pPr>
              <w:rPr>
                <w:b/>
              </w:rPr>
            </w:pPr>
          </w:p>
        </w:tc>
        <w:tc>
          <w:tcPr>
            <w:tcW w:w="1800" w:type="dxa"/>
          </w:tcPr>
          <w:p w14:paraId="5A865CFA" w14:textId="77777777" w:rsidR="009306F8" w:rsidRPr="009306F8" w:rsidRDefault="009306F8" w:rsidP="009306F8">
            <w:pPr>
              <w:rPr>
                <w:b/>
              </w:rPr>
            </w:pPr>
          </w:p>
        </w:tc>
        <w:tc>
          <w:tcPr>
            <w:tcW w:w="1845" w:type="dxa"/>
            <w:gridSpan w:val="2"/>
          </w:tcPr>
          <w:p w14:paraId="6FA9D708" w14:textId="77777777" w:rsidR="009306F8" w:rsidRPr="009306F8" w:rsidRDefault="009306F8" w:rsidP="009306F8">
            <w:pPr>
              <w:rPr>
                <w:b/>
              </w:rPr>
            </w:pPr>
          </w:p>
        </w:tc>
        <w:tc>
          <w:tcPr>
            <w:tcW w:w="1840" w:type="dxa"/>
          </w:tcPr>
          <w:p w14:paraId="61AB438B" w14:textId="77777777" w:rsidR="009306F8" w:rsidRPr="009306F8" w:rsidRDefault="009306F8" w:rsidP="009306F8">
            <w:pPr>
              <w:rPr>
                <w:b/>
              </w:rPr>
            </w:pPr>
          </w:p>
        </w:tc>
        <w:tc>
          <w:tcPr>
            <w:tcW w:w="1356" w:type="dxa"/>
          </w:tcPr>
          <w:p w14:paraId="024B0C3C" w14:textId="77777777" w:rsidR="009306F8" w:rsidRPr="009306F8" w:rsidRDefault="009306F8" w:rsidP="009306F8">
            <w:pPr>
              <w:rPr>
                <w:b/>
              </w:rPr>
            </w:pPr>
          </w:p>
        </w:tc>
      </w:tr>
      <w:tr w:rsidR="009306F8" w:rsidRPr="009306F8" w14:paraId="72EAEB13" w14:textId="77777777" w:rsidTr="00261A1A">
        <w:trPr>
          <w:trHeight w:val="517"/>
        </w:trPr>
        <w:tc>
          <w:tcPr>
            <w:tcW w:w="1195" w:type="dxa"/>
          </w:tcPr>
          <w:p w14:paraId="50244957" w14:textId="77777777" w:rsidR="009306F8" w:rsidRPr="009306F8" w:rsidRDefault="009306F8" w:rsidP="009306F8">
            <w:pPr>
              <w:rPr>
                <w:sz w:val="20"/>
                <w:szCs w:val="20"/>
              </w:rPr>
            </w:pPr>
            <w:r w:rsidRPr="009306F8">
              <w:rPr>
                <w:sz w:val="20"/>
                <w:szCs w:val="20"/>
              </w:rPr>
              <w:t>numbers summary</w:t>
            </w:r>
          </w:p>
        </w:tc>
        <w:tc>
          <w:tcPr>
            <w:tcW w:w="1840" w:type="dxa"/>
          </w:tcPr>
          <w:p w14:paraId="1B1E6FF1" w14:textId="77777777" w:rsidR="009306F8" w:rsidRPr="009306F8" w:rsidRDefault="009306F8" w:rsidP="009306F8">
            <w:pPr>
              <w:rPr>
                <w:b/>
              </w:rPr>
            </w:pPr>
          </w:p>
        </w:tc>
        <w:tc>
          <w:tcPr>
            <w:tcW w:w="1800" w:type="dxa"/>
          </w:tcPr>
          <w:p w14:paraId="79B92226" w14:textId="77777777" w:rsidR="009306F8" w:rsidRPr="009306F8" w:rsidRDefault="009306F8" w:rsidP="009306F8">
            <w:pPr>
              <w:rPr>
                <w:b/>
              </w:rPr>
            </w:pPr>
          </w:p>
        </w:tc>
        <w:tc>
          <w:tcPr>
            <w:tcW w:w="1845" w:type="dxa"/>
            <w:gridSpan w:val="2"/>
          </w:tcPr>
          <w:p w14:paraId="4E601573" w14:textId="77777777" w:rsidR="009306F8" w:rsidRPr="009306F8" w:rsidRDefault="009306F8" w:rsidP="009306F8">
            <w:pPr>
              <w:rPr>
                <w:b/>
              </w:rPr>
            </w:pPr>
          </w:p>
        </w:tc>
        <w:tc>
          <w:tcPr>
            <w:tcW w:w="1840" w:type="dxa"/>
          </w:tcPr>
          <w:p w14:paraId="5723AA2D" w14:textId="77777777" w:rsidR="009306F8" w:rsidRPr="009306F8" w:rsidRDefault="009306F8" w:rsidP="009306F8">
            <w:pPr>
              <w:rPr>
                <w:b/>
              </w:rPr>
            </w:pPr>
          </w:p>
        </w:tc>
        <w:tc>
          <w:tcPr>
            <w:tcW w:w="1356" w:type="dxa"/>
          </w:tcPr>
          <w:p w14:paraId="0E44728B" w14:textId="77777777" w:rsidR="009306F8" w:rsidRPr="009306F8" w:rsidRDefault="009306F8" w:rsidP="009306F8">
            <w:pPr>
              <w:rPr>
                <w:b/>
              </w:rPr>
            </w:pPr>
          </w:p>
        </w:tc>
      </w:tr>
      <w:tr w:rsidR="009306F8" w:rsidRPr="009306F8" w14:paraId="3C8C3ECB" w14:textId="77777777" w:rsidTr="00261A1A">
        <w:trPr>
          <w:trHeight w:val="517"/>
        </w:trPr>
        <w:tc>
          <w:tcPr>
            <w:tcW w:w="1195" w:type="dxa"/>
          </w:tcPr>
          <w:p w14:paraId="39493B07" w14:textId="77777777" w:rsidR="009306F8" w:rsidRPr="009306F8" w:rsidRDefault="009306F8" w:rsidP="009306F8">
            <w:r w:rsidRPr="009306F8">
              <w:t>summary</w:t>
            </w:r>
          </w:p>
        </w:tc>
        <w:tc>
          <w:tcPr>
            <w:tcW w:w="1840" w:type="dxa"/>
          </w:tcPr>
          <w:p w14:paraId="496A5096" w14:textId="77777777" w:rsidR="009306F8" w:rsidRPr="009306F8" w:rsidRDefault="009306F8" w:rsidP="009306F8">
            <w:pPr>
              <w:rPr>
                <w:b/>
              </w:rPr>
            </w:pPr>
          </w:p>
        </w:tc>
        <w:tc>
          <w:tcPr>
            <w:tcW w:w="1800" w:type="dxa"/>
          </w:tcPr>
          <w:p w14:paraId="0EA26A8E" w14:textId="77777777" w:rsidR="009306F8" w:rsidRPr="009306F8" w:rsidRDefault="009306F8" w:rsidP="009306F8">
            <w:pPr>
              <w:rPr>
                <w:b/>
              </w:rPr>
            </w:pPr>
          </w:p>
        </w:tc>
        <w:tc>
          <w:tcPr>
            <w:tcW w:w="1845" w:type="dxa"/>
            <w:gridSpan w:val="2"/>
          </w:tcPr>
          <w:p w14:paraId="07DE77D2" w14:textId="77777777" w:rsidR="009306F8" w:rsidRPr="009306F8" w:rsidRDefault="009306F8" w:rsidP="009306F8">
            <w:pPr>
              <w:rPr>
                <w:b/>
              </w:rPr>
            </w:pPr>
          </w:p>
        </w:tc>
        <w:tc>
          <w:tcPr>
            <w:tcW w:w="1840" w:type="dxa"/>
          </w:tcPr>
          <w:p w14:paraId="7CA76989" w14:textId="77777777" w:rsidR="009306F8" w:rsidRPr="009306F8" w:rsidRDefault="009306F8" w:rsidP="009306F8">
            <w:pPr>
              <w:rPr>
                <w:b/>
              </w:rPr>
            </w:pPr>
          </w:p>
        </w:tc>
        <w:tc>
          <w:tcPr>
            <w:tcW w:w="1356" w:type="dxa"/>
          </w:tcPr>
          <w:p w14:paraId="3D889A17" w14:textId="77777777" w:rsidR="009306F8" w:rsidRPr="009306F8" w:rsidRDefault="009306F8" w:rsidP="009306F8">
            <w:pPr>
              <w:rPr>
                <w:b/>
              </w:rPr>
            </w:pPr>
          </w:p>
        </w:tc>
      </w:tr>
      <w:tr w:rsidR="009306F8" w:rsidRPr="009306F8" w14:paraId="12C0F444" w14:textId="77777777" w:rsidTr="00261A1A">
        <w:trPr>
          <w:trHeight w:val="737"/>
        </w:trPr>
        <w:tc>
          <w:tcPr>
            <w:tcW w:w="1195" w:type="dxa"/>
            <w:vAlign w:val="center"/>
          </w:tcPr>
          <w:p w14:paraId="6B51D4CD" w14:textId="77777777" w:rsidR="009306F8" w:rsidRPr="009306F8" w:rsidRDefault="009306F8" w:rsidP="009306F8">
            <w:r w:rsidRPr="009306F8">
              <w:t>notes</w:t>
            </w:r>
          </w:p>
        </w:tc>
        <w:tc>
          <w:tcPr>
            <w:tcW w:w="1840" w:type="dxa"/>
          </w:tcPr>
          <w:p w14:paraId="3D5D9B42" w14:textId="77777777" w:rsidR="009306F8" w:rsidRPr="009306F8" w:rsidRDefault="009306F8" w:rsidP="009306F8"/>
        </w:tc>
        <w:tc>
          <w:tcPr>
            <w:tcW w:w="1800" w:type="dxa"/>
          </w:tcPr>
          <w:p w14:paraId="4B1A0446" w14:textId="01563E31" w:rsidR="009306F8" w:rsidRPr="009306F8" w:rsidRDefault="009306F8" w:rsidP="009306F8">
            <w:pPr>
              <w:rPr>
                <w:sz w:val="18"/>
                <w:szCs w:val="18"/>
              </w:rPr>
            </w:pPr>
          </w:p>
        </w:tc>
        <w:tc>
          <w:tcPr>
            <w:tcW w:w="1845" w:type="dxa"/>
            <w:gridSpan w:val="2"/>
          </w:tcPr>
          <w:p w14:paraId="4022CE57" w14:textId="77777777" w:rsidR="009306F8" w:rsidRPr="009306F8" w:rsidRDefault="009306F8" w:rsidP="009306F8">
            <w:pPr>
              <w:rPr>
                <w:sz w:val="18"/>
                <w:szCs w:val="18"/>
              </w:rPr>
            </w:pPr>
          </w:p>
        </w:tc>
        <w:tc>
          <w:tcPr>
            <w:tcW w:w="1840" w:type="dxa"/>
          </w:tcPr>
          <w:p w14:paraId="1252C270" w14:textId="77777777" w:rsidR="009306F8" w:rsidRPr="009306F8" w:rsidRDefault="009306F8" w:rsidP="009306F8">
            <w:pPr>
              <w:rPr>
                <w:sz w:val="18"/>
                <w:szCs w:val="18"/>
              </w:rPr>
            </w:pPr>
          </w:p>
        </w:tc>
        <w:tc>
          <w:tcPr>
            <w:tcW w:w="1356" w:type="dxa"/>
          </w:tcPr>
          <w:p w14:paraId="0BFA0C92" w14:textId="77777777" w:rsidR="009306F8" w:rsidRPr="009306F8" w:rsidRDefault="009306F8" w:rsidP="009306F8"/>
        </w:tc>
      </w:tr>
      <w:tr w:rsidR="009306F8" w:rsidRPr="009306F8" w14:paraId="111F870D" w14:textId="77777777" w:rsidTr="00261A1A">
        <w:trPr>
          <w:trHeight w:val="340"/>
        </w:trPr>
        <w:tc>
          <w:tcPr>
            <w:tcW w:w="9876" w:type="dxa"/>
            <w:gridSpan w:val="7"/>
          </w:tcPr>
          <w:p w14:paraId="0F678329" w14:textId="6F2C241C" w:rsidR="009306F8" w:rsidRPr="00AC4AB1" w:rsidRDefault="009306F8" w:rsidP="009306F8">
            <w:pPr>
              <w:rPr>
                <w:sz w:val="24"/>
                <w:szCs w:val="24"/>
              </w:rPr>
            </w:pPr>
            <w:r w:rsidRPr="009306F8">
              <w:rPr>
                <w:b/>
                <w:sz w:val="24"/>
                <w:szCs w:val="24"/>
              </w:rPr>
              <w:t>Top three points made</w:t>
            </w:r>
            <w:r w:rsidR="00AC4AB1">
              <w:rPr>
                <w:b/>
                <w:sz w:val="24"/>
                <w:szCs w:val="24"/>
              </w:rPr>
              <w:t xml:space="preserve"> </w:t>
            </w:r>
            <w:r w:rsidR="00E20C3B">
              <w:t>(</w:t>
            </w:r>
            <w:r w:rsidR="00AC4AB1" w:rsidRPr="00E20C3B">
              <w:t>number can vary depending on responses)</w:t>
            </w:r>
          </w:p>
        </w:tc>
      </w:tr>
      <w:tr w:rsidR="009306F8" w:rsidRPr="009306F8" w14:paraId="72B7585C" w14:textId="77777777" w:rsidTr="00261A1A">
        <w:trPr>
          <w:trHeight w:val="335"/>
        </w:trPr>
        <w:tc>
          <w:tcPr>
            <w:tcW w:w="9876" w:type="dxa"/>
            <w:gridSpan w:val="7"/>
          </w:tcPr>
          <w:p w14:paraId="018CB852" w14:textId="77777777" w:rsidR="009306F8" w:rsidRPr="009306F8" w:rsidRDefault="009306F8" w:rsidP="009306F8">
            <w:pPr>
              <w:rPr>
                <w:b/>
              </w:rPr>
            </w:pPr>
            <w:r w:rsidRPr="009306F8">
              <w:rPr>
                <w:b/>
              </w:rPr>
              <w:t>1</w:t>
            </w:r>
          </w:p>
          <w:p w14:paraId="0E87D6EB" w14:textId="77777777" w:rsidR="009306F8" w:rsidRPr="009306F8" w:rsidRDefault="009306F8" w:rsidP="009306F8"/>
          <w:p w14:paraId="0C4CA089" w14:textId="77777777" w:rsidR="009306F8" w:rsidRPr="009306F8" w:rsidRDefault="009306F8" w:rsidP="009306F8"/>
        </w:tc>
      </w:tr>
      <w:tr w:rsidR="009306F8" w:rsidRPr="009306F8" w14:paraId="3511D751" w14:textId="77777777" w:rsidTr="00261A1A">
        <w:trPr>
          <w:trHeight w:val="335"/>
        </w:trPr>
        <w:tc>
          <w:tcPr>
            <w:tcW w:w="9876" w:type="dxa"/>
            <w:gridSpan w:val="7"/>
          </w:tcPr>
          <w:p w14:paraId="7EC5A689" w14:textId="77777777" w:rsidR="009306F8" w:rsidRPr="009306F8" w:rsidRDefault="009306F8" w:rsidP="009306F8">
            <w:pPr>
              <w:rPr>
                <w:b/>
              </w:rPr>
            </w:pPr>
            <w:r w:rsidRPr="009306F8">
              <w:rPr>
                <w:b/>
              </w:rPr>
              <w:t>2</w:t>
            </w:r>
          </w:p>
          <w:p w14:paraId="7F92C795" w14:textId="77777777" w:rsidR="009306F8" w:rsidRPr="009306F8" w:rsidRDefault="009306F8" w:rsidP="009306F8"/>
          <w:p w14:paraId="3CFF9C09" w14:textId="77777777" w:rsidR="009306F8" w:rsidRPr="009306F8" w:rsidRDefault="009306F8" w:rsidP="009306F8"/>
        </w:tc>
      </w:tr>
      <w:tr w:rsidR="009306F8" w:rsidRPr="009306F8" w14:paraId="04D83A30" w14:textId="77777777" w:rsidTr="00261A1A">
        <w:trPr>
          <w:trHeight w:val="335"/>
        </w:trPr>
        <w:tc>
          <w:tcPr>
            <w:tcW w:w="9876" w:type="dxa"/>
            <w:gridSpan w:val="7"/>
          </w:tcPr>
          <w:p w14:paraId="087E144C" w14:textId="77777777" w:rsidR="009306F8" w:rsidRPr="009306F8" w:rsidRDefault="009306F8" w:rsidP="009306F8">
            <w:pPr>
              <w:rPr>
                <w:b/>
              </w:rPr>
            </w:pPr>
            <w:r w:rsidRPr="009306F8">
              <w:rPr>
                <w:b/>
              </w:rPr>
              <w:t>3</w:t>
            </w:r>
          </w:p>
          <w:p w14:paraId="67DD613A" w14:textId="77777777" w:rsidR="009306F8" w:rsidRPr="009306F8" w:rsidRDefault="009306F8" w:rsidP="009306F8"/>
          <w:p w14:paraId="32E7E20F" w14:textId="77777777" w:rsidR="009306F8" w:rsidRPr="009306F8" w:rsidRDefault="009306F8" w:rsidP="009306F8"/>
        </w:tc>
      </w:tr>
    </w:tbl>
    <w:p w14:paraId="763CE3A7" w14:textId="77777777" w:rsidR="009306F8" w:rsidRPr="009306F8" w:rsidRDefault="009306F8" w:rsidP="009306F8"/>
    <w:p w14:paraId="18F681EB" w14:textId="77777777" w:rsidR="009306F8" w:rsidRPr="009306F8" w:rsidRDefault="009306F8" w:rsidP="009306F8"/>
    <w:p w14:paraId="6D432602" w14:textId="77777777" w:rsidR="009306F8" w:rsidRPr="009306F8" w:rsidRDefault="009306F8" w:rsidP="009306F8"/>
    <w:p w14:paraId="0E488802" w14:textId="77777777" w:rsidR="009306F8" w:rsidRPr="001D66FE" w:rsidRDefault="009306F8" w:rsidP="009121F4"/>
    <w:sectPr w:rsidR="009306F8" w:rsidRPr="001D66FE" w:rsidSect="00E20C3B">
      <w:headerReference w:type="default" r:id="rId9"/>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BC62" w14:textId="77777777" w:rsidR="00541229" w:rsidRDefault="00541229" w:rsidP="00081AEE">
      <w:r>
        <w:separator/>
      </w:r>
    </w:p>
  </w:endnote>
  <w:endnote w:type="continuationSeparator" w:id="0">
    <w:p w14:paraId="1CAE8623" w14:textId="77777777" w:rsidR="00541229" w:rsidRDefault="0054122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8463" w14:textId="1A0B26DA" w:rsidR="00555B99" w:rsidRDefault="00443DDD" w:rsidP="00443DDD">
    <w:pPr>
      <w:pStyle w:val="Footer"/>
    </w:pPr>
    <w:r>
      <w:t>National Park Commission – SAG – 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A52E" w14:textId="77777777" w:rsidR="00541229" w:rsidRDefault="00541229" w:rsidP="00081AEE">
      <w:r>
        <w:separator/>
      </w:r>
    </w:p>
  </w:footnote>
  <w:footnote w:type="continuationSeparator" w:id="0">
    <w:p w14:paraId="00CD160C" w14:textId="77777777" w:rsidR="00541229" w:rsidRDefault="0054122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12443"/>
      <w:docPartObj>
        <w:docPartGallery w:val="Page Numbers (Top of Page)"/>
        <w:docPartUnique/>
      </w:docPartObj>
    </w:sdtPr>
    <w:sdtEndPr>
      <w:rPr>
        <w:noProof/>
      </w:rPr>
    </w:sdtEndPr>
    <w:sdtContent>
      <w:p w14:paraId="2D0B1A6C" w14:textId="5CC936E4" w:rsidR="005459F0" w:rsidRDefault="005459F0">
        <w:pPr>
          <w:pStyle w:val="Header"/>
          <w:jc w:val="right"/>
        </w:pPr>
        <w:r>
          <w:fldChar w:fldCharType="begin"/>
        </w:r>
        <w:r>
          <w:instrText xml:space="preserve"> PAGE   \* MERGEFORMAT </w:instrText>
        </w:r>
        <w:r>
          <w:fldChar w:fldCharType="separate"/>
        </w:r>
        <w:r w:rsidR="00BD13B6">
          <w:rPr>
            <w:noProof/>
          </w:rPr>
          <w:t>2</w:t>
        </w:r>
        <w:r>
          <w:rPr>
            <w:noProof/>
          </w:rPr>
          <w:fldChar w:fldCharType="end"/>
        </w:r>
      </w:p>
    </w:sdtContent>
  </w:sdt>
  <w:p w14:paraId="09CC607A" w14:textId="77777777" w:rsidR="005459F0" w:rsidRDefault="0054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D7421"/>
    <w:multiLevelType w:val="hybridMultilevel"/>
    <w:tmpl w:val="910885D0"/>
    <w:lvl w:ilvl="0" w:tplc="E53CC0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6B0501"/>
    <w:multiLevelType w:val="hybridMultilevel"/>
    <w:tmpl w:val="6764C6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A50404"/>
    <w:multiLevelType w:val="hybridMultilevel"/>
    <w:tmpl w:val="96FA9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A3D33"/>
    <w:multiLevelType w:val="hybridMultilevel"/>
    <w:tmpl w:val="FE28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79088C"/>
    <w:multiLevelType w:val="hybridMultilevel"/>
    <w:tmpl w:val="20DCE85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4664FF0"/>
    <w:multiLevelType w:val="hybridMultilevel"/>
    <w:tmpl w:val="C6E6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9A2783"/>
    <w:multiLevelType w:val="hybridMultilevel"/>
    <w:tmpl w:val="1CF89BF2"/>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6E4516"/>
    <w:multiLevelType w:val="hybridMultilevel"/>
    <w:tmpl w:val="3F4A569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C7DFF"/>
    <w:multiLevelType w:val="hybridMultilevel"/>
    <w:tmpl w:val="0074D62C"/>
    <w:lvl w:ilvl="0" w:tplc="08090015">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5"/>
  </w:num>
  <w:num w:numId="4">
    <w:abstractNumId w:val="29"/>
  </w:num>
  <w:num w:numId="5">
    <w:abstractNumId w:val="28"/>
  </w:num>
  <w:num w:numId="6">
    <w:abstractNumId w:val="21"/>
  </w:num>
  <w:num w:numId="7">
    <w:abstractNumId w:val="27"/>
  </w:num>
  <w:num w:numId="8">
    <w:abstractNumId w:val="18"/>
  </w:num>
  <w:num w:numId="9">
    <w:abstractNumId w:val="16"/>
  </w:num>
  <w:num w:numId="10">
    <w:abstractNumId w:val="24"/>
  </w:num>
  <w:num w:numId="11">
    <w:abstractNumId w:val="2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2"/>
  </w:num>
  <w:num w:numId="24">
    <w:abstractNumId w:val="22"/>
  </w:num>
  <w:num w:numId="25">
    <w:abstractNumId w:val="22"/>
  </w:num>
  <w:num w:numId="26">
    <w:abstractNumId w:val="13"/>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2"/>
  </w:num>
  <w:num w:numId="31">
    <w:abstractNumId w:val="19"/>
  </w:num>
  <w:num w:numId="32">
    <w:abstractNumId w:val="20"/>
  </w:num>
  <w:num w:numId="33">
    <w:abstractNumId w:val="14"/>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F8"/>
    <w:rsid w:val="0005092F"/>
    <w:rsid w:val="00081AEE"/>
    <w:rsid w:val="000A6B19"/>
    <w:rsid w:val="000C6374"/>
    <w:rsid w:val="000C71A9"/>
    <w:rsid w:val="000C7787"/>
    <w:rsid w:val="000E7E23"/>
    <w:rsid w:val="000F35A4"/>
    <w:rsid w:val="001157A6"/>
    <w:rsid w:val="00121944"/>
    <w:rsid w:val="0012442C"/>
    <w:rsid w:val="0013291C"/>
    <w:rsid w:val="00165C21"/>
    <w:rsid w:val="001856CD"/>
    <w:rsid w:val="0019448C"/>
    <w:rsid w:val="001D0D7C"/>
    <w:rsid w:val="001D66FE"/>
    <w:rsid w:val="001E64E9"/>
    <w:rsid w:val="00210798"/>
    <w:rsid w:val="00223F89"/>
    <w:rsid w:val="002E3DAA"/>
    <w:rsid w:val="002F2B19"/>
    <w:rsid w:val="00316A40"/>
    <w:rsid w:val="00326FB7"/>
    <w:rsid w:val="00335719"/>
    <w:rsid w:val="00344362"/>
    <w:rsid w:val="00345E70"/>
    <w:rsid w:val="00371E4F"/>
    <w:rsid w:val="00393C96"/>
    <w:rsid w:val="003A0C8A"/>
    <w:rsid w:val="003B114D"/>
    <w:rsid w:val="00405472"/>
    <w:rsid w:val="004122E1"/>
    <w:rsid w:val="00416B1E"/>
    <w:rsid w:val="0042706D"/>
    <w:rsid w:val="00443DDD"/>
    <w:rsid w:val="0046424D"/>
    <w:rsid w:val="00473577"/>
    <w:rsid w:val="004C0A4D"/>
    <w:rsid w:val="004E748B"/>
    <w:rsid w:val="00515503"/>
    <w:rsid w:val="005409E6"/>
    <w:rsid w:val="00541229"/>
    <w:rsid w:val="005459F0"/>
    <w:rsid w:val="00555B99"/>
    <w:rsid w:val="0057071B"/>
    <w:rsid w:val="005905F8"/>
    <w:rsid w:val="0059486F"/>
    <w:rsid w:val="00595367"/>
    <w:rsid w:val="005A02F2"/>
    <w:rsid w:val="005C6A03"/>
    <w:rsid w:val="005C7CE8"/>
    <w:rsid w:val="006210D9"/>
    <w:rsid w:val="00670598"/>
    <w:rsid w:val="00675CEE"/>
    <w:rsid w:val="00686FAA"/>
    <w:rsid w:val="006A323F"/>
    <w:rsid w:val="006A6B1E"/>
    <w:rsid w:val="006B2C59"/>
    <w:rsid w:val="006C0DEB"/>
    <w:rsid w:val="006D2C02"/>
    <w:rsid w:val="006D56A0"/>
    <w:rsid w:val="006E1879"/>
    <w:rsid w:val="006E6643"/>
    <w:rsid w:val="00713C40"/>
    <w:rsid w:val="007213AC"/>
    <w:rsid w:val="00744B62"/>
    <w:rsid w:val="007704D3"/>
    <w:rsid w:val="007844C6"/>
    <w:rsid w:val="00791163"/>
    <w:rsid w:val="007E70FC"/>
    <w:rsid w:val="008458F2"/>
    <w:rsid w:val="00845990"/>
    <w:rsid w:val="00880869"/>
    <w:rsid w:val="00881C6D"/>
    <w:rsid w:val="008D338A"/>
    <w:rsid w:val="008F23C9"/>
    <w:rsid w:val="00904F37"/>
    <w:rsid w:val="009121F4"/>
    <w:rsid w:val="009306F8"/>
    <w:rsid w:val="0093300A"/>
    <w:rsid w:val="00944A5D"/>
    <w:rsid w:val="009732B6"/>
    <w:rsid w:val="00980733"/>
    <w:rsid w:val="009A25C8"/>
    <w:rsid w:val="00A164DE"/>
    <w:rsid w:val="00A21749"/>
    <w:rsid w:val="00A3217E"/>
    <w:rsid w:val="00A601D3"/>
    <w:rsid w:val="00A86933"/>
    <w:rsid w:val="00AC26BA"/>
    <w:rsid w:val="00AC4AB1"/>
    <w:rsid w:val="00AD58A5"/>
    <w:rsid w:val="00B01C35"/>
    <w:rsid w:val="00B056D7"/>
    <w:rsid w:val="00B11E88"/>
    <w:rsid w:val="00B8354D"/>
    <w:rsid w:val="00BA6E50"/>
    <w:rsid w:val="00BC7E83"/>
    <w:rsid w:val="00BD12F6"/>
    <w:rsid w:val="00BD13B6"/>
    <w:rsid w:val="00BE44CD"/>
    <w:rsid w:val="00C1149D"/>
    <w:rsid w:val="00C279C1"/>
    <w:rsid w:val="00C52A75"/>
    <w:rsid w:val="00C811FB"/>
    <w:rsid w:val="00CE51BC"/>
    <w:rsid w:val="00D50D78"/>
    <w:rsid w:val="00D61C00"/>
    <w:rsid w:val="00D72765"/>
    <w:rsid w:val="00D74C38"/>
    <w:rsid w:val="00D83879"/>
    <w:rsid w:val="00DB0782"/>
    <w:rsid w:val="00DD0039"/>
    <w:rsid w:val="00DF210C"/>
    <w:rsid w:val="00E16C95"/>
    <w:rsid w:val="00E20C3B"/>
    <w:rsid w:val="00E53C82"/>
    <w:rsid w:val="00E74806"/>
    <w:rsid w:val="00E914BC"/>
    <w:rsid w:val="00EE3576"/>
    <w:rsid w:val="00F13F35"/>
    <w:rsid w:val="00F27A6B"/>
    <w:rsid w:val="00F477F5"/>
    <w:rsid w:val="00FA73C0"/>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4691"/>
  <w15:chartTrackingRefBased/>
  <w15:docId w15:val="{6F863D78-8BFB-471F-A8B5-BADCF093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CommentText">
    <w:name w:val="annotation text"/>
    <w:basedOn w:val="Normal"/>
    <w:link w:val="CommentTextChar"/>
    <w:uiPriority w:val="99"/>
    <w:semiHidden/>
    <w:unhideWhenUsed/>
    <w:rsid w:val="009306F8"/>
    <w:rPr>
      <w:rFonts w:eastAsia="Arial" w:cs="Times New Roman"/>
      <w:sz w:val="20"/>
      <w:szCs w:val="20"/>
    </w:rPr>
  </w:style>
  <w:style w:type="character" w:customStyle="1" w:styleId="CommentTextChar">
    <w:name w:val="Comment Text Char"/>
    <w:basedOn w:val="DefaultParagraphFont"/>
    <w:link w:val="CommentText"/>
    <w:uiPriority w:val="99"/>
    <w:semiHidden/>
    <w:rsid w:val="009306F8"/>
    <w:rPr>
      <w:rFonts w:ascii="Arial" w:eastAsia="Arial" w:hAnsi="Arial" w:cs="Times New Roman"/>
      <w:sz w:val="20"/>
      <w:szCs w:val="20"/>
    </w:rPr>
  </w:style>
  <w:style w:type="character" w:styleId="CommentReference">
    <w:name w:val="annotation reference"/>
    <w:basedOn w:val="DefaultParagraphFont"/>
    <w:uiPriority w:val="99"/>
    <w:semiHidden/>
    <w:unhideWhenUsed/>
    <w:rsid w:val="009306F8"/>
    <w:rPr>
      <w:sz w:val="16"/>
      <w:szCs w:val="16"/>
    </w:rPr>
  </w:style>
  <w:style w:type="table" w:styleId="TableGrid">
    <w:name w:val="Table Grid"/>
    <w:basedOn w:val="TableNormal"/>
    <w:uiPriority w:val="39"/>
    <w:rsid w:val="009306F8"/>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56CD"/>
    <w:rPr>
      <w:rFonts w:eastAsiaTheme="minorHAnsi" w:cstheme="minorBidi"/>
      <w:b/>
      <w:bCs/>
    </w:rPr>
  </w:style>
  <w:style w:type="character" w:customStyle="1" w:styleId="CommentSubjectChar">
    <w:name w:val="Comment Subject Char"/>
    <w:basedOn w:val="CommentTextChar"/>
    <w:link w:val="CommentSubject"/>
    <w:uiPriority w:val="99"/>
    <w:semiHidden/>
    <w:rsid w:val="001856CD"/>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88ad30e70af844fa"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A3885279</value>
    </field>
    <field name="Objective-Title">
      <value order="0">National Park Commission - SAG 5-2 - Description of the approach to the survey analysis - December 2022</value>
    </field>
    <field name="Objective-Description">
      <value order="0"/>
    </field>
    <field name="Objective-CreationStamp">
      <value order="0">2022-12-14T10:46:23Z</value>
    </field>
    <field name="Objective-IsApproved">
      <value order="0">false</value>
    </field>
    <field name="Objective-IsPublished">
      <value order="0">true</value>
    </field>
    <field name="Objective-DatePublished">
      <value order="0">2022-12-21T17:31:30Z</value>
    </field>
    <field name="Objective-ModificationStamp">
      <value order="0">2022-12-21T17:31:31Z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vA6827810</value>
    </field>
    <field name="Objective-Version">
      <value order="0">11.0</value>
    </field>
    <field name="Objective-VersionNumber">
      <value order="0">14</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6B9676F-0CAB-45DF-8593-891FE977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2</cp:revision>
  <cp:lastPrinted>2022-12-12T17:15:00Z</cp:lastPrinted>
  <dcterms:created xsi:type="dcterms:W3CDTF">2022-12-16T16:37:00Z</dcterms:created>
  <dcterms:modified xsi:type="dcterms:W3CDTF">2022-12-16T16:37:00Z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A3885279</vt:lpwstr>
  </property>
  <property fmtid="{D5CDD505-2E9C-101B-9397-08002B2CF9AE}" pid="4" name="Objective-Title">
    <vt:lpwstr>National Park Commission - SAG 5-2 - Description of the approach to the survey analysis - December 2022</vt:lpwstr>
  </property>
  <property fmtid="{D5CDD505-2E9C-101B-9397-08002B2CF9AE}" pid="5" name="Objective-Description">
    <vt:lpwstr/>
  </property>
  <property fmtid="{D5CDD505-2E9C-101B-9397-08002B2CF9AE}" pid="6" name="Objective-CreationStamp">
    <vt:filetime>2022-12-14T10:46:23Z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2022-12-21T17:31:30Z</vt:filetime>
  </property>
  <property fmtid="{D5CDD505-2E9C-101B-9397-08002B2CF9AE}" pid="10" name="Objective-ModificationStamp">
    <vt:filetime>2022-12-21T17:31:31Z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vA6827810</vt:lpwstr>
  </property>
  <property fmtid="{D5CDD505-2E9C-101B-9397-08002B2CF9AE}" pid="16" name="Objective-Version">
    <vt:lpwstr>11.0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