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5" w:type="dxa"/>
        <w:tblLayout w:type="fixed"/>
        <w:tblCellMar>
          <w:left w:w="0" w:type="dxa"/>
          <w:right w:w="0" w:type="dxa"/>
        </w:tblCellMar>
        <w:tblLook w:val="01E0" w:firstRow="1" w:lastRow="1" w:firstColumn="1" w:lastColumn="1" w:noHBand="0" w:noVBand="0"/>
      </w:tblPr>
      <w:tblGrid>
        <w:gridCol w:w="4946"/>
        <w:gridCol w:w="5321"/>
      </w:tblGrid>
      <w:tr w:rsidR="005353C5">
        <w:trPr>
          <w:trHeight w:val="1744"/>
        </w:trPr>
        <w:tc>
          <w:tcPr>
            <w:tcW w:w="4946" w:type="dxa"/>
          </w:tcPr>
          <w:p w:rsidR="005353C5" w:rsidRDefault="00953AAF">
            <w:pPr>
              <w:pStyle w:val="TableParagraph"/>
              <w:spacing w:before="14"/>
              <w:ind w:left="200"/>
              <w:rPr>
                <w:rFonts w:ascii="Lucida Sans"/>
                <w:sz w:val="20"/>
              </w:rPr>
            </w:pPr>
            <w:r>
              <w:rPr>
                <w:rFonts w:ascii="Lucida Sans"/>
                <w:color w:val="336699"/>
                <w:w w:val="105"/>
                <w:sz w:val="20"/>
              </w:rPr>
              <w:t>Environment and Forestry Directorate</w:t>
            </w:r>
          </w:p>
          <w:p w:rsidR="005353C5" w:rsidRDefault="00953AAF">
            <w:pPr>
              <w:pStyle w:val="TableParagraph"/>
              <w:spacing w:before="34"/>
              <w:ind w:left="200"/>
              <w:rPr>
                <w:rFonts w:ascii="Lucida Sans"/>
                <w:sz w:val="19"/>
              </w:rPr>
            </w:pPr>
            <w:r>
              <w:rPr>
                <w:rFonts w:ascii="Lucida Sans"/>
                <w:w w:val="105"/>
                <w:sz w:val="19"/>
              </w:rPr>
              <w:t>Natural Resources Division</w:t>
            </w:r>
          </w:p>
          <w:p w:rsidR="005353C5" w:rsidRDefault="005353C5">
            <w:pPr>
              <w:pStyle w:val="TableParagraph"/>
              <w:ind w:left="0"/>
              <w:rPr>
                <w:rFonts w:ascii="Times New Roman"/>
                <w:sz w:val="18"/>
              </w:rPr>
            </w:pPr>
          </w:p>
          <w:p w:rsidR="005353C5" w:rsidRDefault="005353C5">
            <w:pPr>
              <w:pStyle w:val="TableParagraph"/>
              <w:ind w:left="0"/>
              <w:rPr>
                <w:rFonts w:ascii="Times New Roman"/>
                <w:sz w:val="18"/>
              </w:rPr>
            </w:pPr>
          </w:p>
          <w:p w:rsidR="005353C5" w:rsidRDefault="00953AAF">
            <w:pPr>
              <w:pStyle w:val="TableParagraph"/>
              <w:spacing w:before="106"/>
              <w:ind w:left="200"/>
              <w:rPr>
                <w:rFonts w:ascii="Lucida Sans"/>
                <w:sz w:val="19"/>
              </w:rPr>
            </w:pPr>
            <w:r>
              <w:rPr>
                <w:rFonts w:ascii="Lucida Sans"/>
                <w:sz w:val="19"/>
              </w:rPr>
              <w:t>T: 0131-244 6416</w:t>
            </w:r>
          </w:p>
          <w:p w:rsidR="005353C5" w:rsidRDefault="00953AAF">
            <w:pPr>
              <w:pStyle w:val="TableParagraph"/>
              <w:spacing w:before="7"/>
              <w:ind w:left="200"/>
              <w:rPr>
                <w:rFonts w:ascii="Lucida Sans"/>
                <w:sz w:val="19"/>
              </w:rPr>
            </w:pPr>
            <w:r>
              <w:rPr>
                <w:rFonts w:ascii="Lucida Sans"/>
                <w:sz w:val="19"/>
              </w:rPr>
              <w:t xml:space="preserve">E: </w:t>
            </w:r>
            <w:hyperlink r:id="rId7">
              <w:r>
                <w:rPr>
                  <w:rFonts w:ascii="Lucida Sans"/>
                  <w:sz w:val="19"/>
                </w:rPr>
                <w:t>keith.connal@gov.scot</w:t>
              </w:r>
            </w:hyperlink>
          </w:p>
        </w:tc>
        <w:tc>
          <w:tcPr>
            <w:tcW w:w="5321" w:type="dxa"/>
          </w:tcPr>
          <w:p w:rsidR="005353C5" w:rsidRDefault="005353C5">
            <w:pPr>
              <w:pStyle w:val="TableParagraph"/>
              <w:spacing w:line="895" w:lineRule="exact"/>
              <w:ind w:left="831"/>
              <w:jc w:val="center"/>
              <w:rPr>
                <w:sz w:val="84"/>
              </w:rPr>
            </w:pPr>
          </w:p>
        </w:tc>
      </w:tr>
      <w:tr w:rsidR="005353C5">
        <w:trPr>
          <w:trHeight w:val="2152"/>
        </w:trPr>
        <w:tc>
          <w:tcPr>
            <w:tcW w:w="4946" w:type="dxa"/>
          </w:tcPr>
          <w:p w:rsidR="005353C5" w:rsidRDefault="005353C5">
            <w:pPr>
              <w:pStyle w:val="TableParagraph"/>
              <w:spacing w:before="3"/>
              <w:ind w:left="0"/>
              <w:rPr>
                <w:rFonts w:ascii="Times New Roman"/>
                <w:sz w:val="23"/>
              </w:rPr>
            </w:pPr>
          </w:p>
          <w:p w:rsidR="005353C5" w:rsidRDefault="00953AAF">
            <w:pPr>
              <w:pStyle w:val="TableParagraph"/>
              <w:spacing w:line="225" w:lineRule="auto"/>
              <w:ind w:left="200" w:right="2551"/>
              <w:rPr>
                <w:sz w:val="24"/>
              </w:rPr>
            </w:pPr>
            <w:r>
              <w:rPr>
                <w:sz w:val="24"/>
              </w:rPr>
              <w:t>Francesca Osowska Chief Executive NatureScot</w:t>
            </w:r>
          </w:p>
          <w:p w:rsidR="005353C5" w:rsidRDefault="00953AAF">
            <w:pPr>
              <w:pStyle w:val="TableParagraph"/>
              <w:spacing w:before="3"/>
              <w:ind w:left="200" w:right="2791"/>
              <w:rPr>
                <w:sz w:val="24"/>
              </w:rPr>
            </w:pPr>
            <w:r>
              <w:rPr>
                <w:sz w:val="24"/>
              </w:rPr>
              <w:t xml:space="preserve">Great Glen House </w:t>
            </w:r>
            <w:proofErr w:type="spellStart"/>
            <w:r>
              <w:rPr>
                <w:sz w:val="24"/>
              </w:rPr>
              <w:t>Leachkin</w:t>
            </w:r>
            <w:proofErr w:type="spellEnd"/>
            <w:r>
              <w:rPr>
                <w:sz w:val="24"/>
              </w:rPr>
              <w:t xml:space="preserve"> Road Inverness</w:t>
            </w:r>
          </w:p>
          <w:p w:rsidR="005353C5" w:rsidRDefault="00953AAF">
            <w:pPr>
              <w:pStyle w:val="TableParagraph"/>
              <w:spacing w:line="256" w:lineRule="exact"/>
              <w:ind w:left="200"/>
              <w:rPr>
                <w:sz w:val="24"/>
              </w:rPr>
            </w:pPr>
            <w:r>
              <w:rPr>
                <w:sz w:val="24"/>
              </w:rPr>
              <w:t>IV3 8NW</w:t>
            </w:r>
          </w:p>
        </w:tc>
        <w:tc>
          <w:tcPr>
            <w:tcW w:w="5321" w:type="dxa"/>
          </w:tcPr>
          <w:p w:rsidR="005353C5" w:rsidRDefault="005353C5">
            <w:pPr>
              <w:pStyle w:val="TableParagraph"/>
              <w:ind w:left="0"/>
              <w:rPr>
                <w:rFonts w:ascii="Times New Roman"/>
                <w:sz w:val="24"/>
              </w:rPr>
            </w:pPr>
          </w:p>
        </w:tc>
      </w:tr>
    </w:tbl>
    <w:p w:rsidR="005353C5" w:rsidRDefault="005353C5">
      <w:pPr>
        <w:pStyle w:val="BodyText"/>
        <w:rPr>
          <w:rFonts w:ascii="Times New Roman"/>
          <w:sz w:val="20"/>
        </w:rPr>
      </w:pPr>
    </w:p>
    <w:p w:rsidR="005353C5" w:rsidRDefault="005353C5">
      <w:pPr>
        <w:pStyle w:val="BodyText"/>
        <w:rPr>
          <w:rFonts w:ascii="Times New Roman"/>
          <w:sz w:val="20"/>
        </w:rPr>
      </w:pPr>
    </w:p>
    <w:p w:rsidR="005353C5" w:rsidRDefault="005353C5">
      <w:pPr>
        <w:pStyle w:val="BodyText"/>
        <w:rPr>
          <w:rFonts w:ascii="Times New Roman"/>
          <w:sz w:val="20"/>
        </w:rPr>
      </w:pPr>
    </w:p>
    <w:p w:rsidR="005353C5" w:rsidRDefault="005353C5">
      <w:pPr>
        <w:pStyle w:val="BodyText"/>
        <w:spacing w:before="1" w:after="1"/>
        <w:rPr>
          <w:rFonts w:ascii="Times New Roman"/>
          <w:sz w:val="12"/>
        </w:rPr>
      </w:pPr>
    </w:p>
    <w:p w:rsidR="005353C5" w:rsidRDefault="00A773D3">
      <w:pPr>
        <w:pStyle w:val="BodyText"/>
        <w:spacing w:line="20" w:lineRule="exact"/>
        <w:ind w:left="-771"/>
        <w:rPr>
          <w:rFonts w:ascii="Times New Roman"/>
          <w:sz w:val="2"/>
        </w:rPr>
      </w:pPr>
      <w:r>
        <w:rPr>
          <w:rFonts w:ascii="Times New Roman"/>
          <w:sz w:val="2"/>
        </w:rPr>
      </w:r>
      <w:r>
        <w:rPr>
          <w:rFonts w:ascii="Times New Roman"/>
          <w:sz w:val="2"/>
        </w:rPr>
        <w:pict>
          <v:group id="_x0000_s1027" style="width:20.2pt;height:.8pt;mso-position-horizontal-relative:char;mso-position-vertical-relative:line" coordsize="404,16">
            <v:line id="_x0000_s1028" style="position:absolute" from="0,8" to="403,8" strokeweight=".26669mm"/>
            <w10:wrap type="none"/>
            <w10:anchorlock/>
          </v:group>
        </w:pict>
      </w:r>
    </w:p>
    <w:p w:rsidR="005353C5" w:rsidRDefault="005353C5">
      <w:pPr>
        <w:pStyle w:val="BodyText"/>
        <w:rPr>
          <w:rFonts w:ascii="Times New Roman"/>
          <w:sz w:val="20"/>
        </w:rPr>
      </w:pPr>
    </w:p>
    <w:p w:rsidR="005353C5" w:rsidRDefault="005353C5">
      <w:pPr>
        <w:pStyle w:val="BodyText"/>
        <w:spacing w:before="7"/>
        <w:rPr>
          <w:rFonts w:ascii="Times New Roman"/>
          <w:sz w:val="21"/>
        </w:rPr>
      </w:pPr>
    </w:p>
    <w:p w:rsidR="005353C5" w:rsidRDefault="00953AAF">
      <w:pPr>
        <w:pStyle w:val="BodyText"/>
        <w:spacing w:line="480" w:lineRule="auto"/>
        <w:ind w:left="317" w:right="8379"/>
      </w:pPr>
      <w:r>
        <w:t>8 April 2021 Dear Francesca,</w:t>
      </w:r>
    </w:p>
    <w:p w:rsidR="005353C5" w:rsidRDefault="00953AAF">
      <w:pPr>
        <w:pStyle w:val="Heading1"/>
      </w:pPr>
      <w:r>
        <w:t>BUDGET ALLOCATION AND MONITORING: 2021-22</w:t>
      </w:r>
    </w:p>
    <w:p w:rsidR="005353C5" w:rsidRDefault="005353C5">
      <w:pPr>
        <w:pStyle w:val="BodyText"/>
        <w:rPr>
          <w:b/>
        </w:rPr>
      </w:pPr>
    </w:p>
    <w:p w:rsidR="005353C5" w:rsidRDefault="00953AAF">
      <w:pPr>
        <w:ind w:left="317"/>
        <w:rPr>
          <w:b/>
          <w:sz w:val="24"/>
        </w:rPr>
      </w:pPr>
      <w:r>
        <w:rPr>
          <w:b/>
          <w:sz w:val="24"/>
        </w:rPr>
        <w:t>Purpose</w:t>
      </w:r>
    </w:p>
    <w:p w:rsidR="005353C5" w:rsidRDefault="005353C5">
      <w:pPr>
        <w:pStyle w:val="BodyText"/>
        <w:spacing w:before="5"/>
        <w:rPr>
          <w:b/>
          <w:sz w:val="34"/>
        </w:rPr>
      </w:pPr>
    </w:p>
    <w:p w:rsidR="005353C5" w:rsidRDefault="00953AAF">
      <w:pPr>
        <w:pStyle w:val="BodyText"/>
        <w:spacing w:before="1"/>
        <w:ind w:left="317" w:right="412"/>
      </w:pPr>
      <w:r>
        <w:t xml:space="preserve">I am writing, on behalf of the Scottish Ministers, to confirm the budget and associated grant in aid allocated to NatureScot for 2021-22 and to provide guidance on related matters. This is based upon the Scottish Budget as passed, which is of course now also being influenced by the response to the coronavirus. While the Scottish Government’s most immediate concern continues to be the direct risk to people’s health, the economic and fiscal impacts will also be important factors over the year ahead for our public services, economic output and public spending. This letter also sets out the arrangements for monitoring the budget and for profiling (and, if necessary, </w:t>
      </w:r>
      <w:proofErr w:type="spellStart"/>
      <w:r>
        <w:t>reprofiling</w:t>
      </w:r>
      <w:proofErr w:type="spellEnd"/>
      <w:r>
        <w:t>) expenditure and for drawing down grant in aid.</w:t>
      </w:r>
    </w:p>
    <w:p w:rsidR="005353C5" w:rsidRDefault="005353C5">
      <w:pPr>
        <w:pStyle w:val="BodyText"/>
      </w:pPr>
    </w:p>
    <w:p w:rsidR="005353C5" w:rsidRDefault="00953AAF">
      <w:pPr>
        <w:pStyle w:val="BodyText"/>
        <w:ind w:left="317" w:right="294"/>
      </w:pPr>
      <w:r>
        <w:t>The use of resources must be in accordance with agreed Corporate and Business Plans, the organisation’s framework document, and any relevant guidance issued by the Scottish Ministers, in particular the Scottish Public Finance Manual (SPFM) and Finance Guidance Notes issued periodically.</w:t>
      </w:r>
    </w:p>
    <w:p w:rsidR="005353C5" w:rsidRDefault="005353C5">
      <w:pPr>
        <w:pStyle w:val="BodyText"/>
      </w:pPr>
    </w:p>
    <w:p w:rsidR="005353C5" w:rsidRDefault="00953AAF">
      <w:pPr>
        <w:pStyle w:val="BodyText"/>
        <w:ind w:left="317" w:right="321"/>
      </w:pPr>
      <w:r>
        <w:t>Relevant guidance may also include the setting out, from time to time, of expectations for the way that NatureScot operates in support of Ministers’ policy aims and objectives for the public sector as a whole.</w:t>
      </w:r>
    </w:p>
    <w:p w:rsidR="005353C5" w:rsidRDefault="005353C5">
      <w:pPr>
        <w:pStyle w:val="BodyText"/>
      </w:pPr>
    </w:p>
    <w:p w:rsidR="005353C5" w:rsidRDefault="00953AAF">
      <w:pPr>
        <w:pStyle w:val="Heading1"/>
        <w:spacing w:before="1"/>
      </w:pPr>
      <w:r>
        <w:t>Strategic Priorities and Context</w:t>
      </w:r>
    </w:p>
    <w:p w:rsidR="005353C5" w:rsidRDefault="005353C5">
      <w:pPr>
        <w:pStyle w:val="BodyText"/>
        <w:spacing w:before="4"/>
        <w:rPr>
          <w:b/>
        </w:rPr>
      </w:pPr>
    </w:p>
    <w:p w:rsidR="005353C5" w:rsidRDefault="00953AAF">
      <w:pPr>
        <w:pStyle w:val="BodyText"/>
        <w:spacing w:line="235" w:lineRule="auto"/>
        <w:ind w:left="317" w:right="294"/>
      </w:pPr>
      <w:r>
        <w:t>NatureScot programmes and priorities for 2021-22 should continue to have a strong focus on delivery of the National Performance Framework</w:t>
      </w:r>
      <w:r>
        <w:rPr>
          <w:position w:val="8"/>
          <w:sz w:val="16"/>
        </w:rPr>
        <w:t xml:space="preserve">1 </w:t>
      </w:r>
      <w:r>
        <w:t>(NPF), in particular the Purpose and the</w:t>
      </w:r>
    </w:p>
    <w:p w:rsidR="005353C5" w:rsidRDefault="00A773D3">
      <w:pPr>
        <w:pStyle w:val="BodyText"/>
        <w:spacing w:before="4"/>
        <w:rPr>
          <w:sz w:val="15"/>
        </w:rPr>
      </w:pPr>
      <w:r>
        <w:pict>
          <v:shape id="_x0000_s1026" style="position:absolute;margin-left:56.9pt;margin-top:11.1pt;width:144.05pt;height:.1pt;z-index:-251657216;mso-wrap-distance-left:0;mso-wrap-distance-right:0;mso-position-horizontal-relative:page" coordorigin="1138,222" coordsize="2881,0" path="m1138,222r2881,e" filled="f" strokeweight=".6pt">
            <v:path arrowok="t"/>
            <w10:wrap type="topAndBottom" anchorx="page"/>
          </v:shape>
        </w:pict>
      </w:r>
    </w:p>
    <w:p w:rsidR="005353C5" w:rsidRDefault="00953AAF">
      <w:pPr>
        <w:spacing w:before="74" w:line="215" w:lineRule="exact"/>
        <w:ind w:left="317"/>
        <w:rPr>
          <w:sz w:val="20"/>
        </w:rPr>
      </w:pPr>
      <w:r>
        <w:rPr>
          <w:position w:val="6"/>
          <w:sz w:val="13"/>
        </w:rPr>
        <w:t xml:space="preserve">1 </w:t>
      </w:r>
      <w:r>
        <w:rPr>
          <w:color w:val="0000FF"/>
          <w:sz w:val="20"/>
        </w:rPr>
        <w:t>https://nationalperformance.gov.scot/</w:t>
      </w:r>
    </w:p>
    <w:p w:rsidR="005353C5" w:rsidRDefault="00A773D3">
      <w:pPr>
        <w:tabs>
          <w:tab w:val="left" w:pos="4936"/>
          <w:tab w:val="left" w:pos="8906"/>
        </w:tabs>
        <w:spacing w:line="894" w:lineRule="exact"/>
        <w:ind w:left="317"/>
        <w:rPr>
          <w:sz w:val="32"/>
        </w:rPr>
      </w:pPr>
      <w:hyperlink r:id="rId8">
        <w:r w:rsidR="00953AAF">
          <w:rPr>
            <w:rFonts w:ascii="Lucida Sans" w:hAnsi="Lucida Sans"/>
            <w:spacing w:val="-3"/>
            <w:w w:val="112"/>
            <w:position w:val="3"/>
            <w:sz w:val="19"/>
          </w:rPr>
          <w:t>www</w:t>
        </w:r>
        <w:r w:rsidR="00953AAF">
          <w:rPr>
            <w:rFonts w:ascii="Lucida Sans" w:hAnsi="Lucida Sans"/>
            <w:spacing w:val="-3"/>
            <w:w w:val="79"/>
            <w:position w:val="3"/>
            <w:sz w:val="19"/>
          </w:rPr>
          <w:t>.</w:t>
        </w:r>
        <w:r w:rsidR="00953AAF">
          <w:rPr>
            <w:rFonts w:ascii="Lucida Sans" w:hAnsi="Lucida Sans"/>
            <w:spacing w:val="-4"/>
            <w:w w:val="91"/>
            <w:position w:val="3"/>
            <w:sz w:val="19"/>
          </w:rPr>
          <w:t>g</w:t>
        </w:r>
        <w:r w:rsidR="00953AAF">
          <w:rPr>
            <w:rFonts w:ascii="Lucida Sans" w:hAnsi="Lucida Sans"/>
            <w:w w:val="99"/>
            <w:position w:val="3"/>
            <w:sz w:val="19"/>
          </w:rPr>
          <w:t>o</w:t>
        </w:r>
        <w:r w:rsidR="00953AAF">
          <w:rPr>
            <w:rFonts w:ascii="Lucida Sans" w:hAnsi="Lucida Sans"/>
            <w:spacing w:val="-4"/>
            <w:w w:val="123"/>
            <w:position w:val="3"/>
            <w:sz w:val="19"/>
          </w:rPr>
          <w:t>v</w:t>
        </w:r>
        <w:r w:rsidR="00953AAF">
          <w:rPr>
            <w:rFonts w:ascii="Lucida Sans" w:hAnsi="Lucida Sans"/>
            <w:spacing w:val="-3"/>
            <w:w w:val="79"/>
            <w:position w:val="3"/>
            <w:sz w:val="19"/>
          </w:rPr>
          <w:t>.</w:t>
        </w:r>
        <w:r w:rsidR="00953AAF">
          <w:rPr>
            <w:rFonts w:ascii="Lucida Sans" w:hAnsi="Lucida Sans"/>
            <w:w w:val="96"/>
            <w:position w:val="3"/>
            <w:sz w:val="19"/>
          </w:rPr>
          <w:t>s</w:t>
        </w:r>
        <w:r w:rsidR="00953AAF">
          <w:rPr>
            <w:rFonts w:ascii="Lucida Sans" w:hAnsi="Lucida Sans"/>
            <w:spacing w:val="-4"/>
            <w:w w:val="96"/>
            <w:position w:val="3"/>
            <w:sz w:val="19"/>
          </w:rPr>
          <w:t>c</w:t>
        </w:r>
        <w:r w:rsidR="00953AAF">
          <w:rPr>
            <w:rFonts w:ascii="Lucida Sans" w:hAnsi="Lucida Sans"/>
            <w:spacing w:val="-2"/>
            <w:w w:val="99"/>
            <w:position w:val="3"/>
            <w:sz w:val="19"/>
          </w:rPr>
          <w:t>o</w:t>
        </w:r>
        <w:r w:rsidR="00953AAF">
          <w:rPr>
            <w:rFonts w:ascii="Lucida Sans" w:hAnsi="Lucida Sans"/>
            <w:w w:val="104"/>
            <w:position w:val="3"/>
            <w:sz w:val="19"/>
          </w:rPr>
          <w:t>t</w:t>
        </w:r>
      </w:hyperlink>
      <w:r w:rsidR="00953AAF">
        <w:rPr>
          <w:rFonts w:ascii="Lucida Sans" w:hAnsi="Lucida Sans"/>
          <w:position w:val="3"/>
          <w:sz w:val="19"/>
        </w:rPr>
        <w:tab/>
      </w:r>
    </w:p>
    <w:p w:rsidR="005353C5" w:rsidRDefault="005353C5">
      <w:pPr>
        <w:spacing w:line="894" w:lineRule="exact"/>
        <w:rPr>
          <w:sz w:val="32"/>
        </w:rPr>
        <w:sectPr w:rsidR="005353C5">
          <w:footerReference w:type="default" r:id="rId9"/>
          <w:type w:val="continuous"/>
          <w:pgSz w:w="11910" w:h="16840"/>
          <w:pgMar w:top="800" w:right="600" w:bottom="660" w:left="820" w:header="720" w:footer="480" w:gutter="0"/>
          <w:cols w:space="720"/>
        </w:sectPr>
      </w:pPr>
    </w:p>
    <w:p w:rsidR="005353C5" w:rsidRDefault="00953AAF">
      <w:pPr>
        <w:pStyle w:val="BodyText"/>
        <w:spacing w:before="65"/>
        <w:ind w:left="317" w:right="334"/>
      </w:pPr>
      <w:r>
        <w:lastRenderedPageBreak/>
        <w:t>National Outcomes that are relevant to NatureScot’s remit. The organisation should continue to support the Environment, Climate Change and Land Reform portfolio’s overarching aim to protect and value Scotland’s environment and to build a strong and sustainable net-zero economy.</w:t>
      </w:r>
    </w:p>
    <w:p w:rsidR="005353C5" w:rsidRDefault="005353C5">
      <w:pPr>
        <w:pStyle w:val="BodyText"/>
      </w:pPr>
    </w:p>
    <w:p w:rsidR="005353C5" w:rsidRDefault="00953AAF">
      <w:pPr>
        <w:pStyle w:val="BodyText"/>
        <w:ind w:left="317" w:right="533"/>
      </w:pPr>
      <w:r>
        <w:t>Grant-in-aid is paid to enable NatureScot to fulfil its statutory functions and to deliver priorities as set out in the organisation’s agreed Corporate Plan and annual Business Plan.</w:t>
      </w:r>
    </w:p>
    <w:p w:rsidR="005353C5" w:rsidRDefault="005353C5">
      <w:pPr>
        <w:pStyle w:val="BodyText"/>
      </w:pPr>
    </w:p>
    <w:p w:rsidR="005353C5" w:rsidRDefault="00953AAF">
      <w:pPr>
        <w:pStyle w:val="BodyText"/>
        <w:spacing w:before="1"/>
        <w:ind w:left="317" w:right="334"/>
      </w:pPr>
      <w:r>
        <w:t>In delivering those plans, NatureScot should continue to explore, and articulate, how its work positively supports the Scottish Government’s policy outcomes, including as set out in the National Performance Framework.</w:t>
      </w:r>
    </w:p>
    <w:p w:rsidR="005353C5" w:rsidRDefault="005353C5">
      <w:pPr>
        <w:pStyle w:val="BodyText"/>
        <w:spacing w:before="11"/>
        <w:rPr>
          <w:sz w:val="23"/>
        </w:rPr>
      </w:pPr>
    </w:p>
    <w:p w:rsidR="005353C5" w:rsidRDefault="00953AAF">
      <w:pPr>
        <w:pStyle w:val="Heading1"/>
      </w:pPr>
      <w:r>
        <w:t>Budget</w:t>
      </w:r>
    </w:p>
    <w:p w:rsidR="005353C5" w:rsidRDefault="005353C5">
      <w:pPr>
        <w:pStyle w:val="BodyText"/>
        <w:rPr>
          <w:b/>
        </w:rPr>
      </w:pPr>
    </w:p>
    <w:p w:rsidR="005353C5" w:rsidRDefault="00953AAF">
      <w:pPr>
        <w:pStyle w:val="BodyText"/>
        <w:ind w:left="317"/>
      </w:pPr>
      <w:r>
        <w:t>The 2021-22 allocation for NatureScot as shown in the Budget Act in terms of grant in aid is:</w:t>
      </w:r>
    </w:p>
    <w:p w:rsidR="005353C5" w:rsidRDefault="005353C5">
      <w:pPr>
        <w:pStyle w:val="BodyText"/>
        <w:spacing w:before="3" w:after="1"/>
        <w:rPr>
          <w:sz w:val="16"/>
        </w:rPr>
      </w:pPr>
    </w:p>
    <w:tbl>
      <w:tblPr>
        <w:tblW w:w="0" w:type="auto"/>
        <w:tblInd w:w="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1"/>
        <w:gridCol w:w="1135"/>
        <w:gridCol w:w="845"/>
      </w:tblGrid>
      <w:tr w:rsidR="005353C5">
        <w:trPr>
          <w:trHeight w:val="275"/>
        </w:trPr>
        <w:tc>
          <w:tcPr>
            <w:tcW w:w="5041" w:type="dxa"/>
          </w:tcPr>
          <w:p w:rsidR="005353C5" w:rsidRDefault="005353C5">
            <w:pPr>
              <w:pStyle w:val="TableParagraph"/>
              <w:ind w:left="0"/>
              <w:rPr>
                <w:rFonts w:ascii="Times New Roman"/>
                <w:sz w:val="20"/>
              </w:rPr>
            </w:pPr>
          </w:p>
        </w:tc>
        <w:tc>
          <w:tcPr>
            <w:tcW w:w="1135" w:type="dxa"/>
          </w:tcPr>
          <w:p w:rsidR="005353C5" w:rsidRDefault="00953AAF">
            <w:pPr>
              <w:pStyle w:val="TableParagraph"/>
              <w:spacing w:line="256" w:lineRule="exact"/>
              <w:rPr>
                <w:sz w:val="24"/>
              </w:rPr>
            </w:pPr>
            <w:r>
              <w:rPr>
                <w:sz w:val="24"/>
              </w:rPr>
              <w:t>£000s</w:t>
            </w:r>
          </w:p>
        </w:tc>
        <w:tc>
          <w:tcPr>
            <w:tcW w:w="845" w:type="dxa"/>
          </w:tcPr>
          <w:p w:rsidR="005353C5" w:rsidRDefault="00953AAF">
            <w:pPr>
              <w:pStyle w:val="TableParagraph"/>
              <w:spacing w:line="256" w:lineRule="exact"/>
              <w:rPr>
                <w:sz w:val="24"/>
              </w:rPr>
            </w:pPr>
            <w:r>
              <w:rPr>
                <w:sz w:val="24"/>
              </w:rPr>
              <w:t>Notes</w:t>
            </w:r>
          </w:p>
        </w:tc>
      </w:tr>
      <w:tr w:rsidR="005353C5">
        <w:trPr>
          <w:trHeight w:val="275"/>
        </w:trPr>
        <w:tc>
          <w:tcPr>
            <w:tcW w:w="5041" w:type="dxa"/>
          </w:tcPr>
          <w:p w:rsidR="005353C5" w:rsidRDefault="00953AAF">
            <w:pPr>
              <w:pStyle w:val="TableParagraph"/>
              <w:spacing w:line="256" w:lineRule="exact"/>
              <w:rPr>
                <w:sz w:val="24"/>
              </w:rPr>
            </w:pPr>
            <w:r>
              <w:rPr>
                <w:sz w:val="24"/>
              </w:rPr>
              <w:t>Resource DEL</w:t>
            </w:r>
          </w:p>
        </w:tc>
        <w:tc>
          <w:tcPr>
            <w:tcW w:w="1135" w:type="dxa"/>
          </w:tcPr>
          <w:p w:rsidR="005353C5" w:rsidRDefault="00953AAF">
            <w:pPr>
              <w:pStyle w:val="TableParagraph"/>
              <w:spacing w:line="256" w:lineRule="exact"/>
              <w:ind w:left="0" w:right="97"/>
              <w:jc w:val="right"/>
              <w:rPr>
                <w:sz w:val="24"/>
              </w:rPr>
            </w:pPr>
            <w:r>
              <w:rPr>
                <w:sz w:val="24"/>
              </w:rPr>
              <w:t>45,609</w:t>
            </w:r>
          </w:p>
        </w:tc>
        <w:tc>
          <w:tcPr>
            <w:tcW w:w="845" w:type="dxa"/>
          </w:tcPr>
          <w:p w:rsidR="005353C5" w:rsidRDefault="00953AAF">
            <w:pPr>
              <w:pStyle w:val="TableParagraph"/>
              <w:spacing w:line="256" w:lineRule="exact"/>
              <w:rPr>
                <w:rFonts w:ascii="Wingdings" w:hAnsi="Wingdings"/>
                <w:sz w:val="24"/>
              </w:rPr>
            </w:pPr>
            <w:r>
              <w:rPr>
                <w:rFonts w:ascii="Wingdings" w:hAnsi="Wingdings"/>
                <w:sz w:val="24"/>
              </w:rPr>
              <w:t></w:t>
            </w:r>
            <w:r>
              <w:rPr>
                <w:rFonts w:ascii="Wingdings" w:hAnsi="Wingdings"/>
                <w:sz w:val="24"/>
              </w:rPr>
              <w:t></w:t>
            </w:r>
          </w:p>
        </w:tc>
      </w:tr>
      <w:tr w:rsidR="005353C5">
        <w:trPr>
          <w:trHeight w:val="275"/>
        </w:trPr>
        <w:tc>
          <w:tcPr>
            <w:tcW w:w="5041" w:type="dxa"/>
          </w:tcPr>
          <w:p w:rsidR="005353C5" w:rsidRDefault="00953AAF">
            <w:pPr>
              <w:pStyle w:val="TableParagraph"/>
              <w:spacing w:line="256" w:lineRule="exact"/>
              <w:rPr>
                <w:sz w:val="24"/>
              </w:rPr>
            </w:pPr>
            <w:r>
              <w:rPr>
                <w:sz w:val="24"/>
              </w:rPr>
              <w:t>Ring-fenced (or “non cash”) DEL</w:t>
            </w:r>
          </w:p>
        </w:tc>
        <w:tc>
          <w:tcPr>
            <w:tcW w:w="1135" w:type="dxa"/>
          </w:tcPr>
          <w:p w:rsidR="005353C5" w:rsidRDefault="00953AAF">
            <w:pPr>
              <w:pStyle w:val="TableParagraph"/>
              <w:spacing w:line="256" w:lineRule="exact"/>
              <w:ind w:left="0" w:right="97"/>
              <w:jc w:val="right"/>
              <w:rPr>
                <w:sz w:val="24"/>
              </w:rPr>
            </w:pPr>
            <w:r>
              <w:rPr>
                <w:sz w:val="24"/>
              </w:rPr>
              <w:t>2,150</w:t>
            </w:r>
          </w:p>
        </w:tc>
        <w:tc>
          <w:tcPr>
            <w:tcW w:w="845" w:type="dxa"/>
          </w:tcPr>
          <w:p w:rsidR="005353C5" w:rsidRDefault="00953AAF">
            <w:pPr>
              <w:pStyle w:val="TableParagraph"/>
              <w:spacing w:before="2" w:line="253" w:lineRule="exact"/>
              <w:rPr>
                <w:rFonts w:ascii="Wingdings" w:hAnsi="Wingdings"/>
                <w:sz w:val="24"/>
              </w:rPr>
            </w:pPr>
            <w:r>
              <w:rPr>
                <w:rFonts w:ascii="Wingdings" w:hAnsi="Wingdings"/>
                <w:sz w:val="24"/>
              </w:rPr>
              <w:t></w:t>
            </w:r>
            <w:r>
              <w:rPr>
                <w:rFonts w:ascii="Wingdings" w:hAnsi="Wingdings"/>
                <w:sz w:val="24"/>
              </w:rPr>
              <w:t></w:t>
            </w:r>
          </w:p>
        </w:tc>
      </w:tr>
      <w:tr w:rsidR="005353C5">
        <w:trPr>
          <w:trHeight w:val="267"/>
        </w:trPr>
        <w:tc>
          <w:tcPr>
            <w:tcW w:w="5041" w:type="dxa"/>
          </w:tcPr>
          <w:p w:rsidR="005353C5" w:rsidRDefault="00953AAF">
            <w:pPr>
              <w:pStyle w:val="TableParagraph"/>
              <w:spacing w:line="248" w:lineRule="exact"/>
              <w:rPr>
                <w:sz w:val="24"/>
              </w:rPr>
            </w:pPr>
            <w:r>
              <w:rPr>
                <w:sz w:val="24"/>
              </w:rPr>
              <w:t>Capital DEL</w:t>
            </w:r>
          </w:p>
        </w:tc>
        <w:tc>
          <w:tcPr>
            <w:tcW w:w="1135" w:type="dxa"/>
            <w:tcBorders>
              <w:bottom w:val="single" w:sz="12" w:space="0" w:color="000000"/>
            </w:tcBorders>
          </w:tcPr>
          <w:p w:rsidR="005353C5" w:rsidRDefault="00953AAF">
            <w:pPr>
              <w:pStyle w:val="TableParagraph"/>
              <w:spacing w:line="248" w:lineRule="exact"/>
              <w:ind w:left="0" w:right="97"/>
              <w:jc w:val="right"/>
              <w:rPr>
                <w:sz w:val="24"/>
              </w:rPr>
            </w:pPr>
            <w:r>
              <w:rPr>
                <w:sz w:val="24"/>
              </w:rPr>
              <w:t>2,450</w:t>
            </w:r>
          </w:p>
        </w:tc>
        <w:tc>
          <w:tcPr>
            <w:tcW w:w="845" w:type="dxa"/>
          </w:tcPr>
          <w:p w:rsidR="005353C5" w:rsidRDefault="00953AAF">
            <w:pPr>
              <w:pStyle w:val="TableParagraph"/>
              <w:spacing w:before="2" w:line="246" w:lineRule="exact"/>
              <w:rPr>
                <w:rFonts w:ascii="Wingdings" w:hAnsi="Wingdings"/>
                <w:sz w:val="24"/>
              </w:rPr>
            </w:pPr>
            <w:r>
              <w:rPr>
                <w:rFonts w:ascii="Wingdings" w:hAnsi="Wingdings"/>
                <w:sz w:val="24"/>
              </w:rPr>
              <w:t></w:t>
            </w:r>
            <w:r>
              <w:rPr>
                <w:rFonts w:ascii="Wingdings" w:hAnsi="Wingdings"/>
                <w:sz w:val="24"/>
              </w:rPr>
              <w:t></w:t>
            </w:r>
          </w:p>
        </w:tc>
      </w:tr>
      <w:tr w:rsidR="005353C5">
        <w:trPr>
          <w:trHeight w:val="284"/>
        </w:trPr>
        <w:tc>
          <w:tcPr>
            <w:tcW w:w="5041" w:type="dxa"/>
          </w:tcPr>
          <w:p w:rsidR="005353C5" w:rsidRDefault="00953AAF">
            <w:pPr>
              <w:pStyle w:val="TableParagraph"/>
              <w:spacing w:before="7" w:line="258" w:lineRule="exact"/>
              <w:rPr>
                <w:sz w:val="24"/>
              </w:rPr>
            </w:pPr>
            <w:r>
              <w:rPr>
                <w:sz w:val="24"/>
              </w:rPr>
              <w:t>Total DEL</w:t>
            </w:r>
          </w:p>
        </w:tc>
        <w:tc>
          <w:tcPr>
            <w:tcW w:w="1135" w:type="dxa"/>
            <w:tcBorders>
              <w:top w:val="single" w:sz="12" w:space="0" w:color="000000"/>
            </w:tcBorders>
          </w:tcPr>
          <w:p w:rsidR="005353C5" w:rsidRDefault="00953AAF">
            <w:pPr>
              <w:pStyle w:val="TableParagraph"/>
              <w:spacing w:before="7" w:line="258" w:lineRule="exact"/>
              <w:ind w:left="0" w:right="97"/>
              <w:jc w:val="right"/>
              <w:rPr>
                <w:sz w:val="24"/>
              </w:rPr>
            </w:pPr>
            <w:r>
              <w:rPr>
                <w:sz w:val="24"/>
              </w:rPr>
              <w:t>50,209</w:t>
            </w:r>
          </w:p>
        </w:tc>
        <w:tc>
          <w:tcPr>
            <w:tcW w:w="845" w:type="dxa"/>
          </w:tcPr>
          <w:p w:rsidR="005353C5" w:rsidRDefault="00953AAF">
            <w:pPr>
              <w:pStyle w:val="TableParagraph"/>
              <w:spacing w:before="9" w:line="256" w:lineRule="exact"/>
              <w:rPr>
                <w:rFonts w:ascii="Wingdings" w:hAnsi="Wingdings"/>
                <w:sz w:val="24"/>
              </w:rPr>
            </w:pPr>
            <w:r>
              <w:rPr>
                <w:rFonts w:ascii="Wingdings" w:hAnsi="Wingdings"/>
                <w:sz w:val="24"/>
              </w:rPr>
              <w:t></w:t>
            </w:r>
          </w:p>
        </w:tc>
      </w:tr>
      <w:tr w:rsidR="005353C5">
        <w:trPr>
          <w:trHeight w:val="265"/>
        </w:trPr>
        <w:tc>
          <w:tcPr>
            <w:tcW w:w="5041" w:type="dxa"/>
          </w:tcPr>
          <w:p w:rsidR="005353C5" w:rsidRDefault="00953AAF">
            <w:pPr>
              <w:pStyle w:val="TableParagraph"/>
              <w:spacing w:line="246" w:lineRule="exact"/>
              <w:rPr>
                <w:sz w:val="24"/>
              </w:rPr>
            </w:pPr>
            <w:r>
              <w:rPr>
                <w:sz w:val="24"/>
              </w:rPr>
              <w:t>Covid Funding</w:t>
            </w:r>
          </w:p>
        </w:tc>
        <w:tc>
          <w:tcPr>
            <w:tcW w:w="1135" w:type="dxa"/>
            <w:tcBorders>
              <w:bottom w:val="single" w:sz="12" w:space="0" w:color="000000"/>
            </w:tcBorders>
          </w:tcPr>
          <w:p w:rsidR="005353C5" w:rsidRDefault="00953AAF">
            <w:pPr>
              <w:pStyle w:val="TableParagraph"/>
              <w:spacing w:line="246" w:lineRule="exact"/>
              <w:ind w:left="0" w:right="96"/>
              <w:jc w:val="right"/>
              <w:rPr>
                <w:sz w:val="24"/>
              </w:rPr>
            </w:pPr>
            <w:r>
              <w:rPr>
                <w:w w:val="95"/>
                <w:sz w:val="24"/>
              </w:rPr>
              <w:t>750</w:t>
            </w:r>
          </w:p>
        </w:tc>
        <w:tc>
          <w:tcPr>
            <w:tcW w:w="845" w:type="dxa"/>
          </w:tcPr>
          <w:p w:rsidR="005353C5" w:rsidRDefault="00953AAF">
            <w:pPr>
              <w:pStyle w:val="TableParagraph"/>
              <w:spacing w:before="2" w:line="243" w:lineRule="exact"/>
              <w:rPr>
                <w:rFonts w:ascii="MS UI Gothic" w:hAnsi="MS UI Gothic"/>
                <w:sz w:val="24"/>
              </w:rPr>
            </w:pPr>
            <w:r>
              <w:rPr>
                <w:rFonts w:ascii="MS UI Gothic" w:hAnsi="MS UI Gothic"/>
                <w:w w:val="157"/>
                <w:sz w:val="24"/>
              </w:rPr>
              <w:t>é</w:t>
            </w:r>
          </w:p>
        </w:tc>
      </w:tr>
      <w:tr w:rsidR="005353C5">
        <w:trPr>
          <w:trHeight w:val="277"/>
        </w:trPr>
        <w:tc>
          <w:tcPr>
            <w:tcW w:w="5041" w:type="dxa"/>
          </w:tcPr>
          <w:p w:rsidR="005353C5" w:rsidRDefault="00953AAF">
            <w:pPr>
              <w:pStyle w:val="TableParagraph"/>
              <w:spacing w:before="9" w:line="248" w:lineRule="exact"/>
              <w:rPr>
                <w:sz w:val="24"/>
              </w:rPr>
            </w:pPr>
            <w:r>
              <w:rPr>
                <w:sz w:val="24"/>
              </w:rPr>
              <w:t>Expenditure classed as AME</w:t>
            </w:r>
          </w:p>
        </w:tc>
        <w:tc>
          <w:tcPr>
            <w:tcW w:w="1135" w:type="dxa"/>
            <w:tcBorders>
              <w:top w:val="single" w:sz="12" w:space="0" w:color="000000"/>
              <w:bottom w:val="single" w:sz="12" w:space="0" w:color="000000"/>
            </w:tcBorders>
          </w:tcPr>
          <w:p w:rsidR="005353C5" w:rsidRDefault="00953AAF">
            <w:pPr>
              <w:pStyle w:val="TableParagraph"/>
              <w:spacing w:before="9" w:line="248" w:lineRule="exact"/>
              <w:ind w:left="0" w:right="97"/>
              <w:jc w:val="right"/>
              <w:rPr>
                <w:sz w:val="24"/>
              </w:rPr>
            </w:pPr>
            <w:r>
              <w:rPr>
                <w:w w:val="99"/>
                <w:sz w:val="24"/>
              </w:rPr>
              <w:t>0</w:t>
            </w:r>
          </w:p>
        </w:tc>
        <w:tc>
          <w:tcPr>
            <w:tcW w:w="845" w:type="dxa"/>
          </w:tcPr>
          <w:p w:rsidR="005353C5" w:rsidRDefault="00953AAF">
            <w:pPr>
              <w:pStyle w:val="TableParagraph"/>
              <w:spacing w:before="11" w:line="246" w:lineRule="exact"/>
              <w:rPr>
                <w:rFonts w:ascii="Wingdings" w:hAnsi="Wingdings"/>
                <w:sz w:val="24"/>
              </w:rPr>
            </w:pPr>
            <w:r>
              <w:rPr>
                <w:rFonts w:ascii="Wingdings" w:hAnsi="Wingdings"/>
                <w:sz w:val="24"/>
              </w:rPr>
              <w:t></w:t>
            </w:r>
          </w:p>
        </w:tc>
      </w:tr>
      <w:tr w:rsidR="005353C5">
        <w:trPr>
          <w:trHeight w:val="277"/>
        </w:trPr>
        <w:tc>
          <w:tcPr>
            <w:tcW w:w="5041" w:type="dxa"/>
          </w:tcPr>
          <w:p w:rsidR="005353C5" w:rsidRDefault="00953AAF">
            <w:pPr>
              <w:pStyle w:val="TableParagraph"/>
              <w:spacing w:before="7" w:line="250" w:lineRule="exact"/>
              <w:rPr>
                <w:sz w:val="24"/>
              </w:rPr>
            </w:pPr>
            <w:r>
              <w:rPr>
                <w:sz w:val="24"/>
              </w:rPr>
              <w:t>Total budget</w:t>
            </w:r>
          </w:p>
        </w:tc>
        <w:tc>
          <w:tcPr>
            <w:tcW w:w="1135" w:type="dxa"/>
            <w:tcBorders>
              <w:top w:val="single" w:sz="12" w:space="0" w:color="000000"/>
              <w:bottom w:val="single" w:sz="12" w:space="0" w:color="000000"/>
            </w:tcBorders>
          </w:tcPr>
          <w:p w:rsidR="005353C5" w:rsidRDefault="00953AAF">
            <w:pPr>
              <w:pStyle w:val="TableParagraph"/>
              <w:spacing w:before="7" w:line="250" w:lineRule="exact"/>
              <w:ind w:left="0" w:right="97"/>
              <w:jc w:val="right"/>
              <w:rPr>
                <w:sz w:val="24"/>
              </w:rPr>
            </w:pPr>
            <w:r>
              <w:rPr>
                <w:sz w:val="24"/>
              </w:rPr>
              <w:t>50,959</w:t>
            </w:r>
          </w:p>
        </w:tc>
        <w:tc>
          <w:tcPr>
            <w:tcW w:w="845" w:type="dxa"/>
          </w:tcPr>
          <w:p w:rsidR="005353C5" w:rsidRDefault="005353C5">
            <w:pPr>
              <w:pStyle w:val="TableParagraph"/>
              <w:ind w:left="0"/>
              <w:rPr>
                <w:rFonts w:ascii="Times New Roman"/>
                <w:sz w:val="20"/>
              </w:rPr>
            </w:pPr>
          </w:p>
        </w:tc>
      </w:tr>
    </w:tbl>
    <w:p w:rsidR="005353C5" w:rsidRDefault="00953AAF">
      <w:pPr>
        <w:tabs>
          <w:tab w:val="left" w:pos="1037"/>
        </w:tabs>
        <w:spacing w:before="154"/>
        <w:ind w:left="1038" w:right="1008" w:hanging="721"/>
        <w:rPr>
          <w:i/>
          <w:sz w:val="20"/>
        </w:rPr>
      </w:pPr>
      <w:r>
        <w:rPr>
          <w:rFonts w:ascii="Wingdings" w:hAnsi="Wingdings"/>
          <w:i/>
          <w:sz w:val="21"/>
        </w:rPr>
        <w:t></w:t>
      </w:r>
      <w:r>
        <w:rPr>
          <w:rFonts w:ascii="Times New Roman" w:hAnsi="Times New Roman"/>
          <w:sz w:val="21"/>
        </w:rPr>
        <w:tab/>
      </w:r>
      <w:r>
        <w:rPr>
          <w:i/>
          <w:sz w:val="20"/>
        </w:rPr>
        <w:t>DEL is the “Departmental Expenditure Limit” as defined by HM Treasury. The Scottish Government’s DEL budget limits are determined by the Barnett formula and are not</w:t>
      </w:r>
      <w:r>
        <w:rPr>
          <w:i/>
          <w:spacing w:val="-34"/>
          <w:sz w:val="20"/>
        </w:rPr>
        <w:t xml:space="preserve"> </w:t>
      </w:r>
      <w:r>
        <w:rPr>
          <w:i/>
          <w:sz w:val="20"/>
        </w:rPr>
        <w:t>negotiable.</w:t>
      </w:r>
    </w:p>
    <w:p w:rsidR="005353C5" w:rsidRDefault="00953AAF">
      <w:pPr>
        <w:tabs>
          <w:tab w:val="left" w:pos="1037"/>
        </w:tabs>
        <w:spacing w:line="230" w:lineRule="exact"/>
        <w:ind w:left="317"/>
        <w:rPr>
          <w:i/>
          <w:sz w:val="20"/>
        </w:rPr>
      </w:pPr>
      <w:r>
        <w:rPr>
          <w:rFonts w:ascii="Wingdings" w:hAnsi="Wingdings"/>
          <w:i/>
          <w:sz w:val="21"/>
        </w:rPr>
        <w:t></w:t>
      </w:r>
      <w:r>
        <w:rPr>
          <w:rFonts w:ascii="Times New Roman" w:hAnsi="Times New Roman"/>
          <w:sz w:val="21"/>
        </w:rPr>
        <w:tab/>
      </w:r>
      <w:r>
        <w:rPr>
          <w:i/>
          <w:sz w:val="20"/>
        </w:rPr>
        <w:t>Comprises wages and salaries and operating costs offset by trading and other resource</w:t>
      </w:r>
      <w:r>
        <w:rPr>
          <w:i/>
          <w:spacing w:val="-10"/>
          <w:sz w:val="20"/>
        </w:rPr>
        <w:t xml:space="preserve"> </w:t>
      </w:r>
      <w:r>
        <w:rPr>
          <w:i/>
          <w:sz w:val="20"/>
        </w:rPr>
        <w:t>income.</w:t>
      </w:r>
    </w:p>
    <w:p w:rsidR="005353C5" w:rsidRDefault="00953AAF">
      <w:pPr>
        <w:tabs>
          <w:tab w:val="left" w:pos="1037"/>
          <w:tab w:val="left" w:pos="9629"/>
        </w:tabs>
        <w:ind w:left="1093" w:right="259" w:hanging="776"/>
        <w:rPr>
          <w:i/>
          <w:sz w:val="20"/>
        </w:rPr>
      </w:pPr>
      <w:r>
        <w:rPr>
          <w:rFonts w:ascii="Wingdings" w:hAnsi="Wingdings"/>
          <w:i/>
          <w:sz w:val="21"/>
        </w:rPr>
        <w:t></w:t>
      </w:r>
      <w:r>
        <w:rPr>
          <w:rFonts w:ascii="Times New Roman" w:hAnsi="Times New Roman"/>
          <w:sz w:val="21"/>
        </w:rPr>
        <w:tab/>
      </w:r>
      <w:r>
        <w:rPr>
          <w:i/>
          <w:sz w:val="20"/>
        </w:rPr>
        <w:t>Ring fenced DEL comprises depreciation, amortisation and impairment (if it does not</w:t>
      </w:r>
      <w:r>
        <w:rPr>
          <w:i/>
          <w:spacing w:val="-25"/>
          <w:sz w:val="20"/>
        </w:rPr>
        <w:t xml:space="preserve"> </w:t>
      </w:r>
      <w:r>
        <w:rPr>
          <w:i/>
          <w:sz w:val="20"/>
        </w:rPr>
        <w:t>qualify</w:t>
      </w:r>
      <w:r>
        <w:rPr>
          <w:i/>
          <w:spacing w:val="-3"/>
          <w:sz w:val="20"/>
        </w:rPr>
        <w:t xml:space="preserve"> </w:t>
      </w:r>
      <w:r>
        <w:rPr>
          <w:i/>
          <w:sz w:val="20"/>
        </w:rPr>
        <w:t>as</w:t>
      </w:r>
      <w:r>
        <w:rPr>
          <w:i/>
          <w:sz w:val="20"/>
        </w:rPr>
        <w:tab/>
        <w:t xml:space="preserve">AME </w:t>
      </w:r>
      <w:r>
        <w:rPr>
          <w:i/>
          <w:spacing w:val="-17"/>
          <w:sz w:val="20"/>
        </w:rPr>
        <w:t xml:space="preserve">– </w:t>
      </w:r>
      <w:r>
        <w:rPr>
          <w:i/>
          <w:sz w:val="20"/>
        </w:rPr>
        <w:t>see</w:t>
      </w:r>
      <w:r>
        <w:rPr>
          <w:i/>
          <w:spacing w:val="-2"/>
          <w:sz w:val="20"/>
        </w:rPr>
        <w:t xml:space="preserve"> </w:t>
      </w:r>
      <w:r>
        <w:rPr>
          <w:i/>
          <w:sz w:val="20"/>
        </w:rPr>
        <w:t>below).</w:t>
      </w:r>
    </w:p>
    <w:p w:rsidR="005353C5" w:rsidRDefault="00953AAF">
      <w:pPr>
        <w:tabs>
          <w:tab w:val="left" w:pos="1037"/>
        </w:tabs>
        <w:spacing w:line="235" w:lineRule="auto"/>
        <w:ind w:left="1038" w:right="231" w:hanging="721"/>
        <w:rPr>
          <w:i/>
          <w:sz w:val="20"/>
        </w:rPr>
      </w:pPr>
      <w:r>
        <w:rPr>
          <w:rFonts w:ascii="Wingdings" w:hAnsi="Wingdings"/>
          <w:i/>
          <w:sz w:val="21"/>
        </w:rPr>
        <w:t></w:t>
      </w:r>
      <w:r>
        <w:rPr>
          <w:rFonts w:ascii="Times New Roman" w:hAnsi="Times New Roman"/>
          <w:sz w:val="21"/>
        </w:rPr>
        <w:tab/>
      </w:r>
      <w:r>
        <w:rPr>
          <w:i/>
          <w:sz w:val="20"/>
        </w:rPr>
        <w:t>Comprises capital grants and additions to non-current assets offset by the net book value of disposals of non-current assets.</w:t>
      </w:r>
    </w:p>
    <w:p w:rsidR="005353C5" w:rsidRDefault="00953AAF">
      <w:pPr>
        <w:tabs>
          <w:tab w:val="left" w:pos="1037"/>
        </w:tabs>
        <w:spacing w:before="1"/>
        <w:ind w:left="1038" w:right="210" w:hanging="721"/>
        <w:rPr>
          <w:i/>
          <w:sz w:val="20"/>
        </w:rPr>
      </w:pPr>
      <w:r>
        <w:rPr>
          <w:rFonts w:ascii="Wingdings" w:hAnsi="Wingdings"/>
          <w:i/>
          <w:sz w:val="21"/>
        </w:rPr>
        <w:t></w:t>
      </w:r>
      <w:r>
        <w:rPr>
          <w:rFonts w:ascii="Times New Roman" w:hAnsi="Times New Roman"/>
          <w:sz w:val="21"/>
        </w:rPr>
        <w:tab/>
      </w:r>
      <w:r>
        <w:rPr>
          <w:i/>
          <w:sz w:val="20"/>
        </w:rPr>
        <w:t>AME is “Annually Managed Expenditure”, which covers expenditure which HMT accepts is volatile and is therefore subject to different controls. Examples are some pension adjustments and some</w:t>
      </w:r>
      <w:r>
        <w:rPr>
          <w:i/>
          <w:spacing w:val="-23"/>
          <w:sz w:val="20"/>
        </w:rPr>
        <w:t xml:space="preserve"> </w:t>
      </w:r>
      <w:r>
        <w:rPr>
          <w:i/>
          <w:sz w:val="20"/>
        </w:rPr>
        <w:t>impairments</w:t>
      </w:r>
    </w:p>
    <w:p w:rsidR="005353C5" w:rsidRDefault="00953AAF">
      <w:pPr>
        <w:tabs>
          <w:tab w:val="left" w:pos="1037"/>
        </w:tabs>
        <w:spacing w:before="3" w:line="223" w:lineRule="auto"/>
        <w:ind w:left="1038" w:right="412" w:hanging="721"/>
        <w:rPr>
          <w:i/>
          <w:sz w:val="20"/>
        </w:rPr>
      </w:pPr>
      <w:proofErr w:type="gramStart"/>
      <w:r>
        <w:rPr>
          <w:rFonts w:ascii="MS UI Gothic" w:hAnsi="MS UI Gothic"/>
          <w:w w:val="120"/>
          <w:sz w:val="21"/>
        </w:rPr>
        <w:t>é</w:t>
      </w:r>
      <w:proofErr w:type="gramEnd"/>
      <w:r>
        <w:rPr>
          <w:rFonts w:ascii="MS UI Gothic" w:hAnsi="MS UI Gothic"/>
          <w:w w:val="120"/>
          <w:sz w:val="21"/>
        </w:rPr>
        <w:tab/>
      </w:r>
      <w:r>
        <w:rPr>
          <w:i/>
          <w:sz w:val="20"/>
        </w:rPr>
        <w:t xml:space="preserve">Allocation of COVID </w:t>
      </w:r>
      <w:proofErr w:type="spellStart"/>
      <w:r>
        <w:rPr>
          <w:i/>
          <w:sz w:val="20"/>
        </w:rPr>
        <w:t>consequentials</w:t>
      </w:r>
      <w:proofErr w:type="spellEnd"/>
      <w:r>
        <w:rPr>
          <w:i/>
          <w:sz w:val="20"/>
        </w:rPr>
        <w:t xml:space="preserve"> (R-DEL), non-recurring funding for 2021-22 to help respond to the COVID-19 outbreak to support visitor management at National Nature</w:t>
      </w:r>
      <w:r>
        <w:rPr>
          <w:i/>
          <w:spacing w:val="-8"/>
          <w:sz w:val="20"/>
        </w:rPr>
        <w:t xml:space="preserve"> </w:t>
      </w:r>
      <w:r>
        <w:rPr>
          <w:i/>
          <w:sz w:val="20"/>
        </w:rPr>
        <w:t>Reserves.</w:t>
      </w:r>
    </w:p>
    <w:p w:rsidR="005353C5" w:rsidRDefault="005353C5">
      <w:pPr>
        <w:pStyle w:val="BodyText"/>
        <w:spacing w:before="6"/>
        <w:rPr>
          <w:i/>
          <w:sz w:val="20"/>
        </w:rPr>
      </w:pPr>
    </w:p>
    <w:p w:rsidR="005353C5" w:rsidRDefault="00953AAF">
      <w:pPr>
        <w:pStyle w:val="BodyText"/>
        <w:ind w:left="317" w:right="374"/>
      </w:pPr>
      <w:r>
        <w:t xml:space="preserve">Transfers of budgetary provision </w:t>
      </w:r>
      <w:r>
        <w:rPr>
          <w:b/>
        </w:rPr>
        <w:t xml:space="preserve">between </w:t>
      </w:r>
      <w:r>
        <w:t xml:space="preserve">the classifications in the table above would require the prior approval of Scottish Government Finance. Any proposals for such transfers should therefore be submitted to the sponsor team. Transfers of budgetary provision </w:t>
      </w:r>
      <w:r>
        <w:rPr>
          <w:b/>
        </w:rPr>
        <w:t xml:space="preserve">within </w:t>
      </w:r>
      <w:r>
        <w:t>the classifications in the table above may be undertaken without reference to the Scottish Government, subject to any constraints on specific areas of expenditure e.g. the approved pay remit.</w:t>
      </w:r>
    </w:p>
    <w:p w:rsidR="005353C5" w:rsidRDefault="005353C5">
      <w:pPr>
        <w:pStyle w:val="BodyText"/>
        <w:spacing w:before="1"/>
      </w:pPr>
    </w:p>
    <w:p w:rsidR="005353C5" w:rsidRDefault="00953AAF">
      <w:pPr>
        <w:pStyle w:val="Heading1"/>
      </w:pPr>
      <w:r>
        <w:t>Trading and Other Resource Income</w:t>
      </w:r>
    </w:p>
    <w:p w:rsidR="005353C5" w:rsidRDefault="005353C5">
      <w:pPr>
        <w:pStyle w:val="BodyText"/>
        <w:rPr>
          <w:b/>
        </w:rPr>
      </w:pPr>
    </w:p>
    <w:p w:rsidR="005353C5" w:rsidRDefault="00953AAF">
      <w:pPr>
        <w:pStyle w:val="BodyText"/>
        <w:ind w:left="317" w:right="361"/>
      </w:pPr>
      <w:r>
        <w:t>If the amounts realised or expected to be realised in-year are less than estimated, you shall, unless otherwise agreed with the sponsor team, ensure a corresponding reduction in your gross expenditure so that the agreed budget is not exceeded. Excluding income resulting from gifts, bequests or donations, if the amounts realised or expected to be realised in-year are more than estimated, you must seek the prior approval of the sponsor team before using any excess to support additional expenditure.</w:t>
      </w:r>
    </w:p>
    <w:p w:rsidR="005353C5" w:rsidRDefault="005353C5">
      <w:pPr>
        <w:pStyle w:val="BodyText"/>
        <w:rPr>
          <w:sz w:val="26"/>
        </w:rPr>
      </w:pPr>
    </w:p>
    <w:p w:rsidR="005353C5" w:rsidRDefault="005353C5">
      <w:pPr>
        <w:pStyle w:val="BodyText"/>
        <w:spacing w:before="3"/>
        <w:rPr>
          <w:sz w:val="31"/>
        </w:rPr>
      </w:pPr>
    </w:p>
    <w:p w:rsidR="005353C5" w:rsidRDefault="00A773D3">
      <w:pPr>
        <w:tabs>
          <w:tab w:val="left" w:pos="4936"/>
          <w:tab w:val="left" w:pos="8906"/>
        </w:tabs>
        <w:spacing w:line="908" w:lineRule="exact"/>
        <w:ind w:left="317"/>
        <w:rPr>
          <w:sz w:val="32"/>
        </w:rPr>
      </w:pPr>
      <w:hyperlink r:id="rId10">
        <w:r w:rsidR="00953AAF">
          <w:rPr>
            <w:rFonts w:ascii="Lucida Sans" w:hAnsi="Lucida Sans"/>
            <w:spacing w:val="-3"/>
            <w:w w:val="112"/>
            <w:position w:val="3"/>
            <w:sz w:val="19"/>
          </w:rPr>
          <w:t>www</w:t>
        </w:r>
        <w:r w:rsidR="00953AAF">
          <w:rPr>
            <w:rFonts w:ascii="Lucida Sans" w:hAnsi="Lucida Sans"/>
            <w:spacing w:val="-3"/>
            <w:w w:val="79"/>
            <w:position w:val="3"/>
            <w:sz w:val="19"/>
          </w:rPr>
          <w:t>.</w:t>
        </w:r>
        <w:r w:rsidR="00953AAF">
          <w:rPr>
            <w:rFonts w:ascii="Lucida Sans" w:hAnsi="Lucida Sans"/>
            <w:spacing w:val="-4"/>
            <w:w w:val="91"/>
            <w:position w:val="3"/>
            <w:sz w:val="19"/>
          </w:rPr>
          <w:t>g</w:t>
        </w:r>
        <w:r w:rsidR="00953AAF">
          <w:rPr>
            <w:rFonts w:ascii="Lucida Sans" w:hAnsi="Lucida Sans"/>
            <w:w w:val="99"/>
            <w:position w:val="3"/>
            <w:sz w:val="19"/>
          </w:rPr>
          <w:t>o</w:t>
        </w:r>
        <w:r w:rsidR="00953AAF">
          <w:rPr>
            <w:rFonts w:ascii="Lucida Sans" w:hAnsi="Lucida Sans"/>
            <w:spacing w:val="-4"/>
            <w:w w:val="123"/>
            <w:position w:val="3"/>
            <w:sz w:val="19"/>
          </w:rPr>
          <w:t>v</w:t>
        </w:r>
        <w:r w:rsidR="00953AAF">
          <w:rPr>
            <w:rFonts w:ascii="Lucida Sans" w:hAnsi="Lucida Sans"/>
            <w:spacing w:val="-3"/>
            <w:w w:val="79"/>
            <w:position w:val="3"/>
            <w:sz w:val="19"/>
          </w:rPr>
          <w:t>.</w:t>
        </w:r>
        <w:r w:rsidR="00953AAF">
          <w:rPr>
            <w:rFonts w:ascii="Lucida Sans" w:hAnsi="Lucida Sans"/>
            <w:w w:val="96"/>
            <w:position w:val="3"/>
            <w:sz w:val="19"/>
          </w:rPr>
          <w:t>s</w:t>
        </w:r>
        <w:r w:rsidR="00953AAF">
          <w:rPr>
            <w:rFonts w:ascii="Lucida Sans" w:hAnsi="Lucida Sans"/>
            <w:spacing w:val="-4"/>
            <w:w w:val="96"/>
            <w:position w:val="3"/>
            <w:sz w:val="19"/>
          </w:rPr>
          <w:t>c</w:t>
        </w:r>
        <w:r w:rsidR="00953AAF">
          <w:rPr>
            <w:rFonts w:ascii="Lucida Sans" w:hAnsi="Lucida Sans"/>
            <w:spacing w:val="-2"/>
            <w:w w:val="99"/>
            <w:position w:val="3"/>
            <w:sz w:val="19"/>
          </w:rPr>
          <w:t>o</w:t>
        </w:r>
        <w:r w:rsidR="00953AAF">
          <w:rPr>
            <w:rFonts w:ascii="Lucida Sans" w:hAnsi="Lucida Sans"/>
            <w:w w:val="104"/>
            <w:position w:val="3"/>
            <w:sz w:val="19"/>
          </w:rPr>
          <w:t>t</w:t>
        </w:r>
      </w:hyperlink>
      <w:r w:rsidR="00953AAF">
        <w:rPr>
          <w:rFonts w:ascii="Lucida Sans" w:hAnsi="Lucida Sans"/>
          <w:position w:val="3"/>
          <w:sz w:val="19"/>
        </w:rPr>
        <w:tab/>
      </w:r>
    </w:p>
    <w:p w:rsidR="005353C5" w:rsidRDefault="005353C5">
      <w:pPr>
        <w:spacing w:line="908" w:lineRule="exact"/>
        <w:rPr>
          <w:sz w:val="32"/>
        </w:rPr>
        <w:sectPr w:rsidR="005353C5">
          <w:pgSz w:w="11910" w:h="16840"/>
          <w:pgMar w:top="740" w:right="600" w:bottom="660" w:left="820" w:header="0" w:footer="480" w:gutter="0"/>
          <w:cols w:space="720"/>
        </w:sectPr>
      </w:pPr>
    </w:p>
    <w:p w:rsidR="005353C5" w:rsidRDefault="00953AAF">
      <w:pPr>
        <w:pStyle w:val="Heading1"/>
        <w:spacing w:before="77"/>
      </w:pPr>
      <w:r>
        <w:lastRenderedPageBreak/>
        <w:t>Grant in Aid</w:t>
      </w:r>
    </w:p>
    <w:p w:rsidR="005353C5" w:rsidRDefault="005353C5">
      <w:pPr>
        <w:pStyle w:val="BodyText"/>
        <w:rPr>
          <w:b/>
        </w:rPr>
      </w:pPr>
    </w:p>
    <w:p w:rsidR="005353C5" w:rsidRDefault="00953AAF">
      <w:pPr>
        <w:pStyle w:val="BodyText"/>
        <w:ind w:left="317" w:right="506"/>
      </w:pPr>
      <w:r>
        <w:t xml:space="preserve">As a result of current legislative provisions, Scottish Government funding for its sponsored bodies is shown in the annual Budget Act in terms of grant in aid i.e. the net cash figure required to support agreed budgets. The authorised grant in aid for NatureScot for 2021-22 is </w:t>
      </w:r>
      <w:r>
        <w:rPr>
          <w:b/>
        </w:rPr>
        <w:t>£48,809 million</w:t>
      </w:r>
      <w:r>
        <w:t xml:space="preserve">. Grant in aid should be profiled (and, if necessary, </w:t>
      </w:r>
      <w:proofErr w:type="spellStart"/>
      <w:r>
        <w:t>reprofiled</w:t>
      </w:r>
      <w:proofErr w:type="spellEnd"/>
      <w:r>
        <w:t>) and drawn down on a monthly basis. NatureScot should submit an update to the sponsor team by the 29</w:t>
      </w:r>
      <w:r>
        <w:rPr>
          <w:sz w:val="16"/>
        </w:rPr>
        <w:t xml:space="preserve">th </w:t>
      </w:r>
      <w:r>
        <w:t>of each month as part of the process to request drawdown of grant in aid, using the relevant spreadsheet accompanying this letter.</w:t>
      </w:r>
    </w:p>
    <w:p w:rsidR="005353C5" w:rsidRDefault="005353C5">
      <w:pPr>
        <w:pStyle w:val="BodyText"/>
      </w:pPr>
    </w:p>
    <w:p w:rsidR="005353C5" w:rsidRDefault="00953AAF">
      <w:pPr>
        <w:pStyle w:val="BodyText"/>
        <w:spacing w:before="1"/>
        <w:ind w:left="317" w:right="414"/>
      </w:pPr>
      <w:r>
        <w:t xml:space="preserve">The updated profiles will be used for monthly cash management forecasts provided to HM Treasury and as the basis for the payment of grant in aid - unless notification to the contrary is received by the sponsor team at least </w:t>
      </w:r>
      <w:r>
        <w:rPr>
          <w:b/>
        </w:rPr>
        <w:t xml:space="preserve">7 days </w:t>
      </w:r>
      <w:r>
        <w:t xml:space="preserve">before payment is due to be made. The sponsor team will normally aim to make payments of grant in aid by the </w:t>
      </w:r>
      <w:r>
        <w:rPr>
          <w:b/>
        </w:rPr>
        <w:t>5</w:t>
      </w:r>
      <w:r>
        <w:rPr>
          <w:b/>
          <w:sz w:val="16"/>
        </w:rPr>
        <w:t xml:space="preserve">th </w:t>
      </w:r>
      <w:r>
        <w:rPr>
          <w:b/>
        </w:rPr>
        <w:t>of each month</w:t>
      </w:r>
      <w:r>
        <w:t>.</w:t>
      </w:r>
    </w:p>
    <w:p w:rsidR="005353C5" w:rsidRDefault="005353C5">
      <w:pPr>
        <w:pStyle w:val="BodyText"/>
      </w:pPr>
    </w:p>
    <w:p w:rsidR="005353C5" w:rsidRDefault="00953AAF">
      <w:pPr>
        <w:pStyle w:val="BodyText"/>
        <w:ind w:left="317" w:right="421"/>
      </w:pPr>
      <w:r>
        <w:t>Grant in aid should not be drawn down in advance of need. Unrestricted cash reserves held during the course of the year should be kept to the minimum level, consistent with the efficient operation of the body - and the level of funds required to meet any liabilities at the year-end. At the end of the financial year, the sponsor team and NatureScot will formally agree the total grant in aid attributable to that particular period.</w:t>
      </w:r>
    </w:p>
    <w:p w:rsidR="005353C5" w:rsidRDefault="005353C5">
      <w:pPr>
        <w:pStyle w:val="BodyText"/>
      </w:pPr>
    </w:p>
    <w:p w:rsidR="005353C5" w:rsidRDefault="00953AAF">
      <w:pPr>
        <w:pStyle w:val="Heading1"/>
      </w:pPr>
      <w:r>
        <w:t>Specified Expenditure</w:t>
      </w:r>
    </w:p>
    <w:p w:rsidR="005353C5" w:rsidRDefault="005353C5">
      <w:pPr>
        <w:pStyle w:val="BodyText"/>
        <w:rPr>
          <w:b/>
        </w:rPr>
      </w:pPr>
    </w:p>
    <w:p w:rsidR="005353C5" w:rsidRDefault="00953AAF">
      <w:pPr>
        <w:pStyle w:val="BodyText"/>
        <w:spacing w:before="1"/>
        <w:ind w:left="317" w:right="333"/>
      </w:pPr>
      <w:r>
        <w:t>NatureScot’s grant in aid includes provision for the Scottish Government’s funding of the Joint Nature Conservation Committee (JNCC). The level of contribution in previous years has been reduced year on year (but not until after the NatureScot budget has been set). However, based on engagement with Defra, the expectation is that the overall contribution to the JNCC for 2021-22 by Defra and Devolved Administrations will remain unchanged from 2020-21 contribution. This is provided for in the NatureScot 2021-22 budget and it should therefore plan for a contribution to JNCC of up to £1.118m. This is subject to final confirmation and Ministerial agreement. As with previous years, the expectation is that up</w:t>
      </w:r>
      <w:r>
        <w:rPr>
          <w:spacing w:val="-25"/>
        </w:rPr>
        <w:t xml:space="preserve"> </w:t>
      </w:r>
      <w:r>
        <w:t>to</w:t>
      </w:r>
    </w:p>
    <w:p w:rsidR="005353C5" w:rsidRDefault="00953AAF">
      <w:pPr>
        <w:pStyle w:val="BodyText"/>
        <w:ind w:left="317" w:right="480"/>
      </w:pPr>
      <w:r>
        <w:t>£0.099m (to be confirmed) of the 2021-22 JNCC contribution will continue to be retained by NatureScot to fund the provision of advice on off-shore marine renewable developments in Scotland previously undertaken by JNCC. If JNCC fail to draw down all the remaining balance of £1.019m (to be confirmed), grant in aid figures will be reduced accordingly.</w:t>
      </w:r>
    </w:p>
    <w:p w:rsidR="005353C5" w:rsidRDefault="005353C5">
      <w:pPr>
        <w:pStyle w:val="BodyText"/>
        <w:spacing w:before="1"/>
      </w:pPr>
    </w:p>
    <w:p w:rsidR="005353C5" w:rsidRDefault="00953AAF">
      <w:pPr>
        <w:pStyle w:val="BodyText"/>
        <w:ind w:left="317" w:right="827"/>
      </w:pPr>
      <w:r>
        <w:t>NatureScot should also plan for a contribution of up to £1.5m towards the Scottish Rural Development Programme during 2021-22.</w:t>
      </w:r>
    </w:p>
    <w:p w:rsidR="005353C5" w:rsidRDefault="005353C5">
      <w:pPr>
        <w:pStyle w:val="BodyText"/>
      </w:pPr>
    </w:p>
    <w:p w:rsidR="005353C5" w:rsidRDefault="00953AAF">
      <w:pPr>
        <w:pStyle w:val="Heading1"/>
      </w:pPr>
      <w:r>
        <w:t>Classification of Functions of Government</w:t>
      </w:r>
    </w:p>
    <w:p w:rsidR="005353C5" w:rsidRDefault="005353C5">
      <w:pPr>
        <w:pStyle w:val="BodyText"/>
        <w:rPr>
          <w:b/>
        </w:rPr>
      </w:pPr>
    </w:p>
    <w:p w:rsidR="005353C5" w:rsidRDefault="00953AAF">
      <w:pPr>
        <w:pStyle w:val="BodyText"/>
        <w:ind w:left="317" w:right="388"/>
      </w:pPr>
      <w:r>
        <w:t xml:space="preserve">To meet HM Treasury reporting requirements we will also require an analysis of expenditure by the </w:t>
      </w:r>
      <w:r>
        <w:rPr>
          <w:color w:val="0000FF"/>
        </w:rPr>
        <w:t xml:space="preserve">Classification of the Functions of Government </w:t>
      </w:r>
      <w:r>
        <w:t>(COFOG) e.g. categories such as subsidiary services to Education, Manufacturing, Law courts, Transport etc. for onward transmission to HM Treasury. For this purpose expenditure means gross expenditure, whether funded by grant in aid or by other income. The classification has already been established in respect of NatureScot (05.4.0 - environmental protection; protection of biodiversity and landscape), but should this need to change in the future, the Sponsorship Hub will engage with the organisation to agree a COFOG analysis.</w:t>
      </w:r>
    </w:p>
    <w:p w:rsidR="005353C5" w:rsidRDefault="005353C5">
      <w:pPr>
        <w:pStyle w:val="BodyText"/>
        <w:spacing w:before="4"/>
        <w:rPr>
          <w:sz w:val="30"/>
        </w:rPr>
      </w:pPr>
    </w:p>
    <w:p w:rsidR="005353C5" w:rsidRDefault="00A773D3">
      <w:pPr>
        <w:tabs>
          <w:tab w:val="left" w:pos="4936"/>
          <w:tab w:val="left" w:pos="8906"/>
        </w:tabs>
        <w:spacing w:line="908" w:lineRule="exact"/>
        <w:ind w:left="317"/>
        <w:rPr>
          <w:sz w:val="32"/>
        </w:rPr>
      </w:pPr>
      <w:hyperlink r:id="rId11">
        <w:r w:rsidR="00953AAF">
          <w:rPr>
            <w:rFonts w:ascii="Lucida Sans" w:hAnsi="Lucida Sans"/>
            <w:spacing w:val="-3"/>
            <w:w w:val="112"/>
            <w:position w:val="3"/>
            <w:sz w:val="19"/>
          </w:rPr>
          <w:t>www</w:t>
        </w:r>
        <w:r w:rsidR="00953AAF">
          <w:rPr>
            <w:rFonts w:ascii="Lucida Sans" w:hAnsi="Lucida Sans"/>
            <w:spacing w:val="-3"/>
            <w:w w:val="79"/>
            <w:position w:val="3"/>
            <w:sz w:val="19"/>
          </w:rPr>
          <w:t>.</w:t>
        </w:r>
        <w:r w:rsidR="00953AAF">
          <w:rPr>
            <w:rFonts w:ascii="Lucida Sans" w:hAnsi="Lucida Sans"/>
            <w:spacing w:val="-4"/>
            <w:w w:val="91"/>
            <w:position w:val="3"/>
            <w:sz w:val="19"/>
          </w:rPr>
          <w:t>g</w:t>
        </w:r>
        <w:r w:rsidR="00953AAF">
          <w:rPr>
            <w:rFonts w:ascii="Lucida Sans" w:hAnsi="Lucida Sans"/>
            <w:w w:val="99"/>
            <w:position w:val="3"/>
            <w:sz w:val="19"/>
          </w:rPr>
          <w:t>o</w:t>
        </w:r>
        <w:r w:rsidR="00953AAF">
          <w:rPr>
            <w:rFonts w:ascii="Lucida Sans" w:hAnsi="Lucida Sans"/>
            <w:spacing w:val="-4"/>
            <w:w w:val="123"/>
            <w:position w:val="3"/>
            <w:sz w:val="19"/>
          </w:rPr>
          <w:t>v</w:t>
        </w:r>
        <w:r w:rsidR="00953AAF">
          <w:rPr>
            <w:rFonts w:ascii="Lucida Sans" w:hAnsi="Lucida Sans"/>
            <w:spacing w:val="-3"/>
            <w:w w:val="79"/>
            <w:position w:val="3"/>
            <w:sz w:val="19"/>
          </w:rPr>
          <w:t>.</w:t>
        </w:r>
        <w:r w:rsidR="00953AAF">
          <w:rPr>
            <w:rFonts w:ascii="Lucida Sans" w:hAnsi="Lucida Sans"/>
            <w:w w:val="96"/>
            <w:position w:val="3"/>
            <w:sz w:val="19"/>
          </w:rPr>
          <w:t>s</w:t>
        </w:r>
        <w:r w:rsidR="00953AAF">
          <w:rPr>
            <w:rFonts w:ascii="Lucida Sans" w:hAnsi="Lucida Sans"/>
            <w:spacing w:val="-4"/>
            <w:w w:val="96"/>
            <w:position w:val="3"/>
            <w:sz w:val="19"/>
          </w:rPr>
          <w:t>c</w:t>
        </w:r>
        <w:r w:rsidR="00953AAF">
          <w:rPr>
            <w:rFonts w:ascii="Lucida Sans" w:hAnsi="Lucida Sans"/>
            <w:spacing w:val="-2"/>
            <w:w w:val="99"/>
            <w:position w:val="3"/>
            <w:sz w:val="19"/>
          </w:rPr>
          <w:t>o</w:t>
        </w:r>
        <w:r w:rsidR="00953AAF">
          <w:rPr>
            <w:rFonts w:ascii="Lucida Sans" w:hAnsi="Lucida Sans"/>
            <w:w w:val="104"/>
            <w:position w:val="3"/>
            <w:sz w:val="19"/>
          </w:rPr>
          <w:t>t</w:t>
        </w:r>
      </w:hyperlink>
      <w:r w:rsidR="00953AAF">
        <w:rPr>
          <w:rFonts w:ascii="Lucida Sans" w:hAnsi="Lucida Sans"/>
          <w:position w:val="3"/>
          <w:sz w:val="19"/>
        </w:rPr>
        <w:tab/>
      </w:r>
    </w:p>
    <w:p w:rsidR="005353C5" w:rsidRDefault="005353C5">
      <w:pPr>
        <w:spacing w:line="908" w:lineRule="exact"/>
        <w:rPr>
          <w:sz w:val="32"/>
        </w:rPr>
        <w:sectPr w:rsidR="005353C5">
          <w:pgSz w:w="11910" w:h="16840"/>
          <w:pgMar w:top="1280" w:right="600" w:bottom="660" w:left="820" w:header="0" w:footer="480" w:gutter="0"/>
          <w:cols w:space="720"/>
        </w:sectPr>
      </w:pPr>
    </w:p>
    <w:p w:rsidR="005353C5" w:rsidRDefault="00953AAF">
      <w:pPr>
        <w:pStyle w:val="Heading1"/>
        <w:spacing w:before="77"/>
      </w:pPr>
      <w:r>
        <w:lastRenderedPageBreak/>
        <w:t>Budget Revisions</w:t>
      </w:r>
    </w:p>
    <w:p w:rsidR="005353C5" w:rsidRDefault="005353C5">
      <w:pPr>
        <w:pStyle w:val="BodyText"/>
        <w:rPr>
          <w:b/>
        </w:rPr>
      </w:pPr>
    </w:p>
    <w:p w:rsidR="005353C5" w:rsidRDefault="00953AAF">
      <w:pPr>
        <w:pStyle w:val="BodyText"/>
        <w:ind w:left="317" w:right="321"/>
      </w:pPr>
      <w:r>
        <w:t>Ministers have to manage the Scottish budget in light of pressures and savings that may arise during the financial year and NatureScot may itself experience pressures and savings. Such factors may make it necessary for Ministers to make changes (upwards or downwards) to the budget and associated grant in aid for your organisation.</w:t>
      </w:r>
    </w:p>
    <w:p w:rsidR="005353C5" w:rsidRDefault="005353C5">
      <w:pPr>
        <w:pStyle w:val="BodyText"/>
      </w:pPr>
    </w:p>
    <w:p w:rsidR="005353C5" w:rsidRDefault="00953AAF">
      <w:pPr>
        <w:pStyle w:val="Heading1"/>
        <w:spacing w:before="1"/>
      </w:pPr>
      <w:r>
        <w:t>Financial challenges</w:t>
      </w:r>
    </w:p>
    <w:p w:rsidR="005353C5" w:rsidRDefault="005353C5">
      <w:pPr>
        <w:pStyle w:val="BodyText"/>
        <w:spacing w:before="11"/>
        <w:rPr>
          <w:b/>
          <w:sz w:val="23"/>
        </w:rPr>
      </w:pPr>
    </w:p>
    <w:p w:rsidR="005353C5" w:rsidRDefault="00953AAF">
      <w:pPr>
        <w:pStyle w:val="BodyText"/>
        <w:ind w:left="317" w:right="412"/>
      </w:pPr>
      <w:r>
        <w:t>The COVID-19 pandemic has already had and will continue to have huge impacts on Scottish Government finances. Similar to 2020-21, there is an expectation that reprioritisation of funding may be required across the Scottish Government and its bodies.</w:t>
      </w:r>
    </w:p>
    <w:p w:rsidR="005353C5" w:rsidRDefault="005353C5">
      <w:pPr>
        <w:pStyle w:val="BodyText"/>
        <w:spacing w:before="1"/>
      </w:pPr>
    </w:p>
    <w:p w:rsidR="005353C5" w:rsidRDefault="00953AAF">
      <w:pPr>
        <w:pStyle w:val="BodyText"/>
        <w:ind w:left="317" w:right="374"/>
      </w:pPr>
      <w:r>
        <w:t>NatureScot should continue to assess the financial challenges that will need to be managed within the budget settlement for 2021-22, and prioritise its resources in order to achieve the objectives of the organisation’s Corporate Plan and deliver its Business Plan (and any agreed changes to these), meet its statutory functions and maintain the most important contributions it makes to Scottish Government objectives and priorities.</w:t>
      </w:r>
    </w:p>
    <w:p w:rsidR="005353C5" w:rsidRDefault="005353C5">
      <w:pPr>
        <w:pStyle w:val="BodyText"/>
      </w:pPr>
    </w:p>
    <w:p w:rsidR="005353C5" w:rsidRDefault="00953AAF">
      <w:pPr>
        <w:pStyle w:val="BodyText"/>
        <w:ind w:left="317" w:right="400"/>
      </w:pPr>
      <w:r>
        <w:t>We anticipate that Spending Reviews will continue to be challenging for public sector organisations. NatureScot will need to take this into consideration in delivering its longer term priorities and be flexible in responding to any changes in Scottish Government priorities, working within potentially more challenging budget settlements beyond 2021-22 to enable the organisation to continue to contribute to Scottish Government’s Purpose in the most effective and efficient way possible.</w:t>
      </w:r>
    </w:p>
    <w:p w:rsidR="005353C5" w:rsidRDefault="005353C5">
      <w:pPr>
        <w:pStyle w:val="BodyText"/>
      </w:pPr>
    </w:p>
    <w:p w:rsidR="005353C5" w:rsidRDefault="00953AAF">
      <w:pPr>
        <w:pStyle w:val="Heading1"/>
      </w:pPr>
      <w:r>
        <w:t>Budget Monitoring</w:t>
      </w:r>
    </w:p>
    <w:p w:rsidR="005353C5" w:rsidRDefault="005353C5">
      <w:pPr>
        <w:pStyle w:val="BodyText"/>
        <w:rPr>
          <w:b/>
        </w:rPr>
      </w:pPr>
    </w:p>
    <w:p w:rsidR="005353C5" w:rsidRDefault="00953AAF">
      <w:pPr>
        <w:pStyle w:val="BodyText"/>
        <w:spacing w:before="1"/>
        <w:ind w:left="317" w:right="373"/>
      </w:pPr>
      <w:r>
        <w:t>Forecast outturn, variance from the budget profile and spend-to-date for the financial year should be reported to the sponsor team by completing and submitting the budget forecast and monitoring spreadsheet issued monthly, to be completed and submitted by the last full week of each month (subject to deadlines set by Scottish Government Finance). Where appropriate, cost may be calculated on the basis of one twelfth of the budget for each month</w:t>
      </w:r>
    </w:p>
    <w:p w:rsidR="005353C5" w:rsidRDefault="00953AAF">
      <w:pPr>
        <w:pStyle w:val="BodyText"/>
        <w:ind w:left="317"/>
      </w:pPr>
      <w:proofErr w:type="spellStart"/>
      <w:proofErr w:type="gramStart"/>
      <w:r>
        <w:t>e.g</w:t>
      </w:r>
      <w:proofErr w:type="spellEnd"/>
      <w:proofErr w:type="gramEnd"/>
      <w:r>
        <w:t xml:space="preserve"> depreciation.</w:t>
      </w:r>
    </w:p>
    <w:p w:rsidR="005353C5" w:rsidRDefault="005353C5">
      <w:pPr>
        <w:pStyle w:val="BodyText"/>
      </w:pPr>
    </w:p>
    <w:p w:rsidR="005353C5" w:rsidRDefault="00953AAF">
      <w:pPr>
        <w:pStyle w:val="BodyText"/>
        <w:ind w:left="317" w:right="667"/>
      </w:pPr>
      <w:r>
        <w:t>A completed spreadsheet providing the position at the end of the financial year (31 March 2022) should be submitted to the sponsor team by early May 2022 (subject to deadlines Scottish Government Finance need to set in relation to the end-year accounting process).</w:t>
      </w:r>
    </w:p>
    <w:p w:rsidR="005353C5" w:rsidRDefault="005353C5">
      <w:pPr>
        <w:pStyle w:val="BodyText"/>
      </w:pPr>
    </w:p>
    <w:p w:rsidR="005353C5" w:rsidRDefault="00953AAF">
      <w:pPr>
        <w:pStyle w:val="Heading1"/>
      </w:pPr>
      <w:r>
        <w:t>Delivering High Quality Public Services</w:t>
      </w:r>
    </w:p>
    <w:p w:rsidR="005353C5" w:rsidRDefault="005353C5">
      <w:pPr>
        <w:pStyle w:val="BodyText"/>
        <w:rPr>
          <w:b/>
        </w:rPr>
      </w:pPr>
    </w:p>
    <w:p w:rsidR="005353C5" w:rsidRDefault="00953AAF">
      <w:pPr>
        <w:pStyle w:val="BodyText"/>
        <w:ind w:left="317" w:right="374"/>
      </w:pPr>
      <w:r>
        <w:t>Ministers continue to place great importance on public services managing their resources carefully and actively in order to deliver the best outcomes for people in Scotland. The Scottish Government expects every public body to deliver efficiency savings of at least three per cent during the course of 2021-22 and to report publicly on the action undertaken and the results achieved in accordance with duties set out in section 32 of the Public Services Reform (Scotland) Act 2010. All efficiency savings are available to be reinvested in NatureScot.</w:t>
      </w:r>
    </w:p>
    <w:p w:rsidR="005353C5" w:rsidRDefault="005353C5">
      <w:pPr>
        <w:pStyle w:val="BodyText"/>
        <w:spacing w:before="1"/>
      </w:pPr>
    </w:p>
    <w:p w:rsidR="005353C5" w:rsidRDefault="00953AAF">
      <w:pPr>
        <w:pStyle w:val="BodyText"/>
        <w:ind w:left="317"/>
      </w:pPr>
      <w:r>
        <w:t>In considering options for delivering efficiencies, your organisation is encouraged to engage</w:t>
      </w:r>
    </w:p>
    <w:p w:rsidR="005353C5" w:rsidRDefault="00A773D3">
      <w:pPr>
        <w:tabs>
          <w:tab w:val="left" w:pos="4936"/>
          <w:tab w:val="left" w:pos="8906"/>
        </w:tabs>
        <w:spacing w:before="72" w:line="908" w:lineRule="exact"/>
        <w:ind w:left="317"/>
        <w:rPr>
          <w:sz w:val="32"/>
        </w:rPr>
      </w:pPr>
      <w:hyperlink r:id="rId12">
        <w:r w:rsidR="00953AAF">
          <w:rPr>
            <w:rFonts w:ascii="Lucida Sans" w:hAnsi="Lucida Sans"/>
            <w:spacing w:val="-3"/>
            <w:w w:val="112"/>
            <w:position w:val="3"/>
            <w:sz w:val="19"/>
          </w:rPr>
          <w:t>www</w:t>
        </w:r>
        <w:r w:rsidR="00953AAF">
          <w:rPr>
            <w:rFonts w:ascii="Lucida Sans" w:hAnsi="Lucida Sans"/>
            <w:spacing w:val="-3"/>
            <w:w w:val="79"/>
            <w:position w:val="3"/>
            <w:sz w:val="19"/>
          </w:rPr>
          <w:t>.</w:t>
        </w:r>
        <w:r w:rsidR="00953AAF">
          <w:rPr>
            <w:rFonts w:ascii="Lucida Sans" w:hAnsi="Lucida Sans"/>
            <w:spacing w:val="-4"/>
            <w:w w:val="91"/>
            <w:position w:val="3"/>
            <w:sz w:val="19"/>
          </w:rPr>
          <w:t>g</w:t>
        </w:r>
        <w:r w:rsidR="00953AAF">
          <w:rPr>
            <w:rFonts w:ascii="Lucida Sans" w:hAnsi="Lucida Sans"/>
            <w:w w:val="99"/>
            <w:position w:val="3"/>
            <w:sz w:val="19"/>
          </w:rPr>
          <w:t>o</w:t>
        </w:r>
        <w:r w:rsidR="00953AAF">
          <w:rPr>
            <w:rFonts w:ascii="Lucida Sans" w:hAnsi="Lucida Sans"/>
            <w:spacing w:val="-4"/>
            <w:w w:val="123"/>
            <w:position w:val="3"/>
            <w:sz w:val="19"/>
          </w:rPr>
          <w:t>v</w:t>
        </w:r>
        <w:r w:rsidR="00953AAF">
          <w:rPr>
            <w:rFonts w:ascii="Lucida Sans" w:hAnsi="Lucida Sans"/>
            <w:spacing w:val="-3"/>
            <w:w w:val="79"/>
            <w:position w:val="3"/>
            <w:sz w:val="19"/>
          </w:rPr>
          <w:t>.</w:t>
        </w:r>
        <w:r w:rsidR="00953AAF">
          <w:rPr>
            <w:rFonts w:ascii="Lucida Sans" w:hAnsi="Lucida Sans"/>
            <w:w w:val="96"/>
            <w:position w:val="3"/>
            <w:sz w:val="19"/>
          </w:rPr>
          <w:t>s</w:t>
        </w:r>
        <w:r w:rsidR="00953AAF">
          <w:rPr>
            <w:rFonts w:ascii="Lucida Sans" w:hAnsi="Lucida Sans"/>
            <w:spacing w:val="-4"/>
            <w:w w:val="96"/>
            <w:position w:val="3"/>
            <w:sz w:val="19"/>
          </w:rPr>
          <w:t>c</w:t>
        </w:r>
        <w:r w:rsidR="00953AAF">
          <w:rPr>
            <w:rFonts w:ascii="Lucida Sans" w:hAnsi="Lucida Sans"/>
            <w:spacing w:val="-2"/>
            <w:w w:val="99"/>
            <w:position w:val="3"/>
            <w:sz w:val="19"/>
          </w:rPr>
          <w:t>o</w:t>
        </w:r>
        <w:r w:rsidR="00953AAF">
          <w:rPr>
            <w:rFonts w:ascii="Lucida Sans" w:hAnsi="Lucida Sans"/>
            <w:w w:val="104"/>
            <w:position w:val="3"/>
            <w:sz w:val="19"/>
          </w:rPr>
          <w:t>t</w:t>
        </w:r>
      </w:hyperlink>
      <w:r w:rsidR="00953AAF">
        <w:rPr>
          <w:rFonts w:ascii="Lucida Sans" w:hAnsi="Lucida Sans"/>
          <w:position w:val="3"/>
          <w:sz w:val="19"/>
        </w:rPr>
        <w:tab/>
      </w:r>
    </w:p>
    <w:p w:rsidR="005353C5" w:rsidRDefault="005353C5">
      <w:pPr>
        <w:spacing w:line="908" w:lineRule="exact"/>
        <w:rPr>
          <w:sz w:val="32"/>
        </w:rPr>
        <w:sectPr w:rsidR="005353C5">
          <w:pgSz w:w="11910" w:h="16840"/>
          <w:pgMar w:top="1280" w:right="600" w:bottom="660" w:left="820" w:header="0" w:footer="480" w:gutter="0"/>
          <w:cols w:space="720"/>
        </w:sectPr>
      </w:pPr>
    </w:p>
    <w:p w:rsidR="005353C5" w:rsidRDefault="00953AAF">
      <w:pPr>
        <w:pStyle w:val="BodyText"/>
        <w:spacing w:before="65"/>
        <w:ind w:left="317" w:right="259"/>
      </w:pPr>
      <w:proofErr w:type="gramStart"/>
      <w:r>
        <w:lastRenderedPageBreak/>
        <w:t>with</w:t>
      </w:r>
      <w:proofErr w:type="gramEnd"/>
      <w:r>
        <w:t xml:space="preserve"> other Environment and Economy Leaders’ Group public bodies (or other public bodies), to consider where a joint approach to efficiencies can be taken which also supports improved delivery and organisational effectiveness.</w:t>
      </w:r>
    </w:p>
    <w:p w:rsidR="005353C5" w:rsidRDefault="005353C5">
      <w:pPr>
        <w:pStyle w:val="BodyText"/>
      </w:pPr>
    </w:p>
    <w:p w:rsidR="005353C5" w:rsidRDefault="00953AAF">
      <w:pPr>
        <w:pStyle w:val="BodyText"/>
        <w:ind w:left="317" w:right="415"/>
      </w:pPr>
      <w:r>
        <w:t>NatureScot should also maintain a strong commitment to its climate change duties in Part 4 of the Climate Change (Scotland) Act 2009 (this includes meeting the requirements of the Climate Change (Duties of Public Bodies: Reporting Requirements) (Scotland) Order 2015), and ensure it fulfils its duty under section 36 of the Wildlife and Natural Environment (Scotland) Act 2011 with respect to reporting on the actions it has taken to further the conservation of biodiversity.</w:t>
      </w:r>
    </w:p>
    <w:p w:rsidR="005353C5" w:rsidRDefault="005353C5">
      <w:pPr>
        <w:pStyle w:val="BodyText"/>
      </w:pPr>
    </w:p>
    <w:p w:rsidR="005353C5" w:rsidRDefault="00953AAF">
      <w:pPr>
        <w:pStyle w:val="BodyText"/>
        <w:spacing w:before="1"/>
        <w:ind w:left="317" w:right="749"/>
      </w:pPr>
      <w:r>
        <w:t>Also important to the Scottish Government is NatureScot’s contribution towards the commitment to drive forward public service reform. This recognises public bodies’ crucial role in protecting and reforming public services, tackling inequality by empowering communities, investing in the workforce (by supporting Fair Work, Living Wage and full diversity of talent) and supporting a strong, sustainable economy.</w:t>
      </w:r>
    </w:p>
    <w:p w:rsidR="005353C5" w:rsidRDefault="005353C5">
      <w:pPr>
        <w:pStyle w:val="BodyText"/>
      </w:pPr>
    </w:p>
    <w:p w:rsidR="005353C5" w:rsidRDefault="00953AAF">
      <w:pPr>
        <w:pStyle w:val="Heading1"/>
      </w:pPr>
      <w:r>
        <w:t>Working collaboratively</w:t>
      </w:r>
    </w:p>
    <w:p w:rsidR="005353C5" w:rsidRDefault="005353C5">
      <w:pPr>
        <w:pStyle w:val="BodyText"/>
        <w:rPr>
          <w:b/>
        </w:rPr>
      </w:pPr>
    </w:p>
    <w:p w:rsidR="005353C5" w:rsidRDefault="00953AAF">
      <w:pPr>
        <w:pStyle w:val="BodyText"/>
        <w:ind w:left="317" w:right="467"/>
      </w:pPr>
      <w:r>
        <w:t>NatureScot should continue to look for opportunities for effective strategic engagement with a wide range of public, private and third sector partners as a mechanism for helping to deliver key priorities and efficiencies that support the achievement of National Outcomes directly relevant to the organisation’s remit. NatureScot will also be expected to maintain its active participation in the Environment and Economy Leaders’ Group by contributing to the delivery of the Group’s work plan.</w:t>
      </w:r>
    </w:p>
    <w:p w:rsidR="005353C5" w:rsidRDefault="005353C5">
      <w:pPr>
        <w:pStyle w:val="BodyText"/>
      </w:pPr>
    </w:p>
    <w:p w:rsidR="005353C5" w:rsidRDefault="00953AAF">
      <w:pPr>
        <w:pStyle w:val="Heading1"/>
        <w:spacing w:before="1"/>
      </w:pPr>
      <w:r>
        <w:t>Digital Services</w:t>
      </w:r>
    </w:p>
    <w:p w:rsidR="005353C5" w:rsidRDefault="005353C5">
      <w:pPr>
        <w:pStyle w:val="BodyText"/>
        <w:rPr>
          <w:b/>
        </w:rPr>
      </w:pPr>
    </w:p>
    <w:p w:rsidR="005353C5" w:rsidRDefault="00953AAF">
      <w:pPr>
        <w:pStyle w:val="BodyText"/>
        <w:ind w:left="317" w:right="302"/>
        <w:jc w:val="both"/>
      </w:pPr>
      <w:r>
        <w:t xml:space="preserve">The Scottish Government Digital Assurance Office is responsible for the assurance of new digital public services and new investments in technology. The </w:t>
      </w:r>
      <w:hyperlink r:id="rId13">
        <w:r>
          <w:rPr>
            <w:color w:val="0000FF"/>
            <w:u w:val="single" w:color="0000FF"/>
          </w:rPr>
          <w:t>Technology Assurance</w:t>
        </w:r>
      </w:hyperlink>
      <w:r>
        <w:rPr>
          <w:color w:val="0000FF"/>
        </w:rPr>
        <w:t xml:space="preserve"> </w:t>
      </w:r>
      <w:hyperlink r:id="rId14">
        <w:r>
          <w:rPr>
            <w:color w:val="0000FF"/>
            <w:u w:val="single" w:color="0000FF"/>
          </w:rPr>
          <w:t>Framework</w:t>
        </w:r>
        <w:r>
          <w:rPr>
            <w:color w:val="0000FF"/>
          </w:rPr>
          <w:t xml:space="preserve"> </w:t>
        </w:r>
      </w:hyperlink>
      <w:r>
        <w:t xml:space="preserve">is intended to improve delivery and ensure that lessons learned from previous experience are reflected and embedded in future practice. The framework is mandatory and applies to all Public Bodies (excluding health). There should be early engagement with the </w:t>
      </w:r>
      <w:bookmarkStart w:id="0" w:name="_GoBack"/>
      <w:bookmarkEnd w:id="0"/>
      <w:r>
        <w:t>Digital Assurance Office on proposed major investments or the development of new services to ensure consideration of the appropriate level of assurance with the aim of reducing the risk of failure and helping to inform sound business investment</w:t>
      </w:r>
      <w:r>
        <w:rPr>
          <w:spacing w:val="-10"/>
        </w:rPr>
        <w:t xml:space="preserve"> </w:t>
      </w:r>
      <w:r>
        <w:t>decisions.</w:t>
      </w:r>
    </w:p>
    <w:p w:rsidR="005353C5" w:rsidRDefault="005353C5">
      <w:pPr>
        <w:pStyle w:val="BodyText"/>
      </w:pPr>
    </w:p>
    <w:p w:rsidR="005353C5" w:rsidRDefault="00953AAF">
      <w:pPr>
        <w:pStyle w:val="Heading1"/>
        <w:jc w:val="both"/>
      </w:pPr>
      <w:r>
        <w:t>Issues Arising</w:t>
      </w:r>
    </w:p>
    <w:p w:rsidR="005353C5" w:rsidRDefault="005353C5">
      <w:pPr>
        <w:pStyle w:val="BodyText"/>
        <w:spacing w:before="1"/>
        <w:rPr>
          <w:b/>
        </w:rPr>
      </w:pPr>
    </w:p>
    <w:p w:rsidR="005353C5" w:rsidRDefault="00953AAF">
      <w:pPr>
        <w:pStyle w:val="BodyText"/>
        <w:ind w:left="317" w:right="412"/>
      </w:pPr>
      <w:r>
        <w:t>If you have any questions on your budget allocation, or if you foresee any financial issues developing in the course of the year, please do not hesitate to contact your sponsor team. The sponsor team will, where necessary, consult relevant Scottish Government Finance colleagues and take advice from NatureScot’s sponsor Deputy Director or sponsoring Director.</w:t>
      </w:r>
    </w:p>
    <w:p w:rsidR="005353C5" w:rsidRDefault="005353C5">
      <w:pPr>
        <w:pStyle w:val="BodyText"/>
      </w:pPr>
    </w:p>
    <w:p w:rsidR="005353C5" w:rsidRDefault="00953AAF">
      <w:pPr>
        <w:pStyle w:val="BodyText"/>
        <w:ind w:left="317"/>
        <w:jc w:val="both"/>
      </w:pPr>
      <w:r>
        <w:t>Yours sincerely,</w:t>
      </w:r>
    </w:p>
    <w:p w:rsidR="005353C5" w:rsidRDefault="00953AAF">
      <w:pPr>
        <w:pStyle w:val="BodyText"/>
        <w:spacing w:before="7"/>
        <w:rPr>
          <w:sz w:val="16"/>
        </w:rPr>
      </w:pPr>
      <w:r>
        <w:rPr>
          <w:noProof/>
          <w:lang w:bidi="ar-SA"/>
        </w:rPr>
        <w:drawing>
          <wp:anchor distT="0" distB="0" distL="0" distR="0" simplePos="0" relativeHeight="2" behindDoc="0" locked="0" layoutInCell="1" allowOverlap="1">
            <wp:simplePos x="0" y="0"/>
            <wp:positionH relativeFrom="page">
              <wp:posOffset>801056</wp:posOffset>
            </wp:positionH>
            <wp:positionV relativeFrom="paragraph">
              <wp:posOffset>146667</wp:posOffset>
            </wp:positionV>
            <wp:extent cx="1681079" cy="369188"/>
            <wp:effectExtent l="0" t="0" r="0" b="0"/>
            <wp:wrapTopAndBottom/>
            <wp:docPr id="1" name="image1.jpeg" descr="Keith Connal Deputy Director, Natural Resources Divisio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5" cstate="print"/>
                    <a:stretch>
                      <a:fillRect/>
                    </a:stretch>
                  </pic:blipFill>
                  <pic:spPr>
                    <a:xfrm>
                      <a:off x="0" y="0"/>
                      <a:ext cx="1681079" cy="369188"/>
                    </a:xfrm>
                    <a:prstGeom prst="rect">
                      <a:avLst/>
                    </a:prstGeom>
                  </pic:spPr>
                </pic:pic>
              </a:graphicData>
            </a:graphic>
          </wp:anchor>
        </w:drawing>
      </w:r>
    </w:p>
    <w:p w:rsidR="005353C5" w:rsidRDefault="00953AAF">
      <w:pPr>
        <w:pStyle w:val="Heading1"/>
        <w:spacing w:before="229"/>
        <w:jc w:val="both"/>
      </w:pPr>
      <w:r>
        <w:t xml:space="preserve">Keith </w:t>
      </w:r>
      <w:proofErr w:type="spellStart"/>
      <w:r>
        <w:t>Connal</w:t>
      </w:r>
      <w:proofErr w:type="spellEnd"/>
    </w:p>
    <w:p w:rsidR="005353C5" w:rsidRDefault="00953AAF">
      <w:pPr>
        <w:spacing w:before="1"/>
        <w:ind w:left="317"/>
        <w:jc w:val="both"/>
        <w:rPr>
          <w:b/>
          <w:sz w:val="24"/>
        </w:rPr>
      </w:pPr>
      <w:r>
        <w:rPr>
          <w:b/>
          <w:sz w:val="24"/>
        </w:rPr>
        <w:t>Deputy Director, Natural Resources Division</w:t>
      </w:r>
    </w:p>
    <w:p w:rsidR="005353C5" w:rsidRDefault="00A773D3">
      <w:pPr>
        <w:tabs>
          <w:tab w:val="left" w:pos="4936"/>
        </w:tabs>
        <w:spacing w:before="105" w:line="908" w:lineRule="exact"/>
        <w:ind w:left="317"/>
        <w:jc w:val="both"/>
        <w:rPr>
          <w:sz w:val="32"/>
        </w:rPr>
      </w:pPr>
      <w:hyperlink r:id="rId16">
        <w:r w:rsidR="00953AAF">
          <w:rPr>
            <w:rFonts w:ascii="Lucida Sans" w:hAnsi="Lucida Sans"/>
            <w:spacing w:val="-3"/>
            <w:w w:val="112"/>
            <w:position w:val="3"/>
            <w:sz w:val="19"/>
          </w:rPr>
          <w:t>www</w:t>
        </w:r>
        <w:r w:rsidR="00953AAF">
          <w:rPr>
            <w:rFonts w:ascii="Lucida Sans" w:hAnsi="Lucida Sans"/>
            <w:spacing w:val="-3"/>
            <w:w w:val="79"/>
            <w:position w:val="3"/>
            <w:sz w:val="19"/>
          </w:rPr>
          <w:t>.</w:t>
        </w:r>
        <w:r w:rsidR="00953AAF">
          <w:rPr>
            <w:rFonts w:ascii="Lucida Sans" w:hAnsi="Lucida Sans"/>
            <w:spacing w:val="-4"/>
            <w:w w:val="91"/>
            <w:position w:val="3"/>
            <w:sz w:val="19"/>
          </w:rPr>
          <w:t>g</w:t>
        </w:r>
        <w:r w:rsidR="00953AAF">
          <w:rPr>
            <w:rFonts w:ascii="Lucida Sans" w:hAnsi="Lucida Sans"/>
            <w:w w:val="99"/>
            <w:position w:val="3"/>
            <w:sz w:val="19"/>
          </w:rPr>
          <w:t>o</w:t>
        </w:r>
        <w:r w:rsidR="00953AAF">
          <w:rPr>
            <w:rFonts w:ascii="Lucida Sans" w:hAnsi="Lucida Sans"/>
            <w:spacing w:val="-4"/>
            <w:w w:val="123"/>
            <w:position w:val="3"/>
            <w:sz w:val="19"/>
          </w:rPr>
          <w:t>v</w:t>
        </w:r>
        <w:r w:rsidR="00953AAF">
          <w:rPr>
            <w:rFonts w:ascii="Lucida Sans" w:hAnsi="Lucida Sans"/>
            <w:spacing w:val="-3"/>
            <w:w w:val="79"/>
            <w:position w:val="3"/>
            <w:sz w:val="19"/>
          </w:rPr>
          <w:t>.</w:t>
        </w:r>
        <w:r w:rsidR="00953AAF">
          <w:rPr>
            <w:rFonts w:ascii="Lucida Sans" w:hAnsi="Lucida Sans"/>
            <w:w w:val="96"/>
            <w:position w:val="3"/>
            <w:sz w:val="19"/>
          </w:rPr>
          <w:t>s</w:t>
        </w:r>
        <w:r w:rsidR="00953AAF">
          <w:rPr>
            <w:rFonts w:ascii="Lucida Sans" w:hAnsi="Lucida Sans"/>
            <w:spacing w:val="-4"/>
            <w:w w:val="96"/>
            <w:position w:val="3"/>
            <w:sz w:val="19"/>
          </w:rPr>
          <w:t>c</w:t>
        </w:r>
        <w:r w:rsidR="00953AAF">
          <w:rPr>
            <w:rFonts w:ascii="Lucida Sans" w:hAnsi="Lucida Sans"/>
            <w:spacing w:val="-2"/>
            <w:w w:val="99"/>
            <w:position w:val="3"/>
            <w:sz w:val="19"/>
          </w:rPr>
          <w:t>o</w:t>
        </w:r>
        <w:r w:rsidR="00953AAF">
          <w:rPr>
            <w:rFonts w:ascii="Lucida Sans" w:hAnsi="Lucida Sans"/>
            <w:w w:val="104"/>
            <w:position w:val="3"/>
            <w:sz w:val="19"/>
          </w:rPr>
          <w:t>t</w:t>
        </w:r>
      </w:hyperlink>
      <w:r w:rsidR="00953AAF">
        <w:rPr>
          <w:rFonts w:ascii="Lucida Sans" w:hAnsi="Lucida Sans"/>
          <w:position w:val="3"/>
          <w:sz w:val="19"/>
        </w:rPr>
        <w:tab/>
      </w:r>
    </w:p>
    <w:sectPr w:rsidR="005353C5">
      <w:pgSz w:w="11910" w:h="16840"/>
      <w:pgMar w:top="740" w:right="600" w:bottom="660" w:left="820" w:header="0" w:footer="4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3D3" w:rsidRDefault="00A773D3">
      <w:r>
        <w:separator/>
      </w:r>
    </w:p>
  </w:endnote>
  <w:endnote w:type="continuationSeparator" w:id="0">
    <w:p w:rsidR="00A773D3" w:rsidRDefault="00A77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UI Gothic">
    <w:altName w:val="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3C5" w:rsidRDefault="00A773D3">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5.9pt;margin-top:776.95pt;width:163.75pt;height:11.5pt;z-index:-251658752;mso-position-horizontal-relative:page;mso-position-vertical-relative:page" filled="f" stroked="f">
          <v:textbox inset="0,0,0,0">
            <w:txbxContent>
              <w:p w:rsidR="005353C5" w:rsidRDefault="00953AAF">
                <w:pPr>
                  <w:spacing w:line="209" w:lineRule="exact"/>
                  <w:ind w:left="20"/>
                  <w:rPr>
                    <w:rFonts w:ascii="Lucida Sans"/>
                    <w:sz w:val="19"/>
                  </w:rPr>
                </w:pPr>
                <w:r>
                  <w:rPr>
                    <w:rFonts w:ascii="Lucida Sans"/>
                    <w:sz w:val="19"/>
                  </w:rPr>
                  <w:t>Victoria Quay, Edinburgh EH6 6QQ</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3D3" w:rsidRDefault="00A773D3">
      <w:r>
        <w:separator/>
      </w:r>
    </w:p>
  </w:footnote>
  <w:footnote w:type="continuationSeparator" w:id="0">
    <w:p w:rsidR="00A773D3" w:rsidRDefault="00A773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5353C5"/>
    <w:rsid w:val="005353C5"/>
    <w:rsid w:val="00953AAF"/>
    <w:rsid w:val="00A773D3"/>
    <w:rsid w:val="00D166E1"/>
    <w:rsid w:val="00D77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5661E7C2-E171-448D-80F0-9657444F9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31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&#65279;<?xml version="1.0" encoding="utf-8"?><Relationships xmlns="http://schemas.openxmlformats.org/package/2006/relationships"><Relationship Type="http://schemas.openxmlformats.org/officeDocument/2006/relationships/hyperlink" Target="http://www.gov.scot/" TargetMode="External" Id="rId8" /><Relationship Type="http://schemas.openxmlformats.org/officeDocument/2006/relationships/hyperlink" Target="https://resources.mygov.scot/standards/technology-assurance-framework/" TargetMode="Externa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hyperlink" Target="mailto:keith.connal@gov.scot" TargetMode="External" Id="rId7" /><Relationship Type="http://schemas.openxmlformats.org/officeDocument/2006/relationships/hyperlink" Target="http://www.gov.scot/" TargetMode="Externa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hyperlink" Target="http://www.gov.scot/" TargetMode="External" Id="rId16" /><Relationship Type="http://schemas.openxmlformats.org/officeDocument/2006/relationships/endnotes" Target="endnotes.xml" Id="rId6" /><Relationship Type="http://schemas.openxmlformats.org/officeDocument/2006/relationships/hyperlink" Target="http://www.gov.scot/" TargetMode="External" Id="rId11" /><Relationship Type="http://schemas.openxmlformats.org/officeDocument/2006/relationships/footnotes" Target="footnotes.xml" Id="rId5" /><Relationship Type="http://schemas.openxmlformats.org/officeDocument/2006/relationships/image" Target="media/image1.jpeg" Id="rId15" /><Relationship Type="http://schemas.openxmlformats.org/officeDocument/2006/relationships/hyperlink" Target="http://www.gov.scot/" TargetMode="Externa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hyperlink" Target="https://resources.mygov.scot/standards/technology-assurance-framework/" TargetMode="External" Id="rId14" /><Relationship Type="http://schemas.openxmlformats.org/officeDocument/2006/relationships/customXml" Target="/customXML/item2.xml" Id="R16a0c5845fd943b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71FFD1B571BE2883E0537D20C80A46C7" version="1.0.0">
  <systemFields>
    <field name="Objective-Id">
      <value order="0">A3784221</value>
    </field>
    <field name="Objective-Title">
      <value order="0">Budget Allocation and Monitoring (grant in aid) letter 2021-2022 - web version</value>
    </field>
    <field name="Objective-Description">
      <value order="0"/>
    </field>
    <field name="Objective-CreationStamp">
      <value order="0">2022-07-21T14:59:14Z</value>
    </field>
    <field name="Objective-IsApproved">
      <value order="0">false</value>
    </field>
    <field name="Objective-IsPublished">
      <value order="0">true</value>
    </field>
    <field name="Objective-DatePublished">
      <value order="0">2022-07-22T07:21:50Z</value>
    </field>
    <field name="Objective-ModificationStamp">
      <value order="0">2022-07-22T07:21:50Z</value>
    </field>
    <field name="Objective-Owner">
      <value order="0">Mary-Anne Thomson</value>
    </field>
    <field name="Objective-Path">
      <value order="0">Objective Global Folder:NatureScot Fileplan:MAN - Management:EO - Executive Office:CC - Chief Executive , Chair and Head of External Affairs:Chief Executive:AO - Accountable Officer:Correspondence</value>
    </field>
    <field name="Objective-Parent">
      <value order="0">Correspondence</value>
    </field>
    <field name="Objective-State">
      <value order="0">Published</value>
    </field>
    <field name="Objective-VersionId">
      <value order="0">vA6653052</value>
    </field>
    <field name="Objective-Version">
      <value order="0">2.0</value>
    </field>
    <field name="Objective-VersionNumber">
      <value order="0">2</value>
    </field>
    <field name="Objective-VersionComment">
      <value order="0"/>
    </field>
    <field name="Objective-FileNumber">
      <value order="0">qA177997</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2138</Words>
  <Characters>12191</Characters>
  <Application>Microsoft Office Word</Application>
  <DocSecurity>0</DocSecurity>
  <Lines>101</Lines>
  <Paragraphs>28</Paragraphs>
  <ScaleCrop>false</ScaleCrop>
  <Company>Scottish Natural Heritage</Company>
  <LinksUpToDate>false</LinksUpToDate>
  <CharactersWithSpaces>14301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Rosa Donaldson</cp:lastModifiedBy>
  <cp:revision>4</cp:revision>
  <dcterms:created xsi:type="dcterms:W3CDTF">2022-07-21T13:51:00Z</dcterms:created>
  <dcterms:modified xsi:type="dcterms:W3CDTF">2022-07-22T07:21:00Z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2021-04-08T00:00:00Z</vt:filetime>
  </property>
  <property fmtid="{D5CDD505-2E9C-101B-9397-08002B2CF9AE}" pid="3" name="Creator">
    <vt:lpwstr>Microsoft® Word 2016</vt:lpwstr>
  </property>
  <property fmtid="{D5CDD505-2E9C-101B-9397-08002B2CF9AE}" pid="4" name="LastSaved">
    <vt:filetime>2022-07-21T00:00:00Z</vt:filetime>
  </property>
  <property fmtid="{D5CDD505-2E9C-101B-9397-08002B2CF9AE}" pid="5" name="Objective-Id">
    <vt:lpwstr>A3784221</vt:lpwstr>
  </property>
  <property fmtid="{D5CDD505-2E9C-101B-9397-08002B2CF9AE}" pid="6" name="Objective-Title">
    <vt:lpwstr>Budget Allocation and Monitoring (grant in aid) letter 2021-2022 - web version</vt:lpwstr>
  </property>
  <property fmtid="{D5CDD505-2E9C-101B-9397-08002B2CF9AE}" pid="7" name="Objective-Description">
    <vt:lpwstr/>
  </property>
  <property fmtid="{D5CDD505-2E9C-101B-9397-08002B2CF9AE}" pid="8" name="Objective-CreationStamp">
    <vt:filetime>2022-07-21T14:59:14Z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2022-07-22T07:21:50Z</vt:filetime>
  </property>
  <property fmtid="{D5CDD505-2E9C-101B-9397-08002B2CF9AE}" pid="12" name="Objective-ModificationStamp">
    <vt:filetime>2022-07-22T07:21:50Z</vt:filetime>
  </property>
  <property fmtid="{D5CDD505-2E9C-101B-9397-08002B2CF9AE}" pid="13" name="Objective-Owner">
    <vt:lpwstr>Mary-Anne Thomson</vt:lpwstr>
  </property>
  <property fmtid="{D5CDD505-2E9C-101B-9397-08002B2CF9AE}" pid="14" name="Objective-Path">
    <vt:lpwstr>Objective Global Folder:NatureScot Fileplan:MAN - Management:EO - Executive Office:CC - Chief Executive , Chair and Head of External Affairs:Chief Executive:AO - Accountable Officer:Correspondence</vt:lpwstr>
  </property>
  <property fmtid="{D5CDD505-2E9C-101B-9397-08002B2CF9AE}" pid="15" name="Objective-Parent">
    <vt:lpwstr>Correspondence</vt:lpwstr>
  </property>
  <property fmtid="{D5CDD505-2E9C-101B-9397-08002B2CF9AE}" pid="16" name="Objective-State">
    <vt:lpwstr>Published</vt:lpwstr>
  </property>
  <property fmtid="{D5CDD505-2E9C-101B-9397-08002B2CF9AE}" pid="17" name="Objective-VersionId">
    <vt:lpwstr>vA6653052</vt:lpwstr>
  </property>
  <property fmtid="{D5CDD505-2E9C-101B-9397-08002B2CF9AE}" pid="18" name="Objective-Version">
    <vt:lpwstr>2.0</vt:lpwstr>
  </property>
  <property fmtid="{D5CDD505-2E9C-101B-9397-08002B2CF9AE}" pid="19" name="Objective-VersionNumber">
    <vt:r8>2</vt:r8>
  </property>
  <property fmtid="{D5CDD505-2E9C-101B-9397-08002B2CF9AE}" pid="20" name="Objective-VersionComment">
    <vt:lpwstr/>
  </property>
  <property fmtid="{D5CDD505-2E9C-101B-9397-08002B2CF9AE}" pid="21" name="Objective-FileNumber">
    <vt:lpwstr>qA177997</vt:lpwstr>
  </property>
  <property fmtid="{D5CDD505-2E9C-101B-9397-08002B2CF9AE}" pid="22" name="Objective-Classification">
    <vt:lpwstr/>
  </property>
  <property fmtid="{D5CDD505-2E9C-101B-9397-08002B2CF9AE}" pid="23" name="Objective-Caveats">
    <vt:lpwstr/>
  </property>
  <property fmtid="{D5CDD505-2E9C-101B-9397-08002B2CF9AE}" pid="24" name="Objective-Date of Original">
    <vt:lpwstr/>
  </property>
  <property fmtid="{D5CDD505-2E9C-101B-9397-08002B2CF9AE}" pid="25" name="Objective-Sensitivity Review Date">
    <vt:lpwstr/>
  </property>
  <property fmtid="{D5CDD505-2E9C-101B-9397-08002B2CF9AE}" pid="26" name="Objective-FOI Exemption">
    <vt:lpwstr>Release</vt:lpwstr>
  </property>
  <property fmtid="{D5CDD505-2E9C-101B-9397-08002B2CF9AE}" pid="27" name="Objective-DPA Exemption">
    <vt:lpwstr>Release</vt:lpwstr>
  </property>
  <property fmtid="{D5CDD505-2E9C-101B-9397-08002B2CF9AE}" pid="28" name="Objective-EIR Exception">
    <vt:lpwstr>Release</vt:lpwstr>
  </property>
  <property fmtid="{D5CDD505-2E9C-101B-9397-08002B2CF9AE}" pid="29" name="Objective-Justification">
    <vt:lpwstr/>
  </property>
  <property fmtid="{D5CDD505-2E9C-101B-9397-08002B2CF9AE}" pid="30" name="Objective-Date of Request">
    <vt:lpwstr/>
  </property>
  <property fmtid="{D5CDD505-2E9C-101B-9397-08002B2CF9AE}" pid="31" name="Objective-Date of Release">
    <vt:lpwstr/>
  </property>
  <property fmtid="{D5CDD505-2E9C-101B-9397-08002B2CF9AE}" pid="32" name="Objective-FOI/EIR Disclosure Date">
    <vt:lpwstr/>
  </property>
  <property fmtid="{D5CDD505-2E9C-101B-9397-08002B2CF9AE}" pid="33" name="Objective-FOI/EIR Dissemination Date">
    <vt:lpwstr/>
  </property>
  <property fmtid="{D5CDD505-2E9C-101B-9397-08002B2CF9AE}" pid="34" name="Objective-FOI Release Details">
    <vt:lpwstr/>
  </property>
  <property fmtid="{D5CDD505-2E9C-101B-9397-08002B2CF9AE}" pid="35" name="Objective-Connect Creator">
    <vt:lpwstr/>
  </property>
</Properties>
</file>