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3" w:type="dxa"/>
        <w:tblLayout w:type="fixed"/>
        <w:tblCellMar>
          <w:left w:w="0" w:type="dxa"/>
          <w:right w:w="0" w:type="dxa"/>
        </w:tblCellMar>
        <w:tblLook w:val="01E0" w:firstRow="1" w:lastRow="1" w:firstColumn="1" w:lastColumn="1" w:noHBand="0" w:noVBand="0"/>
      </w:tblPr>
      <w:tblGrid>
        <w:gridCol w:w="4838"/>
        <w:gridCol w:w="5212"/>
      </w:tblGrid>
      <w:tr w:rsidR="004D7F59">
        <w:trPr>
          <w:trHeight w:val="1752"/>
        </w:trPr>
        <w:tc>
          <w:tcPr>
            <w:tcW w:w="4838" w:type="dxa"/>
          </w:tcPr>
          <w:p w:rsidR="004D7F59" w:rsidRDefault="001A2400">
            <w:pPr>
              <w:pStyle w:val="TableParagraph"/>
              <w:spacing w:before="14"/>
              <w:ind w:left="200"/>
              <w:rPr>
                <w:rFonts w:ascii="Lucida Sans"/>
                <w:sz w:val="20"/>
              </w:rPr>
            </w:pPr>
            <w:r>
              <w:rPr>
                <w:rFonts w:ascii="Lucida Sans"/>
                <w:color w:val="336699"/>
                <w:w w:val="105"/>
                <w:sz w:val="20"/>
              </w:rPr>
              <w:t>Environment and Forestry Directorate</w:t>
            </w:r>
          </w:p>
          <w:p w:rsidR="004D7F59" w:rsidRDefault="001A2400">
            <w:pPr>
              <w:pStyle w:val="TableParagraph"/>
              <w:spacing w:before="34"/>
              <w:ind w:left="200"/>
              <w:rPr>
                <w:rFonts w:ascii="Lucida Sans"/>
                <w:sz w:val="19"/>
              </w:rPr>
            </w:pPr>
            <w:r>
              <w:rPr>
                <w:rFonts w:ascii="Lucida Sans"/>
                <w:w w:val="105"/>
                <w:sz w:val="19"/>
              </w:rPr>
              <w:t>Natural Resources Division</w:t>
            </w:r>
          </w:p>
          <w:p w:rsidR="004D7F59" w:rsidRDefault="004D7F59">
            <w:pPr>
              <w:pStyle w:val="TableParagraph"/>
              <w:rPr>
                <w:rFonts w:ascii="Times New Roman"/>
                <w:sz w:val="18"/>
              </w:rPr>
            </w:pPr>
          </w:p>
          <w:p w:rsidR="004D7F59" w:rsidRDefault="004D7F59">
            <w:pPr>
              <w:pStyle w:val="TableParagraph"/>
              <w:rPr>
                <w:rFonts w:ascii="Times New Roman"/>
                <w:sz w:val="18"/>
              </w:rPr>
            </w:pPr>
          </w:p>
          <w:p w:rsidR="004D7F59" w:rsidRDefault="001A2400">
            <w:pPr>
              <w:pStyle w:val="TableParagraph"/>
              <w:spacing w:before="106"/>
              <w:ind w:left="200"/>
              <w:rPr>
                <w:rFonts w:ascii="Lucida Sans"/>
                <w:sz w:val="19"/>
              </w:rPr>
            </w:pPr>
            <w:r>
              <w:rPr>
                <w:rFonts w:ascii="Lucida Sans"/>
                <w:sz w:val="19"/>
              </w:rPr>
              <w:t>T: 0131-244 6416</w:t>
            </w:r>
          </w:p>
          <w:p w:rsidR="004D7F59" w:rsidRDefault="001A2400">
            <w:pPr>
              <w:pStyle w:val="TableParagraph"/>
              <w:spacing w:before="7"/>
              <w:ind w:left="200"/>
              <w:rPr>
                <w:rFonts w:ascii="Lucida Sans"/>
                <w:sz w:val="19"/>
              </w:rPr>
            </w:pPr>
            <w:r>
              <w:rPr>
                <w:rFonts w:ascii="Lucida Sans"/>
                <w:sz w:val="19"/>
              </w:rPr>
              <w:t xml:space="preserve">E: </w:t>
            </w:r>
            <w:hyperlink r:id="rId8">
              <w:r>
                <w:rPr>
                  <w:rFonts w:ascii="Lucida Sans"/>
                  <w:sz w:val="19"/>
                </w:rPr>
                <w:t>keith.connal@gov.scot</w:t>
              </w:r>
            </w:hyperlink>
          </w:p>
        </w:tc>
        <w:tc>
          <w:tcPr>
            <w:tcW w:w="5212" w:type="dxa"/>
          </w:tcPr>
          <w:p w:rsidR="004D7F59" w:rsidRDefault="004D7F59">
            <w:pPr>
              <w:pStyle w:val="TableParagraph"/>
              <w:spacing w:line="895" w:lineRule="exact"/>
              <w:ind w:left="724"/>
              <w:jc w:val="center"/>
              <w:rPr>
                <w:sz w:val="84"/>
              </w:rPr>
            </w:pPr>
          </w:p>
        </w:tc>
      </w:tr>
      <w:tr w:rsidR="004D7F59">
        <w:trPr>
          <w:trHeight w:val="2193"/>
        </w:trPr>
        <w:tc>
          <w:tcPr>
            <w:tcW w:w="4838" w:type="dxa"/>
          </w:tcPr>
          <w:p w:rsidR="004D7F59" w:rsidRDefault="004D7F59">
            <w:pPr>
              <w:pStyle w:val="TableParagraph"/>
              <w:spacing w:before="8"/>
              <w:rPr>
                <w:rFonts w:ascii="Times New Roman"/>
              </w:rPr>
            </w:pPr>
          </w:p>
          <w:p w:rsidR="004D7F59" w:rsidRDefault="001A2400">
            <w:pPr>
              <w:pStyle w:val="TableParagraph"/>
              <w:ind w:left="200" w:right="2443"/>
              <w:rPr>
                <w:sz w:val="24"/>
              </w:rPr>
            </w:pPr>
            <w:r>
              <w:rPr>
                <w:sz w:val="24"/>
              </w:rPr>
              <w:t>Francesca Osowska Chief Executive NatureScot</w:t>
            </w:r>
          </w:p>
          <w:p w:rsidR="004D7F59" w:rsidRDefault="001A2400">
            <w:pPr>
              <w:pStyle w:val="TableParagraph"/>
              <w:spacing w:before="1"/>
              <w:ind w:left="200" w:right="2683"/>
              <w:rPr>
                <w:sz w:val="24"/>
              </w:rPr>
            </w:pPr>
            <w:r>
              <w:rPr>
                <w:sz w:val="24"/>
              </w:rPr>
              <w:t xml:space="preserve">Great Glen House </w:t>
            </w:r>
            <w:proofErr w:type="spellStart"/>
            <w:r>
              <w:rPr>
                <w:sz w:val="24"/>
              </w:rPr>
              <w:t>Leachkin</w:t>
            </w:r>
            <w:proofErr w:type="spellEnd"/>
            <w:r>
              <w:rPr>
                <w:sz w:val="24"/>
              </w:rPr>
              <w:t xml:space="preserve"> Road Inverness</w:t>
            </w:r>
          </w:p>
          <w:p w:rsidR="004D7F59" w:rsidRDefault="001A2400">
            <w:pPr>
              <w:pStyle w:val="TableParagraph"/>
              <w:spacing w:line="256" w:lineRule="exact"/>
              <w:ind w:left="200"/>
              <w:rPr>
                <w:sz w:val="24"/>
              </w:rPr>
            </w:pPr>
            <w:r>
              <w:rPr>
                <w:sz w:val="24"/>
              </w:rPr>
              <w:t>IV3 8NW</w:t>
            </w:r>
          </w:p>
        </w:tc>
        <w:tc>
          <w:tcPr>
            <w:tcW w:w="5212" w:type="dxa"/>
          </w:tcPr>
          <w:p w:rsidR="004D7F59" w:rsidRDefault="004D7F59">
            <w:pPr>
              <w:pStyle w:val="TableParagraph"/>
              <w:rPr>
                <w:rFonts w:ascii="Times New Roman"/>
                <w:sz w:val="24"/>
              </w:rPr>
            </w:pPr>
          </w:p>
        </w:tc>
      </w:tr>
    </w:tbl>
    <w:p w:rsidR="004D7F59" w:rsidRDefault="004D7F59">
      <w:pPr>
        <w:pStyle w:val="BodyText"/>
        <w:rPr>
          <w:rFonts w:ascii="Times New Roman"/>
          <w:sz w:val="20"/>
        </w:rPr>
      </w:pPr>
    </w:p>
    <w:p w:rsidR="004D7F59" w:rsidRDefault="004D7F59">
      <w:pPr>
        <w:pStyle w:val="BodyText"/>
        <w:rPr>
          <w:rFonts w:ascii="Times New Roman"/>
          <w:sz w:val="20"/>
        </w:rPr>
      </w:pPr>
    </w:p>
    <w:p w:rsidR="004D7F59" w:rsidRDefault="004D7F59">
      <w:pPr>
        <w:pStyle w:val="BodyText"/>
        <w:spacing w:before="11"/>
        <w:rPr>
          <w:rFonts w:ascii="Times New Roman"/>
          <w:sz w:val="27"/>
        </w:rPr>
      </w:pPr>
    </w:p>
    <w:p w:rsidR="004D7F59" w:rsidRDefault="00FC219D">
      <w:pPr>
        <w:pStyle w:val="BodyText"/>
        <w:spacing w:line="20" w:lineRule="exact"/>
        <w:ind w:left="-891"/>
        <w:rPr>
          <w:rFonts w:ascii="Times New Roman"/>
          <w:sz w:val="2"/>
        </w:rPr>
      </w:pPr>
      <w:r>
        <w:rPr>
          <w:rFonts w:ascii="Times New Roman"/>
          <w:sz w:val="2"/>
        </w:rPr>
      </w:r>
      <w:r>
        <w:rPr>
          <w:rFonts w:ascii="Times New Roman"/>
          <w:sz w:val="2"/>
        </w:rPr>
        <w:pict>
          <v:group id="_x0000_s1026" style="width:20.2pt;height:.8pt;mso-position-horizontal-relative:char;mso-position-vertical-relative:line" coordsize="404,16">
            <v:line id="_x0000_s1027" style="position:absolute" from="0,8" to="403,8" strokeweight=".26669mm"/>
            <w10:wrap type="none"/>
            <w10:anchorlock/>
          </v:group>
        </w:pict>
      </w:r>
    </w:p>
    <w:p w:rsidR="004D7F59" w:rsidRDefault="004D7F59">
      <w:pPr>
        <w:pStyle w:val="BodyText"/>
        <w:rPr>
          <w:rFonts w:ascii="Times New Roman"/>
          <w:sz w:val="20"/>
        </w:rPr>
      </w:pPr>
    </w:p>
    <w:p w:rsidR="004D7F59" w:rsidRDefault="004D7F59">
      <w:pPr>
        <w:pStyle w:val="BodyText"/>
        <w:rPr>
          <w:rFonts w:ascii="Times New Roman"/>
          <w:sz w:val="20"/>
        </w:rPr>
      </w:pPr>
    </w:p>
    <w:p w:rsidR="004D7F59" w:rsidRDefault="004D7F59">
      <w:pPr>
        <w:pStyle w:val="BodyText"/>
        <w:spacing w:before="5"/>
        <w:rPr>
          <w:rFonts w:ascii="Times New Roman"/>
          <w:sz w:val="22"/>
        </w:rPr>
      </w:pPr>
    </w:p>
    <w:p w:rsidR="004D7F59" w:rsidRDefault="001A2400">
      <w:pPr>
        <w:pStyle w:val="BodyText"/>
        <w:ind w:left="197"/>
      </w:pPr>
      <w:r>
        <w:t>12 April 2021</w:t>
      </w:r>
    </w:p>
    <w:p w:rsidR="004D7F59" w:rsidRDefault="004D7F59">
      <w:pPr>
        <w:pStyle w:val="BodyText"/>
        <w:rPr>
          <w:sz w:val="26"/>
        </w:rPr>
      </w:pPr>
    </w:p>
    <w:p w:rsidR="004D7F59" w:rsidRDefault="004D7F59">
      <w:pPr>
        <w:pStyle w:val="BodyText"/>
        <w:rPr>
          <w:sz w:val="22"/>
        </w:rPr>
      </w:pPr>
    </w:p>
    <w:p w:rsidR="004D7F59" w:rsidRDefault="001A2400">
      <w:pPr>
        <w:pStyle w:val="BodyText"/>
        <w:spacing w:before="1"/>
        <w:ind w:left="197"/>
      </w:pPr>
      <w:r>
        <w:t>Dear Francesca,</w:t>
      </w:r>
    </w:p>
    <w:p w:rsidR="004D7F59" w:rsidRDefault="004D7F59">
      <w:pPr>
        <w:pStyle w:val="BodyText"/>
        <w:spacing w:before="11"/>
        <w:rPr>
          <w:sz w:val="23"/>
        </w:rPr>
      </w:pPr>
    </w:p>
    <w:p w:rsidR="004D7F59" w:rsidRDefault="001A2400">
      <w:pPr>
        <w:pStyle w:val="Heading1"/>
      </w:pPr>
      <w:r>
        <w:t>NATURESCOT: BUDGET ALLOCATION 2020-21 – REVISIONS TO BUDGET</w:t>
      </w:r>
    </w:p>
    <w:p w:rsidR="004D7F59" w:rsidRDefault="004D7F59">
      <w:pPr>
        <w:pStyle w:val="BodyText"/>
        <w:rPr>
          <w:b/>
        </w:rPr>
      </w:pPr>
    </w:p>
    <w:p w:rsidR="004D7F59" w:rsidRDefault="001A2400">
      <w:pPr>
        <w:pStyle w:val="BodyText"/>
        <w:spacing w:before="1"/>
        <w:ind w:left="197" w:right="434"/>
      </w:pPr>
      <w:r>
        <w:t>Further to my letter of 28 April 2020 confirming NatureScot’s budget allocation for 2020-21, there have been a number of adjustments to the budget as a result of changes made during the financial year.</w:t>
      </w:r>
    </w:p>
    <w:p w:rsidR="004D7F59" w:rsidRDefault="004D7F59">
      <w:pPr>
        <w:pStyle w:val="BodyText"/>
        <w:spacing w:before="11"/>
        <w:rPr>
          <w:sz w:val="23"/>
        </w:rPr>
      </w:pPr>
    </w:p>
    <w:p w:rsidR="004D7F59" w:rsidRDefault="001A2400">
      <w:pPr>
        <w:pStyle w:val="BodyText"/>
        <w:ind w:left="197" w:right="434"/>
      </w:pPr>
      <w:r>
        <w:t>The adjustments have been approved by the Scottish Parliament and NatureScot’s revised budget allocation for 2020-21 is set out below. Details of the adjustments to the Resource DEL and Capital DEL budgets during the year are attached as an annex to this letter.</w:t>
      </w:r>
    </w:p>
    <w:p w:rsidR="004D7F59" w:rsidRDefault="004D7F59">
      <w:pPr>
        <w:pStyle w:val="BodyText"/>
        <w:spacing w:before="2"/>
      </w:pPr>
    </w:p>
    <w:tbl>
      <w:tblPr>
        <w:tblW w:w="0" w:type="auto"/>
        <w:tblInd w:w="1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1"/>
        <w:gridCol w:w="1558"/>
      </w:tblGrid>
      <w:tr w:rsidR="004D7F59">
        <w:trPr>
          <w:trHeight w:val="275"/>
        </w:trPr>
        <w:tc>
          <w:tcPr>
            <w:tcW w:w="4331" w:type="dxa"/>
          </w:tcPr>
          <w:p w:rsidR="004D7F59" w:rsidRDefault="004D7F59">
            <w:pPr>
              <w:pStyle w:val="TableParagraph"/>
              <w:rPr>
                <w:rFonts w:ascii="Times New Roman"/>
                <w:sz w:val="20"/>
              </w:rPr>
            </w:pPr>
          </w:p>
        </w:tc>
        <w:tc>
          <w:tcPr>
            <w:tcW w:w="1558" w:type="dxa"/>
          </w:tcPr>
          <w:p w:rsidR="004D7F59" w:rsidRDefault="001A2400">
            <w:pPr>
              <w:pStyle w:val="TableParagraph"/>
              <w:spacing w:line="256" w:lineRule="exact"/>
              <w:ind w:right="93"/>
              <w:jc w:val="right"/>
              <w:rPr>
                <w:b/>
                <w:sz w:val="24"/>
              </w:rPr>
            </w:pPr>
            <w:r>
              <w:rPr>
                <w:b/>
                <w:sz w:val="24"/>
              </w:rPr>
              <w:t>£000s</w:t>
            </w:r>
          </w:p>
        </w:tc>
      </w:tr>
      <w:tr w:rsidR="004D7F59">
        <w:trPr>
          <w:trHeight w:val="275"/>
        </w:trPr>
        <w:tc>
          <w:tcPr>
            <w:tcW w:w="4331" w:type="dxa"/>
          </w:tcPr>
          <w:p w:rsidR="004D7F59" w:rsidRDefault="001A2400">
            <w:pPr>
              <w:pStyle w:val="TableParagraph"/>
              <w:spacing w:line="256" w:lineRule="exact"/>
              <w:ind w:left="110"/>
              <w:rPr>
                <w:sz w:val="24"/>
              </w:rPr>
            </w:pPr>
            <w:r>
              <w:rPr>
                <w:sz w:val="24"/>
              </w:rPr>
              <w:t>Resource DEL</w:t>
            </w:r>
          </w:p>
        </w:tc>
        <w:tc>
          <w:tcPr>
            <w:tcW w:w="1558" w:type="dxa"/>
          </w:tcPr>
          <w:p w:rsidR="004D7F59" w:rsidRDefault="001A2400">
            <w:pPr>
              <w:pStyle w:val="TableParagraph"/>
              <w:spacing w:line="256" w:lineRule="exact"/>
              <w:ind w:right="93"/>
              <w:jc w:val="right"/>
              <w:rPr>
                <w:sz w:val="24"/>
              </w:rPr>
            </w:pPr>
            <w:r>
              <w:rPr>
                <w:sz w:val="24"/>
              </w:rPr>
              <w:t>48,468*</w:t>
            </w:r>
          </w:p>
        </w:tc>
      </w:tr>
      <w:tr w:rsidR="004D7F59">
        <w:trPr>
          <w:trHeight w:val="275"/>
        </w:trPr>
        <w:tc>
          <w:tcPr>
            <w:tcW w:w="4331" w:type="dxa"/>
          </w:tcPr>
          <w:p w:rsidR="004D7F59" w:rsidRDefault="001A2400">
            <w:pPr>
              <w:pStyle w:val="TableParagraph"/>
              <w:spacing w:line="256" w:lineRule="exact"/>
              <w:ind w:left="110"/>
              <w:rPr>
                <w:sz w:val="24"/>
              </w:rPr>
            </w:pPr>
            <w:r>
              <w:rPr>
                <w:sz w:val="24"/>
              </w:rPr>
              <w:t>Ring-fenced (or “non cash”) DEL</w:t>
            </w:r>
          </w:p>
        </w:tc>
        <w:tc>
          <w:tcPr>
            <w:tcW w:w="1558" w:type="dxa"/>
          </w:tcPr>
          <w:p w:rsidR="004D7F59" w:rsidRDefault="001A2400">
            <w:pPr>
              <w:pStyle w:val="TableParagraph"/>
              <w:spacing w:line="256" w:lineRule="exact"/>
              <w:ind w:right="93"/>
              <w:jc w:val="right"/>
              <w:rPr>
                <w:sz w:val="24"/>
              </w:rPr>
            </w:pPr>
            <w:r>
              <w:rPr>
                <w:sz w:val="24"/>
              </w:rPr>
              <w:t>2,450</w:t>
            </w:r>
          </w:p>
        </w:tc>
      </w:tr>
      <w:tr w:rsidR="004D7F59">
        <w:trPr>
          <w:trHeight w:val="278"/>
        </w:trPr>
        <w:tc>
          <w:tcPr>
            <w:tcW w:w="4331" w:type="dxa"/>
          </w:tcPr>
          <w:p w:rsidR="004D7F59" w:rsidRDefault="001A2400">
            <w:pPr>
              <w:pStyle w:val="TableParagraph"/>
              <w:spacing w:line="258" w:lineRule="exact"/>
              <w:ind w:left="110"/>
              <w:rPr>
                <w:sz w:val="24"/>
              </w:rPr>
            </w:pPr>
            <w:r>
              <w:rPr>
                <w:sz w:val="24"/>
              </w:rPr>
              <w:t>Capital DEL</w:t>
            </w:r>
          </w:p>
        </w:tc>
        <w:tc>
          <w:tcPr>
            <w:tcW w:w="1558" w:type="dxa"/>
          </w:tcPr>
          <w:p w:rsidR="004D7F59" w:rsidRDefault="001A2400">
            <w:pPr>
              <w:pStyle w:val="TableParagraph"/>
              <w:spacing w:line="258" w:lineRule="exact"/>
              <w:ind w:right="93"/>
              <w:jc w:val="right"/>
              <w:rPr>
                <w:sz w:val="24"/>
              </w:rPr>
            </w:pPr>
            <w:r>
              <w:rPr>
                <w:sz w:val="24"/>
              </w:rPr>
              <w:t>5,373</w:t>
            </w:r>
          </w:p>
        </w:tc>
      </w:tr>
      <w:tr w:rsidR="004D7F59">
        <w:trPr>
          <w:trHeight w:val="275"/>
        </w:trPr>
        <w:tc>
          <w:tcPr>
            <w:tcW w:w="4331" w:type="dxa"/>
          </w:tcPr>
          <w:p w:rsidR="004D7F59" w:rsidRDefault="001A2400">
            <w:pPr>
              <w:pStyle w:val="TableParagraph"/>
              <w:spacing w:line="256" w:lineRule="exact"/>
              <w:ind w:left="110"/>
              <w:rPr>
                <w:sz w:val="24"/>
              </w:rPr>
            </w:pPr>
            <w:r>
              <w:rPr>
                <w:sz w:val="24"/>
              </w:rPr>
              <w:t>Total DEL</w:t>
            </w:r>
          </w:p>
        </w:tc>
        <w:tc>
          <w:tcPr>
            <w:tcW w:w="1558" w:type="dxa"/>
          </w:tcPr>
          <w:p w:rsidR="004D7F59" w:rsidRDefault="001A2400">
            <w:pPr>
              <w:pStyle w:val="TableParagraph"/>
              <w:spacing w:line="256" w:lineRule="exact"/>
              <w:ind w:right="93"/>
              <w:jc w:val="right"/>
              <w:rPr>
                <w:sz w:val="24"/>
              </w:rPr>
            </w:pPr>
            <w:r>
              <w:rPr>
                <w:sz w:val="24"/>
              </w:rPr>
              <w:t>56,291</w:t>
            </w:r>
          </w:p>
        </w:tc>
      </w:tr>
      <w:tr w:rsidR="004D7F59">
        <w:trPr>
          <w:trHeight w:val="275"/>
        </w:trPr>
        <w:tc>
          <w:tcPr>
            <w:tcW w:w="4331" w:type="dxa"/>
          </w:tcPr>
          <w:p w:rsidR="004D7F59" w:rsidRDefault="001A2400">
            <w:pPr>
              <w:pStyle w:val="TableParagraph"/>
              <w:spacing w:line="256" w:lineRule="exact"/>
              <w:ind w:left="110"/>
              <w:rPr>
                <w:sz w:val="24"/>
              </w:rPr>
            </w:pPr>
            <w:r>
              <w:rPr>
                <w:sz w:val="24"/>
              </w:rPr>
              <w:t>Expenditure classed as AME</w:t>
            </w:r>
          </w:p>
        </w:tc>
        <w:tc>
          <w:tcPr>
            <w:tcW w:w="1558" w:type="dxa"/>
          </w:tcPr>
          <w:p w:rsidR="004D7F59" w:rsidRDefault="001A2400">
            <w:pPr>
              <w:pStyle w:val="TableParagraph"/>
              <w:spacing w:line="256" w:lineRule="exact"/>
              <w:ind w:right="93"/>
              <w:jc w:val="right"/>
              <w:rPr>
                <w:sz w:val="24"/>
              </w:rPr>
            </w:pPr>
            <w:r>
              <w:rPr>
                <w:sz w:val="24"/>
              </w:rPr>
              <w:t>145</w:t>
            </w:r>
          </w:p>
        </w:tc>
      </w:tr>
      <w:tr w:rsidR="004D7F59">
        <w:trPr>
          <w:trHeight w:val="275"/>
        </w:trPr>
        <w:tc>
          <w:tcPr>
            <w:tcW w:w="4331" w:type="dxa"/>
          </w:tcPr>
          <w:p w:rsidR="004D7F59" w:rsidRDefault="001A2400">
            <w:pPr>
              <w:pStyle w:val="TableParagraph"/>
              <w:spacing w:line="256" w:lineRule="exact"/>
              <w:ind w:left="110"/>
              <w:rPr>
                <w:b/>
                <w:sz w:val="24"/>
              </w:rPr>
            </w:pPr>
            <w:r>
              <w:rPr>
                <w:b/>
                <w:sz w:val="24"/>
              </w:rPr>
              <w:t>Total revised budget</w:t>
            </w:r>
          </w:p>
        </w:tc>
        <w:tc>
          <w:tcPr>
            <w:tcW w:w="1558" w:type="dxa"/>
          </w:tcPr>
          <w:p w:rsidR="004D7F59" w:rsidRDefault="001A2400">
            <w:pPr>
              <w:pStyle w:val="TableParagraph"/>
              <w:spacing w:line="256" w:lineRule="exact"/>
              <w:ind w:right="93"/>
              <w:jc w:val="right"/>
              <w:rPr>
                <w:b/>
                <w:sz w:val="24"/>
              </w:rPr>
            </w:pPr>
            <w:r>
              <w:rPr>
                <w:b/>
                <w:sz w:val="24"/>
              </w:rPr>
              <w:t>56,436</w:t>
            </w:r>
          </w:p>
        </w:tc>
      </w:tr>
    </w:tbl>
    <w:p w:rsidR="004D7F59" w:rsidRDefault="001A2400">
      <w:pPr>
        <w:ind w:left="1890" w:right="2374" w:hanging="118"/>
        <w:rPr>
          <w:sz w:val="18"/>
        </w:rPr>
      </w:pPr>
      <w:r>
        <w:rPr>
          <w:sz w:val="18"/>
        </w:rPr>
        <w:t>* This includes £0.1m to cover expenditure relating to accruing staff benefits and should therefore be treated as Ring-fenced (non-cash) DEL – see paragraph on AME below.</w:t>
      </w:r>
    </w:p>
    <w:p w:rsidR="004D7F59" w:rsidRDefault="004D7F59">
      <w:pPr>
        <w:pStyle w:val="BodyText"/>
        <w:spacing w:before="11"/>
        <w:rPr>
          <w:sz w:val="23"/>
        </w:rPr>
      </w:pPr>
    </w:p>
    <w:p w:rsidR="004D7F59" w:rsidRDefault="001A2400">
      <w:pPr>
        <w:pStyle w:val="BodyText"/>
        <w:ind w:left="197" w:right="847"/>
      </w:pPr>
      <w:r>
        <w:t xml:space="preserve">The revised authorised cash grant-in-aid for NatureScot for 2020-21 is therefore </w:t>
      </w:r>
      <w:r>
        <w:rPr>
          <w:b/>
        </w:rPr>
        <w:t>£53.741 million</w:t>
      </w:r>
      <w:r>
        <w:t>.</w:t>
      </w:r>
    </w:p>
    <w:p w:rsidR="004D7F59" w:rsidRDefault="004D7F59">
      <w:pPr>
        <w:pStyle w:val="BodyText"/>
      </w:pPr>
    </w:p>
    <w:p w:rsidR="004D7F59" w:rsidRDefault="001A2400">
      <w:pPr>
        <w:pStyle w:val="BodyText"/>
        <w:ind w:left="197" w:right="434"/>
      </w:pPr>
      <w:r>
        <w:t>The Ring-fenced (non-cash) DEL budget for 2020-21 included an allocation which NatureScot estimated would be required to cover the implementation of IFRS16: Leases that had been due to be introduced in 2020-21, but which has been deferred to 1 April 2022.</w:t>
      </w:r>
    </w:p>
    <w:p w:rsidR="004D7F59" w:rsidRDefault="001A2400">
      <w:pPr>
        <w:pStyle w:val="BodyText"/>
        <w:spacing w:line="268" w:lineRule="exact"/>
        <w:ind w:left="197"/>
      </w:pPr>
      <w:r>
        <w:t>Depreciation costs are also set to be less than previously forecast due to the impact of timing</w:t>
      </w:r>
    </w:p>
    <w:p w:rsidR="004D7F59" w:rsidRDefault="00FC219D">
      <w:pPr>
        <w:tabs>
          <w:tab w:val="left" w:pos="4708"/>
          <w:tab w:val="left" w:pos="8678"/>
        </w:tabs>
        <w:spacing w:line="900" w:lineRule="exact"/>
        <w:ind w:left="305"/>
        <w:rPr>
          <w:sz w:val="32"/>
        </w:rPr>
      </w:pPr>
      <w:hyperlink r:id="rId9">
        <w:r w:rsidR="001A2400">
          <w:rPr>
            <w:rFonts w:ascii="Lucida Sans" w:hAnsi="Lucida Sans"/>
            <w:spacing w:val="-3"/>
            <w:w w:val="112"/>
            <w:position w:val="3"/>
            <w:sz w:val="19"/>
          </w:rPr>
          <w:t>www</w:t>
        </w:r>
        <w:r w:rsidR="001A2400">
          <w:rPr>
            <w:rFonts w:ascii="Lucida Sans" w:hAnsi="Lucida Sans"/>
            <w:spacing w:val="-3"/>
            <w:w w:val="79"/>
            <w:position w:val="3"/>
            <w:sz w:val="19"/>
          </w:rPr>
          <w:t>.</w:t>
        </w:r>
        <w:r w:rsidR="001A2400">
          <w:rPr>
            <w:rFonts w:ascii="Lucida Sans" w:hAnsi="Lucida Sans"/>
            <w:spacing w:val="-4"/>
            <w:w w:val="91"/>
            <w:position w:val="3"/>
            <w:sz w:val="19"/>
          </w:rPr>
          <w:t>g</w:t>
        </w:r>
        <w:r w:rsidR="001A2400">
          <w:rPr>
            <w:rFonts w:ascii="Lucida Sans" w:hAnsi="Lucida Sans"/>
            <w:w w:val="99"/>
            <w:position w:val="3"/>
            <w:sz w:val="19"/>
          </w:rPr>
          <w:t>o</w:t>
        </w:r>
        <w:r w:rsidR="001A2400">
          <w:rPr>
            <w:rFonts w:ascii="Lucida Sans" w:hAnsi="Lucida Sans"/>
            <w:spacing w:val="-4"/>
            <w:w w:val="123"/>
            <w:position w:val="3"/>
            <w:sz w:val="19"/>
          </w:rPr>
          <w:t>v</w:t>
        </w:r>
        <w:r w:rsidR="001A2400">
          <w:rPr>
            <w:rFonts w:ascii="Lucida Sans" w:hAnsi="Lucida Sans"/>
            <w:spacing w:val="-3"/>
            <w:w w:val="79"/>
            <w:position w:val="3"/>
            <w:sz w:val="19"/>
          </w:rPr>
          <w:t>.</w:t>
        </w:r>
        <w:r w:rsidR="001A2400">
          <w:rPr>
            <w:rFonts w:ascii="Lucida Sans" w:hAnsi="Lucida Sans"/>
            <w:w w:val="96"/>
            <w:position w:val="3"/>
            <w:sz w:val="19"/>
          </w:rPr>
          <w:t>s</w:t>
        </w:r>
        <w:r w:rsidR="001A2400">
          <w:rPr>
            <w:rFonts w:ascii="Lucida Sans" w:hAnsi="Lucida Sans"/>
            <w:spacing w:val="-4"/>
            <w:w w:val="96"/>
            <w:position w:val="3"/>
            <w:sz w:val="19"/>
          </w:rPr>
          <w:t>c</w:t>
        </w:r>
        <w:r w:rsidR="001A2400">
          <w:rPr>
            <w:rFonts w:ascii="Lucida Sans" w:hAnsi="Lucida Sans"/>
            <w:spacing w:val="-2"/>
            <w:w w:val="99"/>
            <w:position w:val="3"/>
            <w:sz w:val="19"/>
          </w:rPr>
          <w:t>o</w:t>
        </w:r>
        <w:r w:rsidR="001A2400">
          <w:rPr>
            <w:rFonts w:ascii="Lucida Sans" w:hAnsi="Lucida Sans"/>
            <w:w w:val="104"/>
            <w:position w:val="3"/>
            <w:sz w:val="19"/>
          </w:rPr>
          <w:t>t</w:t>
        </w:r>
      </w:hyperlink>
      <w:r w:rsidR="001A2400">
        <w:rPr>
          <w:rFonts w:ascii="Lucida Sans" w:hAnsi="Lucida Sans"/>
          <w:position w:val="3"/>
          <w:sz w:val="19"/>
        </w:rPr>
        <w:tab/>
      </w:r>
    </w:p>
    <w:p w:rsidR="004D7F59" w:rsidRDefault="004D7F59">
      <w:pPr>
        <w:spacing w:line="900" w:lineRule="exact"/>
        <w:rPr>
          <w:sz w:val="32"/>
        </w:rPr>
        <w:sectPr w:rsidR="004D7F59">
          <w:footerReference w:type="default" r:id="rId10"/>
          <w:type w:val="continuous"/>
          <w:pgSz w:w="11910" w:h="16840"/>
          <w:pgMar w:top="800" w:right="500" w:bottom="660" w:left="940" w:header="720" w:footer="480" w:gutter="0"/>
          <w:cols w:space="720"/>
        </w:sectPr>
      </w:pPr>
    </w:p>
    <w:p w:rsidR="004D7F59" w:rsidRDefault="001A2400">
      <w:pPr>
        <w:pStyle w:val="BodyText"/>
        <w:spacing w:before="65"/>
        <w:ind w:left="197" w:right="834"/>
      </w:pPr>
      <w:proofErr w:type="gramStart"/>
      <w:r>
        <w:lastRenderedPageBreak/>
        <w:t>of</w:t>
      </w:r>
      <w:proofErr w:type="gramEnd"/>
      <w:r>
        <w:t xml:space="preserve"> asset additions, disposals during the year together with changes to estimates of useful lives of some assets. The Scottish Government is therefore content to accept any consequent underspend against this budget arising as a result of the deferral of the implementation of IFRS16 and the impacts of in year management of assets resulting in lower Depreciation costs.</w:t>
      </w:r>
    </w:p>
    <w:p w:rsidR="004D7F59" w:rsidRDefault="004D7F59">
      <w:pPr>
        <w:pStyle w:val="BodyText"/>
      </w:pPr>
    </w:p>
    <w:p w:rsidR="004D7F59" w:rsidRDefault="001A2400">
      <w:pPr>
        <w:pStyle w:val="BodyText"/>
        <w:spacing w:before="1"/>
        <w:ind w:left="197" w:right="418"/>
        <w:rPr>
          <w:rFonts w:ascii="Times New Roman" w:hAnsi="Times New Roman"/>
        </w:rPr>
      </w:pPr>
      <w:r>
        <w:t xml:space="preserve">The Capital DEL budget for 2020-21 included an allocation of £490k through the </w:t>
      </w:r>
      <w:proofErr w:type="spellStart"/>
      <w:r>
        <w:t>GovTech</w:t>
      </w:r>
      <w:proofErr w:type="spellEnd"/>
      <w:r>
        <w:t xml:space="preserve"> Catalyst Challenge Programme. The Scottish Government is aware that due to the impact of Covid-19, this work has not progressed as planned in 2020-21 and is therefore content to accept the consequent underspend against this budget as expenditure will be incurred in 2021-22 instead</w:t>
      </w:r>
      <w:r>
        <w:rPr>
          <w:rFonts w:ascii="Times New Roman" w:hAnsi="Times New Roman"/>
        </w:rPr>
        <w:t>.</w:t>
      </w:r>
    </w:p>
    <w:p w:rsidR="004D7F59" w:rsidRDefault="004D7F59">
      <w:pPr>
        <w:pStyle w:val="BodyText"/>
        <w:spacing w:before="10"/>
        <w:rPr>
          <w:rFonts w:ascii="Times New Roman"/>
          <w:sz w:val="23"/>
        </w:rPr>
      </w:pPr>
    </w:p>
    <w:p w:rsidR="004D7F59" w:rsidRDefault="001A2400">
      <w:pPr>
        <w:pStyle w:val="BodyText"/>
        <w:ind w:left="197"/>
      </w:pPr>
      <w:r>
        <w:t>NatureScot originally estimated a requirement for Annually Managed Expenditure (AME) of</w:t>
      </w:r>
    </w:p>
    <w:p w:rsidR="004D7F59" w:rsidRDefault="001A2400">
      <w:pPr>
        <w:pStyle w:val="BodyText"/>
        <w:ind w:left="197" w:right="367"/>
      </w:pPr>
      <w:r>
        <w:t>£0.201m in 2020-21. This included an estimate of £0.100m for expected balances of accrued annual leave for the year. HM Treasury issued guidance on 29 October 2020 (Accrued Annual Leave: Addendum to PES (2020) 07) about treatment of (atypically) large accumulated balances of accrued leave anticipated as a result of the impact of the Covid-19 pandemic. In line with that guidance the Scottish Government has allocated an additional</w:t>
      </w:r>
    </w:p>
    <w:p w:rsidR="004D7F59" w:rsidRDefault="001A2400">
      <w:pPr>
        <w:pStyle w:val="BodyText"/>
        <w:spacing w:before="1"/>
        <w:ind w:left="197" w:right="421"/>
      </w:pPr>
      <w:r>
        <w:rPr>
          <w:b/>
        </w:rPr>
        <w:t xml:space="preserve">£0.100m </w:t>
      </w:r>
      <w:r>
        <w:t>to NatureScot’s Resource-DEL budget effectively to cover this expenditure. However, these funds are to be treated in the same way as Ring-fenced (non-cash) DEL and should therefore not be regarded as additional Resource-DEL budget against which cash grant-in-aid can be drawn.</w:t>
      </w:r>
    </w:p>
    <w:p w:rsidR="004D7F59" w:rsidRDefault="004D7F59">
      <w:pPr>
        <w:pStyle w:val="BodyText"/>
      </w:pPr>
    </w:p>
    <w:p w:rsidR="004D7F59" w:rsidRDefault="001A2400">
      <w:pPr>
        <w:pStyle w:val="BodyText"/>
        <w:ind w:left="197" w:right="460"/>
      </w:pPr>
      <w:r>
        <w:t xml:space="preserve">It is noted that NatureScot’s more recent estimates indicate that expenditure in relation to provisions is likely to be higher than its original estimation. It has therefore been agreed that NatureScot can incur expenditure up to </w:t>
      </w:r>
      <w:r>
        <w:rPr>
          <w:b/>
        </w:rPr>
        <w:t xml:space="preserve">£0.075m </w:t>
      </w:r>
      <w:r>
        <w:t>over its allocated AME budget for 2020-21.</w:t>
      </w:r>
    </w:p>
    <w:p w:rsidR="004D7F59" w:rsidRDefault="004D7F59">
      <w:pPr>
        <w:pStyle w:val="BodyText"/>
      </w:pPr>
    </w:p>
    <w:p w:rsidR="004D7F59" w:rsidRDefault="001A2400">
      <w:pPr>
        <w:pStyle w:val="BodyText"/>
        <w:ind w:left="197"/>
      </w:pPr>
      <w:r>
        <w:t>Yours sincerely,</w:t>
      </w:r>
    </w:p>
    <w:p w:rsidR="004D7F59" w:rsidRDefault="001A2400">
      <w:pPr>
        <w:pStyle w:val="BodyText"/>
        <w:spacing w:before="5"/>
        <w:rPr>
          <w:sz w:val="22"/>
        </w:rPr>
      </w:pPr>
      <w:bookmarkStart w:id="0" w:name="_GoBack"/>
      <w:bookmarkEnd w:id="0"/>
      <w:r>
        <w:rPr>
          <w:noProof/>
          <w:lang w:bidi="ar-SA"/>
        </w:rPr>
        <w:drawing>
          <wp:anchor distT="0" distB="0" distL="0" distR="0" simplePos="0" relativeHeight="251658240" behindDoc="0" locked="0" layoutInCell="1" allowOverlap="1">
            <wp:simplePos x="0" y="0"/>
            <wp:positionH relativeFrom="page">
              <wp:posOffset>823692</wp:posOffset>
            </wp:positionH>
            <wp:positionV relativeFrom="paragraph">
              <wp:posOffset>189025</wp:posOffset>
            </wp:positionV>
            <wp:extent cx="2177921" cy="474154"/>
            <wp:effectExtent l="0" t="0" r="0" b="0"/>
            <wp:wrapTopAndBottom/>
            <wp:docPr id="1" name="image1.jpeg" descr="Keith Connal Deputy Director, Natural Resources Divisi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177921" cy="474154"/>
                    </a:xfrm>
                    <a:prstGeom prst="rect">
                      <a:avLst/>
                    </a:prstGeom>
                  </pic:spPr>
                </pic:pic>
              </a:graphicData>
            </a:graphic>
          </wp:anchor>
        </w:drawing>
      </w:r>
    </w:p>
    <w:p w:rsidR="004D7F59" w:rsidRDefault="004D7F59">
      <w:pPr>
        <w:pStyle w:val="BodyText"/>
        <w:spacing w:before="5"/>
        <w:rPr>
          <w:sz w:val="29"/>
        </w:rPr>
      </w:pPr>
    </w:p>
    <w:p w:rsidR="004D7F59" w:rsidRDefault="001A2400">
      <w:pPr>
        <w:pStyle w:val="Heading1"/>
      </w:pPr>
      <w:r>
        <w:t xml:space="preserve">Keith </w:t>
      </w:r>
      <w:proofErr w:type="spellStart"/>
      <w:r>
        <w:t>Connal</w:t>
      </w:r>
      <w:proofErr w:type="spellEnd"/>
    </w:p>
    <w:p w:rsidR="004D7F59" w:rsidRDefault="001A2400">
      <w:pPr>
        <w:ind w:left="197"/>
        <w:rPr>
          <w:b/>
          <w:sz w:val="24"/>
        </w:rPr>
      </w:pPr>
      <w:r>
        <w:rPr>
          <w:b/>
          <w:sz w:val="24"/>
        </w:rPr>
        <w:t>Deputy Director, Natural Resources Division</w:t>
      </w: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rPr>
          <w:b/>
          <w:sz w:val="20"/>
        </w:rPr>
      </w:pPr>
    </w:p>
    <w:p w:rsidR="004D7F59" w:rsidRDefault="004D7F59">
      <w:pPr>
        <w:pStyle w:val="BodyText"/>
        <w:spacing w:before="6"/>
        <w:rPr>
          <w:b/>
          <w:sz w:val="25"/>
        </w:rPr>
      </w:pPr>
    </w:p>
    <w:p w:rsidR="004D7F59" w:rsidRDefault="00FC219D">
      <w:pPr>
        <w:tabs>
          <w:tab w:val="left" w:pos="4708"/>
          <w:tab w:val="left" w:pos="8678"/>
        </w:tabs>
        <w:spacing w:before="71" w:line="908" w:lineRule="exact"/>
        <w:ind w:left="305"/>
        <w:rPr>
          <w:sz w:val="32"/>
        </w:rPr>
      </w:pPr>
      <w:hyperlink r:id="rId12">
        <w:r w:rsidR="001A2400">
          <w:rPr>
            <w:rFonts w:ascii="Lucida Sans" w:hAnsi="Lucida Sans"/>
            <w:spacing w:val="-3"/>
            <w:w w:val="112"/>
            <w:position w:val="3"/>
            <w:sz w:val="19"/>
          </w:rPr>
          <w:t>www</w:t>
        </w:r>
        <w:r w:rsidR="001A2400">
          <w:rPr>
            <w:rFonts w:ascii="Lucida Sans" w:hAnsi="Lucida Sans"/>
            <w:spacing w:val="-3"/>
            <w:w w:val="79"/>
            <w:position w:val="3"/>
            <w:sz w:val="19"/>
          </w:rPr>
          <w:t>.</w:t>
        </w:r>
        <w:r w:rsidR="001A2400">
          <w:rPr>
            <w:rFonts w:ascii="Lucida Sans" w:hAnsi="Lucida Sans"/>
            <w:spacing w:val="-4"/>
            <w:w w:val="91"/>
            <w:position w:val="3"/>
            <w:sz w:val="19"/>
          </w:rPr>
          <w:t>g</w:t>
        </w:r>
        <w:r w:rsidR="001A2400">
          <w:rPr>
            <w:rFonts w:ascii="Lucida Sans" w:hAnsi="Lucida Sans"/>
            <w:w w:val="99"/>
            <w:position w:val="3"/>
            <w:sz w:val="19"/>
          </w:rPr>
          <w:t>o</w:t>
        </w:r>
        <w:r w:rsidR="001A2400">
          <w:rPr>
            <w:rFonts w:ascii="Lucida Sans" w:hAnsi="Lucida Sans"/>
            <w:spacing w:val="-4"/>
            <w:w w:val="123"/>
            <w:position w:val="3"/>
            <w:sz w:val="19"/>
          </w:rPr>
          <w:t>v</w:t>
        </w:r>
        <w:r w:rsidR="001A2400">
          <w:rPr>
            <w:rFonts w:ascii="Lucida Sans" w:hAnsi="Lucida Sans"/>
            <w:spacing w:val="-3"/>
            <w:w w:val="79"/>
            <w:position w:val="3"/>
            <w:sz w:val="19"/>
          </w:rPr>
          <w:t>.</w:t>
        </w:r>
        <w:r w:rsidR="001A2400">
          <w:rPr>
            <w:rFonts w:ascii="Lucida Sans" w:hAnsi="Lucida Sans"/>
            <w:w w:val="96"/>
            <w:position w:val="3"/>
            <w:sz w:val="19"/>
          </w:rPr>
          <w:t>s</w:t>
        </w:r>
        <w:r w:rsidR="001A2400">
          <w:rPr>
            <w:rFonts w:ascii="Lucida Sans" w:hAnsi="Lucida Sans"/>
            <w:spacing w:val="-4"/>
            <w:w w:val="96"/>
            <w:position w:val="3"/>
            <w:sz w:val="19"/>
          </w:rPr>
          <w:t>c</w:t>
        </w:r>
        <w:r w:rsidR="001A2400">
          <w:rPr>
            <w:rFonts w:ascii="Lucida Sans" w:hAnsi="Lucida Sans"/>
            <w:spacing w:val="-2"/>
            <w:w w:val="99"/>
            <w:position w:val="3"/>
            <w:sz w:val="19"/>
          </w:rPr>
          <w:t>o</w:t>
        </w:r>
        <w:r w:rsidR="001A2400">
          <w:rPr>
            <w:rFonts w:ascii="Lucida Sans" w:hAnsi="Lucida Sans"/>
            <w:w w:val="104"/>
            <w:position w:val="3"/>
            <w:sz w:val="19"/>
          </w:rPr>
          <w:t>t</w:t>
        </w:r>
      </w:hyperlink>
      <w:r w:rsidR="001A2400">
        <w:rPr>
          <w:rFonts w:ascii="Lucida Sans" w:hAnsi="Lucida Sans"/>
          <w:position w:val="3"/>
          <w:sz w:val="19"/>
        </w:rPr>
        <w:tab/>
      </w:r>
    </w:p>
    <w:p w:rsidR="004D7F59" w:rsidRDefault="004D7F59">
      <w:pPr>
        <w:spacing w:line="908" w:lineRule="exact"/>
        <w:rPr>
          <w:sz w:val="32"/>
        </w:rPr>
        <w:sectPr w:rsidR="004D7F59">
          <w:pgSz w:w="11910" w:h="16840"/>
          <w:pgMar w:top="740" w:right="500" w:bottom="660" w:left="940" w:header="0" w:footer="480" w:gutter="0"/>
          <w:cols w:space="720"/>
        </w:sectPr>
      </w:pPr>
    </w:p>
    <w:p w:rsidR="004D7F59" w:rsidRDefault="001A2400">
      <w:pPr>
        <w:pStyle w:val="Heading1"/>
        <w:spacing w:before="65"/>
        <w:ind w:left="0" w:right="404"/>
        <w:jc w:val="right"/>
      </w:pPr>
      <w:r>
        <w:rPr>
          <w:w w:val="95"/>
        </w:rPr>
        <w:lastRenderedPageBreak/>
        <w:t>ANNEX</w:t>
      </w:r>
    </w:p>
    <w:p w:rsidR="004D7F59" w:rsidRDefault="004D7F59">
      <w:pPr>
        <w:pStyle w:val="BodyText"/>
        <w:rPr>
          <w:b/>
        </w:rPr>
      </w:pPr>
    </w:p>
    <w:p w:rsidR="004D7F59" w:rsidRDefault="001A2400">
      <w:pPr>
        <w:ind w:left="197" w:right="505"/>
        <w:rPr>
          <w:b/>
          <w:sz w:val="24"/>
        </w:rPr>
      </w:pPr>
      <w:r>
        <w:rPr>
          <w:b/>
          <w:sz w:val="24"/>
        </w:rPr>
        <w:t>NATURESCOT: BUDGET ALLOCATION 2020-21 – ADJUSTMENTS MADE AT AUTUMN AND SPRING BUDGET REVISIONS</w:t>
      </w:r>
    </w:p>
    <w:p w:rsidR="004D7F59" w:rsidRDefault="004D7F59">
      <w:pPr>
        <w:pStyle w:val="BodyText"/>
        <w:rPr>
          <w:b/>
        </w:rPr>
      </w:pPr>
    </w:p>
    <w:p w:rsidR="004D7F59" w:rsidRDefault="001A2400">
      <w:pPr>
        <w:spacing w:after="3"/>
        <w:ind w:left="197"/>
        <w:rPr>
          <w:b/>
          <w:sz w:val="24"/>
        </w:rPr>
      </w:pPr>
      <w:r>
        <w:rPr>
          <w:b/>
          <w:sz w:val="24"/>
        </w:rPr>
        <w:t>Adjustments at Autumn Budget Revisions</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gridCol w:w="993"/>
      </w:tblGrid>
      <w:tr w:rsidR="004D7F59">
        <w:trPr>
          <w:trHeight w:val="275"/>
        </w:trPr>
        <w:tc>
          <w:tcPr>
            <w:tcW w:w="9040" w:type="dxa"/>
          </w:tcPr>
          <w:p w:rsidR="004D7F59" w:rsidRDefault="004D7F59">
            <w:pPr>
              <w:pStyle w:val="TableParagraph"/>
              <w:rPr>
                <w:rFonts w:ascii="Times New Roman"/>
                <w:sz w:val="20"/>
              </w:rPr>
            </w:pPr>
          </w:p>
        </w:tc>
        <w:tc>
          <w:tcPr>
            <w:tcW w:w="993" w:type="dxa"/>
          </w:tcPr>
          <w:p w:rsidR="004D7F59" w:rsidRDefault="001A2400">
            <w:pPr>
              <w:pStyle w:val="TableParagraph"/>
              <w:spacing w:line="256" w:lineRule="exact"/>
              <w:ind w:left="108"/>
              <w:rPr>
                <w:b/>
                <w:sz w:val="24"/>
              </w:rPr>
            </w:pPr>
            <w:r>
              <w:rPr>
                <w:b/>
                <w:sz w:val="24"/>
              </w:rPr>
              <w:t>£000s</w:t>
            </w:r>
          </w:p>
        </w:tc>
      </w:tr>
      <w:tr w:rsidR="004D7F59">
        <w:trPr>
          <w:trHeight w:val="688"/>
        </w:trPr>
        <w:tc>
          <w:tcPr>
            <w:tcW w:w="9040" w:type="dxa"/>
            <w:tcBorders>
              <w:bottom w:val="nil"/>
            </w:tcBorders>
          </w:tcPr>
          <w:p w:rsidR="004D7F59" w:rsidRDefault="004D7F59">
            <w:pPr>
              <w:pStyle w:val="TableParagraph"/>
              <w:spacing w:before="9"/>
              <w:rPr>
                <w:b/>
                <w:sz w:val="23"/>
              </w:rPr>
            </w:pPr>
          </w:p>
          <w:p w:rsidR="004D7F59" w:rsidRDefault="001A2400">
            <w:pPr>
              <w:pStyle w:val="TableParagraph"/>
              <w:ind w:left="108"/>
              <w:rPr>
                <w:b/>
                <w:sz w:val="24"/>
              </w:rPr>
            </w:pPr>
            <w:r>
              <w:rPr>
                <w:b/>
                <w:sz w:val="24"/>
              </w:rPr>
              <w:t>Resource DEL (original)</w:t>
            </w:r>
          </w:p>
        </w:tc>
        <w:tc>
          <w:tcPr>
            <w:tcW w:w="993" w:type="dxa"/>
            <w:tcBorders>
              <w:bottom w:val="nil"/>
            </w:tcBorders>
          </w:tcPr>
          <w:p w:rsidR="004D7F59" w:rsidRDefault="004D7F59">
            <w:pPr>
              <w:pStyle w:val="TableParagraph"/>
              <w:spacing w:before="9"/>
              <w:rPr>
                <w:b/>
                <w:sz w:val="23"/>
              </w:rPr>
            </w:pPr>
          </w:p>
          <w:p w:rsidR="004D7F59" w:rsidRDefault="001A2400">
            <w:pPr>
              <w:pStyle w:val="TableParagraph"/>
              <w:ind w:left="149"/>
              <w:rPr>
                <w:b/>
                <w:sz w:val="24"/>
              </w:rPr>
            </w:pPr>
            <w:r>
              <w:rPr>
                <w:b/>
                <w:sz w:val="24"/>
              </w:rPr>
              <w:t>45,608</w:t>
            </w:r>
          </w:p>
        </w:tc>
      </w:tr>
      <w:tr w:rsidR="004D7F59">
        <w:trPr>
          <w:trHeight w:val="431"/>
        </w:trPr>
        <w:tc>
          <w:tcPr>
            <w:tcW w:w="9040" w:type="dxa"/>
            <w:tcBorders>
              <w:top w:val="nil"/>
              <w:bottom w:val="nil"/>
            </w:tcBorders>
          </w:tcPr>
          <w:p w:rsidR="004D7F59" w:rsidRDefault="001A2400">
            <w:pPr>
              <w:pStyle w:val="TableParagraph"/>
              <w:numPr>
                <w:ilvl w:val="0"/>
                <w:numId w:val="10"/>
              </w:numPr>
              <w:tabs>
                <w:tab w:val="left" w:pos="825"/>
                <w:tab w:val="left" w:pos="826"/>
              </w:tabs>
              <w:spacing w:before="138" w:line="273" w:lineRule="exact"/>
              <w:ind w:hanging="361"/>
              <w:rPr>
                <w:sz w:val="24"/>
              </w:rPr>
            </w:pPr>
            <w:r>
              <w:rPr>
                <w:sz w:val="24"/>
              </w:rPr>
              <w:t>to support goose management</w:t>
            </w:r>
            <w:r>
              <w:rPr>
                <w:spacing w:val="-4"/>
                <w:sz w:val="24"/>
              </w:rPr>
              <w:t xml:space="preserve"> </w:t>
            </w:r>
            <w:r>
              <w:rPr>
                <w:sz w:val="24"/>
              </w:rPr>
              <w:t>schemes</w:t>
            </w:r>
          </w:p>
        </w:tc>
        <w:tc>
          <w:tcPr>
            <w:tcW w:w="993" w:type="dxa"/>
            <w:tcBorders>
              <w:top w:val="nil"/>
              <w:bottom w:val="nil"/>
            </w:tcBorders>
          </w:tcPr>
          <w:p w:rsidR="004D7F59" w:rsidRDefault="001A2400">
            <w:pPr>
              <w:pStyle w:val="TableParagraph"/>
              <w:spacing w:before="137" w:line="274" w:lineRule="exact"/>
              <w:ind w:right="97"/>
              <w:jc w:val="right"/>
              <w:rPr>
                <w:sz w:val="24"/>
              </w:rPr>
            </w:pPr>
            <w:r>
              <w:rPr>
                <w:w w:val="95"/>
                <w:sz w:val="24"/>
              </w:rPr>
              <w:t>100</w:t>
            </w:r>
          </w:p>
        </w:tc>
      </w:tr>
      <w:tr w:rsidR="004D7F59">
        <w:trPr>
          <w:trHeight w:val="292"/>
        </w:trPr>
        <w:tc>
          <w:tcPr>
            <w:tcW w:w="9040" w:type="dxa"/>
            <w:tcBorders>
              <w:top w:val="nil"/>
              <w:bottom w:val="nil"/>
            </w:tcBorders>
          </w:tcPr>
          <w:p w:rsidR="004D7F59" w:rsidRDefault="001A2400">
            <w:pPr>
              <w:pStyle w:val="TableParagraph"/>
              <w:numPr>
                <w:ilvl w:val="0"/>
                <w:numId w:val="9"/>
              </w:numPr>
              <w:tabs>
                <w:tab w:val="left" w:pos="828"/>
                <w:tab w:val="left" w:pos="829"/>
              </w:tabs>
              <w:spacing w:line="273" w:lineRule="exact"/>
              <w:ind w:hanging="361"/>
              <w:rPr>
                <w:sz w:val="24"/>
              </w:rPr>
            </w:pPr>
            <w:r>
              <w:rPr>
                <w:sz w:val="24"/>
              </w:rPr>
              <w:t>to support beaver mitigation</w:t>
            </w:r>
            <w:r>
              <w:rPr>
                <w:spacing w:val="-3"/>
                <w:sz w:val="24"/>
              </w:rPr>
              <w:t xml:space="preserve"> </w:t>
            </w:r>
            <w:r>
              <w:rPr>
                <w:sz w:val="24"/>
              </w:rPr>
              <w:t>work</w:t>
            </w:r>
          </w:p>
        </w:tc>
        <w:tc>
          <w:tcPr>
            <w:tcW w:w="993" w:type="dxa"/>
            <w:tcBorders>
              <w:top w:val="nil"/>
              <w:bottom w:val="nil"/>
            </w:tcBorders>
          </w:tcPr>
          <w:p w:rsidR="004D7F59" w:rsidRDefault="001A2400">
            <w:pPr>
              <w:pStyle w:val="TableParagraph"/>
              <w:spacing w:line="258" w:lineRule="exact"/>
              <w:ind w:right="95"/>
              <w:jc w:val="right"/>
              <w:rPr>
                <w:sz w:val="24"/>
              </w:rPr>
            </w:pPr>
            <w:r>
              <w:rPr>
                <w:w w:val="95"/>
                <w:sz w:val="24"/>
              </w:rPr>
              <w:t>30</w:t>
            </w:r>
          </w:p>
        </w:tc>
      </w:tr>
      <w:tr w:rsidR="004D7F59">
        <w:trPr>
          <w:trHeight w:val="565"/>
        </w:trPr>
        <w:tc>
          <w:tcPr>
            <w:tcW w:w="9040" w:type="dxa"/>
            <w:tcBorders>
              <w:top w:val="nil"/>
              <w:bottom w:val="nil"/>
            </w:tcBorders>
          </w:tcPr>
          <w:p w:rsidR="004D7F59" w:rsidRDefault="001A2400">
            <w:pPr>
              <w:pStyle w:val="TableParagraph"/>
              <w:numPr>
                <w:ilvl w:val="0"/>
                <w:numId w:val="8"/>
              </w:numPr>
              <w:tabs>
                <w:tab w:val="left" w:pos="828"/>
                <w:tab w:val="left" w:pos="829"/>
              </w:tabs>
              <w:spacing w:before="21" w:line="274" w:lineRule="exact"/>
              <w:ind w:right="706"/>
              <w:rPr>
                <w:sz w:val="24"/>
              </w:rPr>
            </w:pPr>
            <w:r>
              <w:rPr>
                <w:sz w:val="24"/>
              </w:rPr>
              <w:t>to fund resource for further work on the assessment of national</w:t>
            </w:r>
            <w:r>
              <w:rPr>
                <w:spacing w:val="-30"/>
                <w:sz w:val="24"/>
              </w:rPr>
              <w:t xml:space="preserve"> </w:t>
            </w:r>
            <w:r>
              <w:rPr>
                <w:sz w:val="24"/>
              </w:rPr>
              <w:t>coastal change in</w:t>
            </w:r>
            <w:r>
              <w:rPr>
                <w:spacing w:val="-3"/>
                <w:sz w:val="24"/>
              </w:rPr>
              <w:t xml:space="preserve"> </w:t>
            </w:r>
            <w:r>
              <w:rPr>
                <w:sz w:val="24"/>
              </w:rPr>
              <w:t>Scotland</w:t>
            </w:r>
          </w:p>
        </w:tc>
        <w:tc>
          <w:tcPr>
            <w:tcW w:w="993" w:type="dxa"/>
            <w:tcBorders>
              <w:top w:val="nil"/>
              <w:bottom w:val="nil"/>
            </w:tcBorders>
          </w:tcPr>
          <w:p w:rsidR="004D7F59" w:rsidRDefault="004D7F59">
            <w:pPr>
              <w:pStyle w:val="TableParagraph"/>
              <w:spacing w:before="11"/>
              <w:rPr>
                <w:b/>
                <w:sz w:val="20"/>
              </w:rPr>
            </w:pPr>
          </w:p>
          <w:p w:rsidR="004D7F59" w:rsidRDefault="001A2400">
            <w:pPr>
              <w:pStyle w:val="TableParagraph"/>
              <w:ind w:right="95"/>
              <w:jc w:val="right"/>
              <w:rPr>
                <w:sz w:val="24"/>
              </w:rPr>
            </w:pPr>
            <w:r>
              <w:rPr>
                <w:w w:val="95"/>
                <w:sz w:val="24"/>
              </w:rPr>
              <w:t>73</w:t>
            </w:r>
          </w:p>
        </w:tc>
      </w:tr>
      <w:tr w:rsidR="004D7F59">
        <w:trPr>
          <w:trHeight w:val="675"/>
        </w:trPr>
        <w:tc>
          <w:tcPr>
            <w:tcW w:w="9040" w:type="dxa"/>
            <w:tcBorders>
              <w:top w:val="nil"/>
              <w:bottom w:val="nil"/>
            </w:tcBorders>
          </w:tcPr>
          <w:p w:rsidR="004D7F59" w:rsidRDefault="001A2400">
            <w:pPr>
              <w:pStyle w:val="TableParagraph"/>
              <w:numPr>
                <w:ilvl w:val="0"/>
                <w:numId w:val="7"/>
              </w:numPr>
              <w:tabs>
                <w:tab w:val="left" w:pos="828"/>
                <w:tab w:val="left" w:pos="829"/>
              </w:tabs>
              <w:spacing w:line="237" w:lineRule="auto"/>
              <w:ind w:right="1027"/>
              <w:rPr>
                <w:sz w:val="24"/>
              </w:rPr>
            </w:pPr>
            <w:r>
              <w:rPr>
                <w:sz w:val="24"/>
              </w:rPr>
              <w:t>to support work in relation to the Islay Goose management</w:t>
            </w:r>
            <w:r>
              <w:rPr>
                <w:spacing w:val="-27"/>
                <w:sz w:val="24"/>
              </w:rPr>
              <w:t xml:space="preserve"> </w:t>
            </w:r>
            <w:r>
              <w:rPr>
                <w:sz w:val="24"/>
              </w:rPr>
              <w:t xml:space="preserve">Strategy connected with the African/Eurasian </w:t>
            </w:r>
            <w:proofErr w:type="spellStart"/>
            <w:r>
              <w:rPr>
                <w:sz w:val="24"/>
              </w:rPr>
              <w:t>Waterbird</w:t>
            </w:r>
            <w:proofErr w:type="spellEnd"/>
            <w:r>
              <w:rPr>
                <w:spacing w:val="-13"/>
                <w:sz w:val="24"/>
              </w:rPr>
              <w:t xml:space="preserve"> </w:t>
            </w:r>
            <w:r>
              <w:rPr>
                <w:sz w:val="24"/>
              </w:rPr>
              <w:t>Agreement</w:t>
            </w:r>
          </w:p>
        </w:tc>
        <w:tc>
          <w:tcPr>
            <w:tcW w:w="993" w:type="dxa"/>
            <w:tcBorders>
              <w:top w:val="nil"/>
              <w:bottom w:val="nil"/>
            </w:tcBorders>
          </w:tcPr>
          <w:p w:rsidR="004D7F59" w:rsidRDefault="001A2400">
            <w:pPr>
              <w:pStyle w:val="TableParagraph"/>
              <w:spacing w:before="224"/>
              <w:ind w:right="98"/>
              <w:jc w:val="right"/>
              <w:rPr>
                <w:sz w:val="24"/>
              </w:rPr>
            </w:pPr>
            <w:r>
              <w:rPr>
                <w:w w:val="95"/>
                <w:sz w:val="24"/>
              </w:rPr>
              <w:t>25</w:t>
            </w:r>
          </w:p>
        </w:tc>
      </w:tr>
      <w:tr w:rsidR="004D7F59">
        <w:trPr>
          <w:trHeight w:val="648"/>
        </w:trPr>
        <w:tc>
          <w:tcPr>
            <w:tcW w:w="9040" w:type="dxa"/>
            <w:tcBorders>
              <w:top w:val="nil"/>
            </w:tcBorders>
          </w:tcPr>
          <w:p w:rsidR="004D7F59" w:rsidRDefault="001A2400">
            <w:pPr>
              <w:pStyle w:val="TableParagraph"/>
              <w:spacing w:before="166"/>
              <w:ind w:left="108"/>
              <w:rPr>
                <w:b/>
                <w:sz w:val="24"/>
              </w:rPr>
            </w:pPr>
            <w:r>
              <w:rPr>
                <w:b/>
                <w:sz w:val="24"/>
              </w:rPr>
              <w:t>Resource DEL (revised)</w:t>
            </w:r>
          </w:p>
        </w:tc>
        <w:tc>
          <w:tcPr>
            <w:tcW w:w="993" w:type="dxa"/>
            <w:tcBorders>
              <w:top w:val="nil"/>
            </w:tcBorders>
          </w:tcPr>
          <w:p w:rsidR="004D7F59" w:rsidRDefault="001A2400">
            <w:pPr>
              <w:pStyle w:val="TableParagraph"/>
              <w:spacing w:before="101"/>
              <w:ind w:left="149"/>
              <w:rPr>
                <w:b/>
                <w:sz w:val="24"/>
              </w:rPr>
            </w:pPr>
            <w:r>
              <w:rPr>
                <w:b/>
                <w:sz w:val="24"/>
              </w:rPr>
              <w:t>45,836</w:t>
            </w:r>
          </w:p>
        </w:tc>
      </w:tr>
    </w:tbl>
    <w:p w:rsidR="004D7F59" w:rsidRDefault="004D7F59">
      <w:pPr>
        <w:pStyle w:val="BodyText"/>
        <w:rPr>
          <w:b/>
          <w:sz w:val="26"/>
        </w:rPr>
      </w:pPr>
    </w:p>
    <w:p w:rsidR="004D7F59" w:rsidRDefault="004D7F59">
      <w:pPr>
        <w:pStyle w:val="BodyText"/>
        <w:spacing w:before="9"/>
        <w:rPr>
          <w:b/>
          <w:sz w:val="21"/>
        </w:rPr>
      </w:pPr>
    </w:p>
    <w:p w:rsidR="004D7F59" w:rsidRDefault="001A2400">
      <w:pPr>
        <w:spacing w:after="3"/>
        <w:ind w:left="197"/>
        <w:rPr>
          <w:b/>
          <w:sz w:val="24"/>
        </w:rPr>
      </w:pPr>
      <w:r>
        <w:rPr>
          <w:b/>
          <w:sz w:val="24"/>
        </w:rPr>
        <w:t>Adjustments at Spring Budget Revisions</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gridCol w:w="993"/>
      </w:tblGrid>
      <w:tr w:rsidR="004D7F59">
        <w:trPr>
          <w:trHeight w:val="275"/>
        </w:trPr>
        <w:tc>
          <w:tcPr>
            <w:tcW w:w="9040" w:type="dxa"/>
          </w:tcPr>
          <w:p w:rsidR="004D7F59" w:rsidRDefault="004D7F59">
            <w:pPr>
              <w:pStyle w:val="TableParagraph"/>
              <w:rPr>
                <w:rFonts w:ascii="Times New Roman"/>
                <w:sz w:val="20"/>
              </w:rPr>
            </w:pPr>
          </w:p>
        </w:tc>
        <w:tc>
          <w:tcPr>
            <w:tcW w:w="993" w:type="dxa"/>
          </w:tcPr>
          <w:p w:rsidR="004D7F59" w:rsidRDefault="001A2400">
            <w:pPr>
              <w:pStyle w:val="TableParagraph"/>
              <w:spacing w:line="256" w:lineRule="exact"/>
              <w:ind w:left="108"/>
              <w:rPr>
                <w:b/>
                <w:sz w:val="24"/>
              </w:rPr>
            </w:pPr>
            <w:r>
              <w:rPr>
                <w:b/>
                <w:sz w:val="24"/>
              </w:rPr>
              <w:t>£000s</w:t>
            </w:r>
          </w:p>
        </w:tc>
      </w:tr>
      <w:tr w:rsidR="004D7F59">
        <w:trPr>
          <w:trHeight w:val="689"/>
        </w:trPr>
        <w:tc>
          <w:tcPr>
            <w:tcW w:w="9040" w:type="dxa"/>
            <w:tcBorders>
              <w:bottom w:val="nil"/>
            </w:tcBorders>
          </w:tcPr>
          <w:p w:rsidR="004D7F59" w:rsidRDefault="004D7F59">
            <w:pPr>
              <w:pStyle w:val="TableParagraph"/>
              <w:rPr>
                <w:b/>
                <w:sz w:val="24"/>
              </w:rPr>
            </w:pPr>
          </w:p>
          <w:p w:rsidR="004D7F59" w:rsidRDefault="001A2400">
            <w:pPr>
              <w:pStyle w:val="TableParagraph"/>
              <w:ind w:left="108"/>
              <w:rPr>
                <w:b/>
                <w:sz w:val="24"/>
              </w:rPr>
            </w:pPr>
            <w:r>
              <w:rPr>
                <w:b/>
                <w:sz w:val="24"/>
              </w:rPr>
              <w:t>Resource DEL (revised)</w:t>
            </w:r>
          </w:p>
        </w:tc>
        <w:tc>
          <w:tcPr>
            <w:tcW w:w="993" w:type="dxa"/>
            <w:tcBorders>
              <w:bottom w:val="nil"/>
            </w:tcBorders>
          </w:tcPr>
          <w:p w:rsidR="004D7F59" w:rsidRDefault="004D7F59">
            <w:pPr>
              <w:pStyle w:val="TableParagraph"/>
              <w:rPr>
                <w:b/>
                <w:sz w:val="24"/>
              </w:rPr>
            </w:pPr>
          </w:p>
          <w:p w:rsidR="004D7F59" w:rsidRDefault="001A2400">
            <w:pPr>
              <w:pStyle w:val="TableParagraph"/>
              <w:ind w:left="149"/>
              <w:rPr>
                <w:b/>
                <w:sz w:val="24"/>
              </w:rPr>
            </w:pPr>
            <w:r>
              <w:rPr>
                <w:b/>
                <w:sz w:val="24"/>
              </w:rPr>
              <w:t>45,836</w:t>
            </w:r>
          </w:p>
        </w:tc>
      </w:tr>
      <w:tr w:rsidR="004D7F59">
        <w:trPr>
          <w:trHeight w:val="427"/>
        </w:trPr>
        <w:tc>
          <w:tcPr>
            <w:tcW w:w="9040" w:type="dxa"/>
            <w:tcBorders>
              <w:top w:val="nil"/>
              <w:bottom w:val="nil"/>
            </w:tcBorders>
          </w:tcPr>
          <w:p w:rsidR="004D7F59" w:rsidRDefault="001A2400">
            <w:pPr>
              <w:pStyle w:val="TableParagraph"/>
              <w:numPr>
                <w:ilvl w:val="0"/>
                <w:numId w:val="6"/>
              </w:numPr>
              <w:tabs>
                <w:tab w:val="left" w:pos="825"/>
                <w:tab w:val="left" w:pos="826"/>
              </w:tabs>
              <w:spacing w:before="137" w:line="270" w:lineRule="exact"/>
              <w:ind w:hanging="361"/>
              <w:rPr>
                <w:sz w:val="24"/>
              </w:rPr>
            </w:pPr>
            <w:r>
              <w:rPr>
                <w:sz w:val="24"/>
              </w:rPr>
              <w:t>to support the delivery of peatland restoration, conservation</w:t>
            </w:r>
            <w:r>
              <w:rPr>
                <w:spacing w:val="-12"/>
                <w:sz w:val="24"/>
              </w:rPr>
              <w:t xml:space="preserve"> </w:t>
            </w:r>
            <w:r>
              <w:rPr>
                <w:sz w:val="24"/>
              </w:rPr>
              <w:t>and</w:t>
            </w:r>
          </w:p>
        </w:tc>
        <w:tc>
          <w:tcPr>
            <w:tcW w:w="993" w:type="dxa"/>
            <w:tcBorders>
              <w:top w:val="nil"/>
              <w:bottom w:val="nil"/>
            </w:tcBorders>
          </w:tcPr>
          <w:p w:rsidR="004D7F59" w:rsidRDefault="004D7F59">
            <w:pPr>
              <w:pStyle w:val="TableParagraph"/>
              <w:rPr>
                <w:rFonts w:ascii="Times New Roman"/>
                <w:sz w:val="24"/>
              </w:rPr>
            </w:pPr>
          </w:p>
        </w:tc>
      </w:tr>
      <w:tr w:rsidR="004D7F59">
        <w:trPr>
          <w:trHeight w:val="278"/>
        </w:trPr>
        <w:tc>
          <w:tcPr>
            <w:tcW w:w="9040" w:type="dxa"/>
            <w:tcBorders>
              <w:top w:val="nil"/>
              <w:bottom w:val="nil"/>
            </w:tcBorders>
          </w:tcPr>
          <w:p w:rsidR="004D7F59" w:rsidRDefault="001A2400">
            <w:pPr>
              <w:pStyle w:val="TableParagraph"/>
              <w:spacing w:before="2" w:line="256" w:lineRule="exact"/>
              <w:ind w:left="821"/>
              <w:rPr>
                <w:sz w:val="24"/>
              </w:rPr>
            </w:pPr>
            <w:proofErr w:type="gramStart"/>
            <w:r>
              <w:rPr>
                <w:sz w:val="24"/>
              </w:rPr>
              <w:t>management</w:t>
            </w:r>
            <w:proofErr w:type="gramEnd"/>
            <w:r>
              <w:rPr>
                <w:sz w:val="24"/>
              </w:rPr>
              <w:t>, administered through NatureScot’s Peatland Action Fund.</w:t>
            </w:r>
          </w:p>
        </w:tc>
        <w:tc>
          <w:tcPr>
            <w:tcW w:w="993" w:type="dxa"/>
            <w:tcBorders>
              <w:top w:val="nil"/>
              <w:bottom w:val="nil"/>
            </w:tcBorders>
          </w:tcPr>
          <w:p w:rsidR="004D7F59" w:rsidRDefault="001A2400">
            <w:pPr>
              <w:pStyle w:val="TableParagraph"/>
              <w:spacing w:line="259" w:lineRule="exact"/>
              <w:ind w:right="96"/>
              <w:jc w:val="right"/>
              <w:rPr>
                <w:sz w:val="24"/>
              </w:rPr>
            </w:pPr>
            <w:r>
              <w:rPr>
                <w:sz w:val="24"/>
              </w:rPr>
              <w:t>3,524</w:t>
            </w:r>
          </w:p>
        </w:tc>
      </w:tr>
      <w:tr w:rsidR="004D7F59">
        <w:trPr>
          <w:trHeight w:val="297"/>
        </w:trPr>
        <w:tc>
          <w:tcPr>
            <w:tcW w:w="9040" w:type="dxa"/>
            <w:tcBorders>
              <w:top w:val="nil"/>
              <w:bottom w:val="nil"/>
            </w:tcBorders>
          </w:tcPr>
          <w:p w:rsidR="004D7F59" w:rsidRDefault="001A2400">
            <w:pPr>
              <w:pStyle w:val="TableParagraph"/>
              <w:numPr>
                <w:ilvl w:val="0"/>
                <w:numId w:val="5"/>
              </w:numPr>
              <w:tabs>
                <w:tab w:val="left" w:pos="828"/>
                <w:tab w:val="left" w:pos="829"/>
              </w:tabs>
              <w:spacing w:line="277" w:lineRule="exact"/>
              <w:ind w:hanging="361"/>
              <w:rPr>
                <w:sz w:val="24"/>
              </w:rPr>
            </w:pPr>
            <w:r>
              <w:rPr>
                <w:sz w:val="24"/>
              </w:rPr>
              <w:t>Scottish Government’s contribution (50%) to the grant award to</w:t>
            </w:r>
            <w:r>
              <w:rPr>
                <w:spacing w:val="-17"/>
                <w:sz w:val="24"/>
              </w:rPr>
              <w:t xml:space="preserve"> </w:t>
            </w:r>
            <w:r>
              <w:rPr>
                <w:sz w:val="24"/>
              </w:rPr>
              <w:t>TCV</w:t>
            </w:r>
          </w:p>
        </w:tc>
        <w:tc>
          <w:tcPr>
            <w:tcW w:w="993" w:type="dxa"/>
            <w:tcBorders>
              <w:top w:val="nil"/>
              <w:bottom w:val="nil"/>
            </w:tcBorders>
          </w:tcPr>
          <w:p w:rsidR="004D7F59" w:rsidRDefault="004D7F59">
            <w:pPr>
              <w:pStyle w:val="TableParagraph"/>
              <w:rPr>
                <w:rFonts w:ascii="Times New Roman"/>
              </w:rPr>
            </w:pPr>
          </w:p>
        </w:tc>
      </w:tr>
      <w:tr w:rsidR="004D7F59">
        <w:trPr>
          <w:trHeight w:val="547"/>
        </w:trPr>
        <w:tc>
          <w:tcPr>
            <w:tcW w:w="9040" w:type="dxa"/>
            <w:tcBorders>
              <w:top w:val="nil"/>
              <w:bottom w:val="nil"/>
            </w:tcBorders>
          </w:tcPr>
          <w:p w:rsidR="004D7F59" w:rsidRDefault="001A2400">
            <w:pPr>
              <w:pStyle w:val="TableParagraph"/>
              <w:spacing w:line="271" w:lineRule="exact"/>
              <w:ind w:left="828"/>
              <w:rPr>
                <w:sz w:val="24"/>
              </w:rPr>
            </w:pPr>
            <w:r>
              <w:rPr>
                <w:sz w:val="24"/>
              </w:rPr>
              <w:t>Scotland to be administered by NatureScot to help deliver objectives for</w:t>
            </w:r>
          </w:p>
          <w:p w:rsidR="004D7F59" w:rsidRDefault="001A2400">
            <w:pPr>
              <w:pStyle w:val="TableParagraph"/>
              <w:spacing w:line="256" w:lineRule="exact"/>
              <w:ind w:left="828"/>
              <w:rPr>
                <w:sz w:val="24"/>
              </w:rPr>
            </w:pPr>
            <w:proofErr w:type="gramStart"/>
            <w:r>
              <w:rPr>
                <w:sz w:val="24"/>
              </w:rPr>
              <w:t>environmental</w:t>
            </w:r>
            <w:proofErr w:type="gramEnd"/>
            <w:r>
              <w:rPr>
                <w:sz w:val="24"/>
              </w:rPr>
              <w:t xml:space="preserve"> volunteering and participation in the outdoors.</w:t>
            </w:r>
          </w:p>
        </w:tc>
        <w:tc>
          <w:tcPr>
            <w:tcW w:w="993" w:type="dxa"/>
            <w:tcBorders>
              <w:top w:val="nil"/>
              <w:bottom w:val="nil"/>
            </w:tcBorders>
          </w:tcPr>
          <w:p w:rsidR="004D7F59" w:rsidRDefault="004D7F59">
            <w:pPr>
              <w:pStyle w:val="TableParagraph"/>
              <w:spacing w:before="9"/>
              <w:rPr>
                <w:b/>
                <w:sz w:val="20"/>
              </w:rPr>
            </w:pPr>
          </w:p>
          <w:p w:rsidR="004D7F59" w:rsidRDefault="001A2400">
            <w:pPr>
              <w:pStyle w:val="TableParagraph"/>
              <w:spacing w:before="1"/>
              <w:ind w:right="95"/>
              <w:jc w:val="right"/>
              <w:rPr>
                <w:sz w:val="24"/>
              </w:rPr>
            </w:pPr>
            <w:r>
              <w:rPr>
                <w:w w:val="95"/>
                <w:sz w:val="24"/>
              </w:rPr>
              <w:t>170</w:t>
            </w:r>
          </w:p>
        </w:tc>
      </w:tr>
      <w:tr w:rsidR="004D7F59">
        <w:trPr>
          <w:trHeight w:val="297"/>
        </w:trPr>
        <w:tc>
          <w:tcPr>
            <w:tcW w:w="9040" w:type="dxa"/>
            <w:tcBorders>
              <w:top w:val="nil"/>
              <w:bottom w:val="nil"/>
            </w:tcBorders>
          </w:tcPr>
          <w:p w:rsidR="004D7F59" w:rsidRDefault="001A2400">
            <w:pPr>
              <w:pStyle w:val="TableParagraph"/>
              <w:numPr>
                <w:ilvl w:val="0"/>
                <w:numId w:val="4"/>
              </w:numPr>
              <w:tabs>
                <w:tab w:val="left" w:pos="825"/>
                <w:tab w:val="left" w:pos="826"/>
              </w:tabs>
              <w:spacing w:line="277" w:lineRule="exact"/>
              <w:ind w:hanging="361"/>
              <w:rPr>
                <w:sz w:val="24"/>
              </w:rPr>
            </w:pPr>
            <w:r>
              <w:rPr>
                <w:sz w:val="24"/>
              </w:rPr>
              <w:t>Scottish Government’s contribution to core funding of Scottish</w:t>
            </w:r>
            <w:r>
              <w:rPr>
                <w:spacing w:val="-24"/>
                <w:sz w:val="24"/>
              </w:rPr>
              <w:t xml:space="preserve"> </w:t>
            </w:r>
            <w:r>
              <w:rPr>
                <w:sz w:val="24"/>
              </w:rPr>
              <w:t>Environment</w:t>
            </w:r>
          </w:p>
        </w:tc>
        <w:tc>
          <w:tcPr>
            <w:tcW w:w="993" w:type="dxa"/>
            <w:tcBorders>
              <w:top w:val="nil"/>
              <w:bottom w:val="nil"/>
            </w:tcBorders>
          </w:tcPr>
          <w:p w:rsidR="004D7F59" w:rsidRDefault="004D7F59">
            <w:pPr>
              <w:pStyle w:val="TableParagraph"/>
              <w:rPr>
                <w:rFonts w:ascii="Times New Roman"/>
              </w:rPr>
            </w:pPr>
          </w:p>
        </w:tc>
      </w:tr>
      <w:tr w:rsidR="004D7F59">
        <w:trPr>
          <w:trHeight w:val="546"/>
        </w:trPr>
        <w:tc>
          <w:tcPr>
            <w:tcW w:w="9040" w:type="dxa"/>
            <w:tcBorders>
              <w:top w:val="nil"/>
              <w:bottom w:val="nil"/>
            </w:tcBorders>
          </w:tcPr>
          <w:p w:rsidR="004D7F59" w:rsidRDefault="001A2400">
            <w:pPr>
              <w:pStyle w:val="TableParagraph"/>
              <w:spacing w:line="271" w:lineRule="exact"/>
              <w:ind w:left="821"/>
              <w:rPr>
                <w:sz w:val="24"/>
              </w:rPr>
            </w:pPr>
            <w:r>
              <w:rPr>
                <w:sz w:val="24"/>
              </w:rPr>
              <w:t>LINK, to be administered by NatureScot, to provide a consolidated input into</w:t>
            </w:r>
          </w:p>
          <w:p w:rsidR="004D7F59" w:rsidRDefault="001A2400">
            <w:pPr>
              <w:pStyle w:val="TableParagraph"/>
              <w:spacing w:line="255" w:lineRule="exact"/>
              <w:ind w:left="821"/>
              <w:rPr>
                <w:sz w:val="24"/>
              </w:rPr>
            </w:pPr>
            <w:r>
              <w:rPr>
                <w:sz w:val="24"/>
              </w:rPr>
              <w:t>policy development on behalf of its membership of environmental NGOs</w:t>
            </w:r>
          </w:p>
        </w:tc>
        <w:tc>
          <w:tcPr>
            <w:tcW w:w="993" w:type="dxa"/>
            <w:tcBorders>
              <w:top w:val="nil"/>
              <w:bottom w:val="nil"/>
            </w:tcBorders>
          </w:tcPr>
          <w:p w:rsidR="004D7F59" w:rsidRDefault="001A2400">
            <w:pPr>
              <w:pStyle w:val="TableParagraph"/>
              <w:spacing w:before="220"/>
              <w:ind w:right="98"/>
              <w:jc w:val="right"/>
              <w:rPr>
                <w:sz w:val="24"/>
              </w:rPr>
            </w:pPr>
            <w:r>
              <w:rPr>
                <w:w w:val="95"/>
                <w:sz w:val="24"/>
              </w:rPr>
              <w:t>38</w:t>
            </w:r>
          </w:p>
        </w:tc>
      </w:tr>
      <w:tr w:rsidR="004D7F59">
        <w:trPr>
          <w:trHeight w:val="296"/>
        </w:trPr>
        <w:tc>
          <w:tcPr>
            <w:tcW w:w="9040" w:type="dxa"/>
            <w:tcBorders>
              <w:top w:val="nil"/>
              <w:bottom w:val="nil"/>
            </w:tcBorders>
          </w:tcPr>
          <w:p w:rsidR="004D7F59" w:rsidRDefault="001A2400">
            <w:pPr>
              <w:pStyle w:val="TableParagraph"/>
              <w:numPr>
                <w:ilvl w:val="0"/>
                <w:numId w:val="3"/>
              </w:numPr>
              <w:tabs>
                <w:tab w:val="left" w:pos="825"/>
                <w:tab w:val="left" w:pos="826"/>
              </w:tabs>
              <w:spacing w:line="276" w:lineRule="exact"/>
              <w:ind w:hanging="361"/>
              <w:rPr>
                <w:sz w:val="24"/>
              </w:rPr>
            </w:pPr>
            <w:r>
              <w:rPr>
                <w:sz w:val="24"/>
              </w:rPr>
              <w:t>NatureScot’s funding to Scottish Government’s Directorate for</w:t>
            </w:r>
            <w:r>
              <w:rPr>
                <w:spacing w:val="-20"/>
                <w:sz w:val="24"/>
              </w:rPr>
              <w:t xml:space="preserve"> </w:t>
            </w:r>
            <w:r>
              <w:rPr>
                <w:sz w:val="24"/>
              </w:rPr>
              <w:t>Agriculture,</w:t>
            </w:r>
          </w:p>
        </w:tc>
        <w:tc>
          <w:tcPr>
            <w:tcW w:w="993" w:type="dxa"/>
            <w:tcBorders>
              <w:top w:val="nil"/>
              <w:bottom w:val="nil"/>
            </w:tcBorders>
          </w:tcPr>
          <w:p w:rsidR="004D7F59" w:rsidRDefault="004D7F59">
            <w:pPr>
              <w:pStyle w:val="TableParagraph"/>
              <w:rPr>
                <w:rFonts w:ascii="Times New Roman"/>
              </w:rPr>
            </w:pPr>
          </w:p>
        </w:tc>
      </w:tr>
      <w:tr w:rsidR="004D7F59">
        <w:trPr>
          <w:trHeight w:val="656"/>
        </w:trPr>
        <w:tc>
          <w:tcPr>
            <w:tcW w:w="9040" w:type="dxa"/>
            <w:tcBorders>
              <w:top w:val="nil"/>
              <w:bottom w:val="nil"/>
            </w:tcBorders>
          </w:tcPr>
          <w:p w:rsidR="004D7F59" w:rsidRDefault="001A2400">
            <w:pPr>
              <w:pStyle w:val="TableParagraph"/>
              <w:ind w:left="821"/>
              <w:rPr>
                <w:sz w:val="24"/>
              </w:rPr>
            </w:pPr>
            <w:r>
              <w:rPr>
                <w:sz w:val="24"/>
              </w:rPr>
              <w:t xml:space="preserve">and Rural Economy to contribute to the SRDP to deliver </w:t>
            </w:r>
            <w:proofErr w:type="spellStart"/>
            <w:r>
              <w:rPr>
                <w:sz w:val="24"/>
              </w:rPr>
              <w:t>Agri</w:t>
            </w:r>
            <w:proofErr w:type="spellEnd"/>
            <w:r>
              <w:rPr>
                <w:sz w:val="24"/>
              </w:rPr>
              <w:t>-environment priorities in the 2020-21 Programme</w:t>
            </w:r>
          </w:p>
        </w:tc>
        <w:tc>
          <w:tcPr>
            <w:tcW w:w="993" w:type="dxa"/>
            <w:tcBorders>
              <w:top w:val="nil"/>
              <w:bottom w:val="nil"/>
            </w:tcBorders>
          </w:tcPr>
          <w:p w:rsidR="004D7F59" w:rsidRDefault="001A2400">
            <w:pPr>
              <w:pStyle w:val="TableParagraph"/>
              <w:spacing w:before="206"/>
              <w:ind w:left="122"/>
              <w:rPr>
                <w:sz w:val="24"/>
              </w:rPr>
            </w:pPr>
            <w:r>
              <w:rPr>
                <w:sz w:val="24"/>
              </w:rPr>
              <w:t>(1,200)</w:t>
            </w:r>
          </w:p>
        </w:tc>
      </w:tr>
      <w:tr w:rsidR="004D7F59">
        <w:trPr>
          <w:trHeight w:val="713"/>
        </w:trPr>
        <w:tc>
          <w:tcPr>
            <w:tcW w:w="9040" w:type="dxa"/>
            <w:tcBorders>
              <w:top w:val="nil"/>
            </w:tcBorders>
          </w:tcPr>
          <w:p w:rsidR="004D7F59" w:rsidRDefault="001A2400">
            <w:pPr>
              <w:pStyle w:val="TableParagraph"/>
              <w:spacing w:before="166"/>
              <w:ind w:left="108"/>
              <w:rPr>
                <w:b/>
                <w:sz w:val="24"/>
              </w:rPr>
            </w:pPr>
            <w:r>
              <w:rPr>
                <w:b/>
                <w:sz w:val="24"/>
              </w:rPr>
              <w:t>Resource DEL (revised)</w:t>
            </w:r>
          </w:p>
        </w:tc>
        <w:tc>
          <w:tcPr>
            <w:tcW w:w="993" w:type="dxa"/>
            <w:tcBorders>
              <w:top w:val="nil"/>
            </w:tcBorders>
          </w:tcPr>
          <w:p w:rsidR="004D7F59" w:rsidRDefault="001A2400">
            <w:pPr>
              <w:pStyle w:val="TableParagraph"/>
              <w:spacing w:before="102"/>
              <w:ind w:left="108"/>
              <w:rPr>
                <w:b/>
                <w:sz w:val="24"/>
              </w:rPr>
            </w:pPr>
            <w:r>
              <w:rPr>
                <w:b/>
                <w:sz w:val="24"/>
              </w:rPr>
              <w:t>48,368</w:t>
            </w:r>
          </w:p>
        </w:tc>
      </w:tr>
      <w:tr w:rsidR="004D7F59">
        <w:trPr>
          <w:trHeight w:val="688"/>
        </w:trPr>
        <w:tc>
          <w:tcPr>
            <w:tcW w:w="9040" w:type="dxa"/>
            <w:tcBorders>
              <w:bottom w:val="nil"/>
            </w:tcBorders>
          </w:tcPr>
          <w:p w:rsidR="004D7F59" w:rsidRDefault="004D7F59">
            <w:pPr>
              <w:pStyle w:val="TableParagraph"/>
              <w:spacing w:before="9"/>
              <w:rPr>
                <w:b/>
                <w:sz w:val="23"/>
              </w:rPr>
            </w:pPr>
          </w:p>
          <w:p w:rsidR="004D7F59" w:rsidRDefault="001A2400">
            <w:pPr>
              <w:pStyle w:val="TableParagraph"/>
              <w:ind w:left="108"/>
              <w:rPr>
                <w:b/>
                <w:sz w:val="24"/>
              </w:rPr>
            </w:pPr>
            <w:r>
              <w:rPr>
                <w:b/>
                <w:sz w:val="24"/>
              </w:rPr>
              <w:t>Capital DEL (original)</w:t>
            </w:r>
          </w:p>
        </w:tc>
        <w:tc>
          <w:tcPr>
            <w:tcW w:w="993" w:type="dxa"/>
            <w:tcBorders>
              <w:bottom w:val="nil"/>
            </w:tcBorders>
          </w:tcPr>
          <w:p w:rsidR="004D7F59" w:rsidRDefault="004D7F59">
            <w:pPr>
              <w:pStyle w:val="TableParagraph"/>
              <w:spacing w:before="9"/>
              <w:rPr>
                <w:b/>
                <w:sz w:val="23"/>
              </w:rPr>
            </w:pPr>
          </w:p>
          <w:p w:rsidR="004D7F59" w:rsidRDefault="001A2400">
            <w:pPr>
              <w:pStyle w:val="TableParagraph"/>
              <w:ind w:right="96"/>
              <w:jc w:val="right"/>
              <w:rPr>
                <w:b/>
                <w:sz w:val="24"/>
              </w:rPr>
            </w:pPr>
            <w:r>
              <w:rPr>
                <w:b/>
                <w:sz w:val="24"/>
              </w:rPr>
              <w:t>1,000</w:t>
            </w:r>
          </w:p>
        </w:tc>
      </w:tr>
      <w:tr w:rsidR="004D7F59">
        <w:trPr>
          <w:trHeight w:val="426"/>
        </w:trPr>
        <w:tc>
          <w:tcPr>
            <w:tcW w:w="9040" w:type="dxa"/>
            <w:tcBorders>
              <w:top w:val="nil"/>
              <w:bottom w:val="nil"/>
            </w:tcBorders>
          </w:tcPr>
          <w:p w:rsidR="004D7F59" w:rsidRDefault="001A2400">
            <w:pPr>
              <w:pStyle w:val="TableParagraph"/>
              <w:numPr>
                <w:ilvl w:val="0"/>
                <w:numId w:val="2"/>
              </w:numPr>
              <w:tabs>
                <w:tab w:val="left" w:pos="828"/>
                <w:tab w:val="left" w:pos="829"/>
              </w:tabs>
              <w:spacing w:before="138" w:line="269" w:lineRule="exact"/>
              <w:ind w:hanging="361"/>
              <w:rPr>
                <w:sz w:val="24"/>
              </w:rPr>
            </w:pPr>
            <w:r>
              <w:rPr>
                <w:sz w:val="24"/>
              </w:rPr>
              <w:t>to support the delivery of peatland restoration, conservation</w:t>
            </w:r>
            <w:r>
              <w:rPr>
                <w:spacing w:val="-12"/>
                <w:sz w:val="24"/>
              </w:rPr>
              <w:t xml:space="preserve"> </w:t>
            </w:r>
            <w:r>
              <w:rPr>
                <w:sz w:val="24"/>
              </w:rPr>
              <w:t>and</w:t>
            </w:r>
          </w:p>
        </w:tc>
        <w:tc>
          <w:tcPr>
            <w:tcW w:w="993" w:type="dxa"/>
            <w:tcBorders>
              <w:top w:val="nil"/>
              <w:bottom w:val="nil"/>
            </w:tcBorders>
          </w:tcPr>
          <w:p w:rsidR="004D7F59" w:rsidRDefault="004D7F59">
            <w:pPr>
              <w:pStyle w:val="TableParagraph"/>
              <w:rPr>
                <w:rFonts w:ascii="Times New Roman"/>
                <w:sz w:val="24"/>
              </w:rPr>
            </w:pPr>
          </w:p>
        </w:tc>
      </w:tr>
      <w:tr w:rsidR="004D7F59">
        <w:trPr>
          <w:trHeight w:val="279"/>
        </w:trPr>
        <w:tc>
          <w:tcPr>
            <w:tcW w:w="9040" w:type="dxa"/>
            <w:tcBorders>
              <w:top w:val="nil"/>
              <w:bottom w:val="nil"/>
            </w:tcBorders>
          </w:tcPr>
          <w:p w:rsidR="004D7F59" w:rsidRDefault="001A2400">
            <w:pPr>
              <w:pStyle w:val="TableParagraph"/>
              <w:spacing w:before="3" w:line="256" w:lineRule="exact"/>
              <w:ind w:left="828"/>
              <w:rPr>
                <w:sz w:val="24"/>
              </w:rPr>
            </w:pPr>
            <w:proofErr w:type="gramStart"/>
            <w:r>
              <w:rPr>
                <w:sz w:val="24"/>
              </w:rPr>
              <w:t>management</w:t>
            </w:r>
            <w:proofErr w:type="gramEnd"/>
            <w:r>
              <w:rPr>
                <w:sz w:val="24"/>
              </w:rPr>
              <w:t>, administered through NatureScot’s Peatland Action Fund.</w:t>
            </w:r>
          </w:p>
        </w:tc>
        <w:tc>
          <w:tcPr>
            <w:tcW w:w="993" w:type="dxa"/>
            <w:tcBorders>
              <w:top w:val="nil"/>
              <w:bottom w:val="nil"/>
            </w:tcBorders>
          </w:tcPr>
          <w:p w:rsidR="004D7F59" w:rsidRDefault="001A2400">
            <w:pPr>
              <w:pStyle w:val="TableParagraph"/>
              <w:spacing w:line="260" w:lineRule="exact"/>
              <w:ind w:right="96"/>
              <w:jc w:val="right"/>
              <w:rPr>
                <w:sz w:val="24"/>
              </w:rPr>
            </w:pPr>
            <w:r>
              <w:rPr>
                <w:sz w:val="24"/>
              </w:rPr>
              <w:t>3,883</w:t>
            </w:r>
          </w:p>
        </w:tc>
      </w:tr>
      <w:tr w:rsidR="004D7F59">
        <w:trPr>
          <w:trHeight w:val="297"/>
        </w:trPr>
        <w:tc>
          <w:tcPr>
            <w:tcW w:w="9040" w:type="dxa"/>
            <w:tcBorders>
              <w:top w:val="nil"/>
              <w:bottom w:val="nil"/>
            </w:tcBorders>
          </w:tcPr>
          <w:p w:rsidR="004D7F59" w:rsidRDefault="001A2400">
            <w:pPr>
              <w:pStyle w:val="TableParagraph"/>
              <w:numPr>
                <w:ilvl w:val="0"/>
                <w:numId w:val="1"/>
              </w:numPr>
              <w:tabs>
                <w:tab w:val="left" w:pos="828"/>
                <w:tab w:val="left" w:pos="829"/>
              </w:tabs>
              <w:spacing w:line="277" w:lineRule="exact"/>
              <w:ind w:hanging="361"/>
              <w:rPr>
                <w:sz w:val="24"/>
              </w:rPr>
            </w:pPr>
            <w:r>
              <w:rPr>
                <w:sz w:val="24"/>
              </w:rPr>
              <w:t xml:space="preserve">to fund (through the </w:t>
            </w:r>
            <w:proofErr w:type="spellStart"/>
            <w:r>
              <w:rPr>
                <w:sz w:val="24"/>
              </w:rPr>
              <w:t>GovTech</w:t>
            </w:r>
            <w:proofErr w:type="spellEnd"/>
            <w:r>
              <w:rPr>
                <w:sz w:val="24"/>
              </w:rPr>
              <w:t xml:space="preserve"> Catalyst Challenge Programme) phase 2</w:t>
            </w:r>
            <w:r>
              <w:rPr>
                <w:spacing w:val="-22"/>
                <w:sz w:val="24"/>
              </w:rPr>
              <w:t xml:space="preserve"> </w:t>
            </w:r>
            <w:r>
              <w:rPr>
                <w:sz w:val="24"/>
              </w:rPr>
              <w:t>of</w:t>
            </w:r>
          </w:p>
        </w:tc>
        <w:tc>
          <w:tcPr>
            <w:tcW w:w="993" w:type="dxa"/>
            <w:tcBorders>
              <w:top w:val="nil"/>
              <w:bottom w:val="nil"/>
            </w:tcBorders>
          </w:tcPr>
          <w:p w:rsidR="004D7F59" w:rsidRDefault="004D7F59">
            <w:pPr>
              <w:pStyle w:val="TableParagraph"/>
              <w:rPr>
                <w:rFonts w:ascii="Times New Roman"/>
              </w:rPr>
            </w:pPr>
          </w:p>
        </w:tc>
      </w:tr>
      <w:tr w:rsidR="004D7F59">
        <w:trPr>
          <w:trHeight w:val="672"/>
        </w:trPr>
        <w:tc>
          <w:tcPr>
            <w:tcW w:w="9040" w:type="dxa"/>
            <w:tcBorders>
              <w:top w:val="nil"/>
              <w:bottom w:val="nil"/>
            </w:tcBorders>
          </w:tcPr>
          <w:p w:rsidR="004D7F59" w:rsidRDefault="001A2400">
            <w:pPr>
              <w:pStyle w:val="TableParagraph"/>
              <w:ind w:left="828" w:right="230"/>
              <w:rPr>
                <w:sz w:val="24"/>
              </w:rPr>
            </w:pPr>
            <w:r>
              <w:rPr>
                <w:sz w:val="24"/>
              </w:rPr>
              <w:t>development of an on-line platform to better inform decision making on use of Scotland’s protected areas</w:t>
            </w:r>
          </w:p>
        </w:tc>
        <w:tc>
          <w:tcPr>
            <w:tcW w:w="993" w:type="dxa"/>
            <w:tcBorders>
              <w:top w:val="nil"/>
              <w:bottom w:val="nil"/>
            </w:tcBorders>
          </w:tcPr>
          <w:p w:rsidR="004D7F59" w:rsidRDefault="004D7F59">
            <w:pPr>
              <w:pStyle w:val="TableParagraph"/>
              <w:spacing w:before="7"/>
              <w:rPr>
                <w:b/>
                <w:sz w:val="20"/>
              </w:rPr>
            </w:pPr>
          </w:p>
          <w:p w:rsidR="004D7F59" w:rsidRDefault="001A2400">
            <w:pPr>
              <w:pStyle w:val="TableParagraph"/>
              <w:ind w:right="95"/>
              <w:jc w:val="right"/>
              <w:rPr>
                <w:sz w:val="24"/>
              </w:rPr>
            </w:pPr>
            <w:r>
              <w:rPr>
                <w:w w:val="95"/>
                <w:sz w:val="24"/>
              </w:rPr>
              <w:t>490</w:t>
            </w:r>
          </w:p>
        </w:tc>
      </w:tr>
      <w:tr w:rsidR="004D7F59">
        <w:trPr>
          <w:trHeight w:val="428"/>
        </w:trPr>
        <w:tc>
          <w:tcPr>
            <w:tcW w:w="9040" w:type="dxa"/>
            <w:tcBorders>
              <w:top w:val="nil"/>
            </w:tcBorders>
          </w:tcPr>
          <w:p w:rsidR="004D7F59" w:rsidRDefault="001A2400">
            <w:pPr>
              <w:pStyle w:val="TableParagraph"/>
              <w:spacing w:before="151" w:line="258" w:lineRule="exact"/>
              <w:ind w:left="108"/>
              <w:rPr>
                <w:b/>
                <w:sz w:val="24"/>
              </w:rPr>
            </w:pPr>
            <w:r>
              <w:rPr>
                <w:b/>
                <w:sz w:val="24"/>
              </w:rPr>
              <w:t>Capital DEL (revised)</w:t>
            </w:r>
          </w:p>
        </w:tc>
        <w:tc>
          <w:tcPr>
            <w:tcW w:w="993" w:type="dxa"/>
            <w:tcBorders>
              <w:top w:val="nil"/>
            </w:tcBorders>
          </w:tcPr>
          <w:p w:rsidR="004D7F59" w:rsidRDefault="001A2400">
            <w:pPr>
              <w:pStyle w:val="TableParagraph"/>
              <w:spacing w:before="117"/>
              <w:ind w:right="96"/>
              <w:jc w:val="right"/>
              <w:rPr>
                <w:b/>
                <w:sz w:val="24"/>
              </w:rPr>
            </w:pPr>
            <w:r>
              <w:rPr>
                <w:b/>
                <w:sz w:val="24"/>
              </w:rPr>
              <w:t>5,373</w:t>
            </w:r>
          </w:p>
        </w:tc>
      </w:tr>
    </w:tbl>
    <w:p w:rsidR="004D7F59" w:rsidRDefault="004D7F59">
      <w:pPr>
        <w:pStyle w:val="BodyText"/>
        <w:rPr>
          <w:b/>
          <w:sz w:val="26"/>
        </w:rPr>
      </w:pPr>
    </w:p>
    <w:p w:rsidR="004D7F59" w:rsidRDefault="00FC219D">
      <w:pPr>
        <w:tabs>
          <w:tab w:val="left" w:pos="4708"/>
          <w:tab w:val="left" w:pos="8678"/>
        </w:tabs>
        <w:spacing w:before="172" w:line="908" w:lineRule="exact"/>
        <w:ind w:left="305"/>
        <w:rPr>
          <w:sz w:val="32"/>
        </w:rPr>
      </w:pPr>
      <w:hyperlink r:id="rId13">
        <w:r w:rsidR="001A2400">
          <w:rPr>
            <w:rFonts w:ascii="Lucida Sans" w:hAnsi="Lucida Sans"/>
            <w:spacing w:val="-3"/>
            <w:w w:val="112"/>
            <w:position w:val="3"/>
            <w:sz w:val="19"/>
          </w:rPr>
          <w:t>www</w:t>
        </w:r>
        <w:r w:rsidR="001A2400">
          <w:rPr>
            <w:rFonts w:ascii="Lucida Sans" w:hAnsi="Lucida Sans"/>
            <w:spacing w:val="-3"/>
            <w:w w:val="79"/>
            <w:position w:val="3"/>
            <w:sz w:val="19"/>
          </w:rPr>
          <w:t>.</w:t>
        </w:r>
        <w:r w:rsidR="001A2400">
          <w:rPr>
            <w:rFonts w:ascii="Lucida Sans" w:hAnsi="Lucida Sans"/>
            <w:spacing w:val="-4"/>
            <w:w w:val="91"/>
            <w:position w:val="3"/>
            <w:sz w:val="19"/>
          </w:rPr>
          <w:t>g</w:t>
        </w:r>
        <w:r w:rsidR="001A2400">
          <w:rPr>
            <w:rFonts w:ascii="Lucida Sans" w:hAnsi="Lucida Sans"/>
            <w:w w:val="99"/>
            <w:position w:val="3"/>
            <w:sz w:val="19"/>
          </w:rPr>
          <w:t>o</w:t>
        </w:r>
        <w:r w:rsidR="001A2400">
          <w:rPr>
            <w:rFonts w:ascii="Lucida Sans" w:hAnsi="Lucida Sans"/>
            <w:spacing w:val="-4"/>
            <w:w w:val="123"/>
            <w:position w:val="3"/>
            <w:sz w:val="19"/>
          </w:rPr>
          <w:t>v</w:t>
        </w:r>
        <w:r w:rsidR="001A2400">
          <w:rPr>
            <w:rFonts w:ascii="Lucida Sans" w:hAnsi="Lucida Sans"/>
            <w:spacing w:val="-3"/>
            <w:w w:val="79"/>
            <w:position w:val="3"/>
            <w:sz w:val="19"/>
          </w:rPr>
          <w:t>.</w:t>
        </w:r>
        <w:r w:rsidR="001A2400">
          <w:rPr>
            <w:rFonts w:ascii="Lucida Sans" w:hAnsi="Lucida Sans"/>
            <w:w w:val="96"/>
            <w:position w:val="3"/>
            <w:sz w:val="19"/>
          </w:rPr>
          <w:t>s</w:t>
        </w:r>
        <w:r w:rsidR="001A2400">
          <w:rPr>
            <w:rFonts w:ascii="Lucida Sans" w:hAnsi="Lucida Sans"/>
            <w:spacing w:val="-4"/>
            <w:w w:val="96"/>
            <w:position w:val="3"/>
            <w:sz w:val="19"/>
          </w:rPr>
          <w:t>c</w:t>
        </w:r>
        <w:r w:rsidR="001A2400">
          <w:rPr>
            <w:rFonts w:ascii="Lucida Sans" w:hAnsi="Lucida Sans"/>
            <w:spacing w:val="-2"/>
            <w:w w:val="99"/>
            <w:position w:val="3"/>
            <w:sz w:val="19"/>
          </w:rPr>
          <w:t>o</w:t>
        </w:r>
        <w:r w:rsidR="001A2400">
          <w:rPr>
            <w:rFonts w:ascii="Lucida Sans" w:hAnsi="Lucida Sans"/>
            <w:w w:val="104"/>
            <w:position w:val="3"/>
            <w:sz w:val="19"/>
          </w:rPr>
          <w:t>t</w:t>
        </w:r>
      </w:hyperlink>
      <w:r w:rsidR="001A2400">
        <w:rPr>
          <w:rFonts w:ascii="Lucida Sans" w:hAnsi="Lucida Sans"/>
          <w:position w:val="3"/>
          <w:sz w:val="19"/>
        </w:rPr>
        <w:tab/>
      </w:r>
    </w:p>
    <w:sectPr w:rsidR="004D7F59">
      <w:pgSz w:w="11910" w:h="16840"/>
      <w:pgMar w:top="740" w:right="500" w:bottom="660" w:left="940" w:header="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9D" w:rsidRDefault="00FC219D">
      <w:r>
        <w:separator/>
      </w:r>
    </w:p>
  </w:endnote>
  <w:endnote w:type="continuationSeparator" w:id="0">
    <w:p w:rsidR="00FC219D" w:rsidRDefault="00FC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9" w:rsidRDefault="00FC219D">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61.3pt;margin-top:776.95pt;width:163.75pt;height:11.5pt;z-index:-251658752;mso-position-horizontal-relative:page;mso-position-vertical-relative:page" filled="f" stroked="f">
          <v:textbox inset="0,0,0,0">
            <w:txbxContent>
              <w:p w:rsidR="004D7F59" w:rsidRDefault="001A2400">
                <w:pPr>
                  <w:spacing w:line="209" w:lineRule="exact"/>
                  <w:ind w:left="20"/>
                  <w:rPr>
                    <w:rFonts w:ascii="Lucida Sans"/>
                    <w:sz w:val="19"/>
                  </w:rPr>
                </w:pPr>
                <w:r>
                  <w:rPr>
                    <w:rFonts w:ascii="Lucida Sans"/>
                    <w:sz w:val="19"/>
                  </w:rPr>
                  <w:t>Victoria Quay, Edinburgh EH6 6QQ</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9D" w:rsidRDefault="00FC219D">
      <w:r>
        <w:separator/>
      </w:r>
    </w:p>
  </w:footnote>
  <w:footnote w:type="continuationSeparator" w:id="0">
    <w:p w:rsidR="00FC219D" w:rsidRDefault="00FC2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9AF"/>
    <w:multiLevelType w:val="hybridMultilevel"/>
    <w:tmpl w:val="E1029936"/>
    <w:lvl w:ilvl="0" w:tplc="17B6286E">
      <w:numFmt w:val="bullet"/>
      <w:lvlText w:val=""/>
      <w:lvlJc w:val="left"/>
      <w:pPr>
        <w:ind w:left="825" w:hanging="360"/>
      </w:pPr>
      <w:rPr>
        <w:rFonts w:ascii="Symbol" w:eastAsia="Symbol" w:hAnsi="Symbol" w:cs="Symbol" w:hint="default"/>
        <w:w w:val="100"/>
        <w:sz w:val="24"/>
        <w:szCs w:val="24"/>
        <w:lang w:val="en-GB" w:eastAsia="en-GB" w:bidi="en-GB"/>
      </w:rPr>
    </w:lvl>
    <w:lvl w:ilvl="1" w:tplc="68D646A4">
      <w:numFmt w:val="bullet"/>
      <w:lvlText w:val="•"/>
      <w:lvlJc w:val="left"/>
      <w:pPr>
        <w:ind w:left="1641" w:hanging="360"/>
      </w:pPr>
      <w:rPr>
        <w:rFonts w:hint="default"/>
        <w:lang w:val="en-GB" w:eastAsia="en-GB" w:bidi="en-GB"/>
      </w:rPr>
    </w:lvl>
    <w:lvl w:ilvl="2" w:tplc="7898C6E8">
      <w:numFmt w:val="bullet"/>
      <w:lvlText w:val="•"/>
      <w:lvlJc w:val="left"/>
      <w:pPr>
        <w:ind w:left="2462" w:hanging="360"/>
      </w:pPr>
      <w:rPr>
        <w:rFonts w:hint="default"/>
        <w:lang w:val="en-GB" w:eastAsia="en-GB" w:bidi="en-GB"/>
      </w:rPr>
    </w:lvl>
    <w:lvl w:ilvl="3" w:tplc="3170EE78">
      <w:numFmt w:val="bullet"/>
      <w:lvlText w:val="•"/>
      <w:lvlJc w:val="left"/>
      <w:pPr>
        <w:ind w:left="3283" w:hanging="360"/>
      </w:pPr>
      <w:rPr>
        <w:rFonts w:hint="default"/>
        <w:lang w:val="en-GB" w:eastAsia="en-GB" w:bidi="en-GB"/>
      </w:rPr>
    </w:lvl>
    <w:lvl w:ilvl="4" w:tplc="1EA4CBFA">
      <w:numFmt w:val="bullet"/>
      <w:lvlText w:val="•"/>
      <w:lvlJc w:val="left"/>
      <w:pPr>
        <w:ind w:left="4104" w:hanging="360"/>
      </w:pPr>
      <w:rPr>
        <w:rFonts w:hint="default"/>
        <w:lang w:val="en-GB" w:eastAsia="en-GB" w:bidi="en-GB"/>
      </w:rPr>
    </w:lvl>
    <w:lvl w:ilvl="5" w:tplc="B4A23ADE">
      <w:numFmt w:val="bullet"/>
      <w:lvlText w:val="•"/>
      <w:lvlJc w:val="left"/>
      <w:pPr>
        <w:ind w:left="4925" w:hanging="360"/>
      </w:pPr>
      <w:rPr>
        <w:rFonts w:hint="default"/>
        <w:lang w:val="en-GB" w:eastAsia="en-GB" w:bidi="en-GB"/>
      </w:rPr>
    </w:lvl>
    <w:lvl w:ilvl="6" w:tplc="E32E1358">
      <w:numFmt w:val="bullet"/>
      <w:lvlText w:val="•"/>
      <w:lvlJc w:val="left"/>
      <w:pPr>
        <w:ind w:left="5746" w:hanging="360"/>
      </w:pPr>
      <w:rPr>
        <w:rFonts w:hint="default"/>
        <w:lang w:val="en-GB" w:eastAsia="en-GB" w:bidi="en-GB"/>
      </w:rPr>
    </w:lvl>
    <w:lvl w:ilvl="7" w:tplc="57A49478">
      <w:numFmt w:val="bullet"/>
      <w:lvlText w:val="•"/>
      <w:lvlJc w:val="left"/>
      <w:pPr>
        <w:ind w:left="6567" w:hanging="360"/>
      </w:pPr>
      <w:rPr>
        <w:rFonts w:hint="default"/>
        <w:lang w:val="en-GB" w:eastAsia="en-GB" w:bidi="en-GB"/>
      </w:rPr>
    </w:lvl>
    <w:lvl w:ilvl="8" w:tplc="43A68606">
      <w:numFmt w:val="bullet"/>
      <w:lvlText w:val="•"/>
      <w:lvlJc w:val="left"/>
      <w:pPr>
        <w:ind w:left="7388" w:hanging="360"/>
      </w:pPr>
      <w:rPr>
        <w:rFonts w:hint="default"/>
        <w:lang w:val="en-GB" w:eastAsia="en-GB" w:bidi="en-GB"/>
      </w:rPr>
    </w:lvl>
  </w:abstractNum>
  <w:abstractNum w:abstractNumId="1" w15:restartNumberingAfterBreak="0">
    <w:nsid w:val="042529A1"/>
    <w:multiLevelType w:val="hybridMultilevel"/>
    <w:tmpl w:val="67581F54"/>
    <w:lvl w:ilvl="0" w:tplc="60587FBC">
      <w:numFmt w:val="bullet"/>
      <w:lvlText w:val=""/>
      <w:lvlJc w:val="left"/>
      <w:pPr>
        <w:ind w:left="828" w:hanging="360"/>
      </w:pPr>
      <w:rPr>
        <w:rFonts w:ascii="Symbol" w:eastAsia="Symbol" w:hAnsi="Symbol" w:cs="Symbol" w:hint="default"/>
        <w:w w:val="100"/>
        <w:sz w:val="24"/>
        <w:szCs w:val="24"/>
        <w:lang w:val="en-GB" w:eastAsia="en-GB" w:bidi="en-GB"/>
      </w:rPr>
    </w:lvl>
    <w:lvl w:ilvl="1" w:tplc="F702AFCC">
      <w:numFmt w:val="bullet"/>
      <w:lvlText w:val="•"/>
      <w:lvlJc w:val="left"/>
      <w:pPr>
        <w:ind w:left="1641" w:hanging="360"/>
      </w:pPr>
      <w:rPr>
        <w:rFonts w:hint="default"/>
        <w:lang w:val="en-GB" w:eastAsia="en-GB" w:bidi="en-GB"/>
      </w:rPr>
    </w:lvl>
    <w:lvl w:ilvl="2" w:tplc="BB1CC19C">
      <w:numFmt w:val="bullet"/>
      <w:lvlText w:val="•"/>
      <w:lvlJc w:val="left"/>
      <w:pPr>
        <w:ind w:left="2462" w:hanging="360"/>
      </w:pPr>
      <w:rPr>
        <w:rFonts w:hint="default"/>
        <w:lang w:val="en-GB" w:eastAsia="en-GB" w:bidi="en-GB"/>
      </w:rPr>
    </w:lvl>
    <w:lvl w:ilvl="3" w:tplc="F724C56C">
      <w:numFmt w:val="bullet"/>
      <w:lvlText w:val="•"/>
      <w:lvlJc w:val="left"/>
      <w:pPr>
        <w:ind w:left="3283" w:hanging="360"/>
      </w:pPr>
      <w:rPr>
        <w:rFonts w:hint="default"/>
        <w:lang w:val="en-GB" w:eastAsia="en-GB" w:bidi="en-GB"/>
      </w:rPr>
    </w:lvl>
    <w:lvl w:ilvl="4" w:tplc="37C25C14">
      <w:numFmt w:val="bullet"/>
      <w:lvlText w:val="•"/>
      <w:lvlJc w:val="left"/>
      <w:pPr>
        <w:ind w:left="4104" w:hanging="360"/>
      </w:pPr>
      <w:rPr>
        <w:rFonts w:hint="default"/>
        <w:lang w:val="en-GB" w:eastAsia="en-GB" w:bidi="en-GB"/>
      </w:rPr>
    </w:lvl>
    <w:lvl w:ilvl="5" w:tplc="F3FA4CC4">
      <w:numFmt w:val="bullet"/>
      <w:lvlText w:val="•"/>
      <w:lvlJc w:val="left"/>
      <w:pPr>
        <w:ind w:left="4925" w:hanging="360"/>
      </w:pPr>
      <w:rPr>
        <w:rFonts w:hint="default"/>
        <w:lang w:val="en-GB" w:eastAsia="en-GB" w:bidi="en-GB"/>
      </w:rPr>
    </w:lvl>
    <w:lvl w:ilvl="6" w:tplc="8C925FC4">
      <w:numFmt w:val="bullet"/>
      <w:lvlText w:val="•"/>
      <w:lvlJc w:val="left"/>
      <w:pPr>
        <w:ind w:left="5746" w:hanging="360"/>
      </w:pPr>
      <w:rPr>
        <w:rFonts w:hint="default"/>
        <w:lang w:val="en-GB" w:eastAsia="en-GB" w:bidi="en-GB"/>
      </w:rPr>
    </w:lvl>
    <w:lvl w:ilvl="7" w:tplc="6C127A24">
      <w:numFmt w:val="bullet"/>
      <w:lvlText w:val="•"/>
      <w:lvlJc w:val="left"/>
      <w:pPr>
        <w:ind w:left="6567" w:hanging="360"/>
      </w:pPr>
      <w:rPr>
        <w:rFonts w:hint="default"/>
        <w:lang w:val="en-GB" w:eastAsia="en-GB" w:bidi="en-GB"/>
      </w:rPr>
    </w:lvl>
    <w:lvl w:ilvl="8" w:tplc="5244511C">
      <w:numFmt w:val="bullet"/>
      <w:lvlText w:val="•"/>
      <w:lvlJc w:val="left"/>
      <w:pPr>
        <w:ind w:left="7388" w:hanging="360"/>
      </w:pPr>
      <w:rPr>
        <w:rFonts w:hint="default"/>
        <w:lang w:val="en-GB" w:eastAsia="en-GB" w:bidi="en-GB"/>
      </w:rPr>
    </w:lvl>
  </w:abstractNum>
  <w:abstractNum w:abstractNumId="2" w15:restartNumberingAfterBreak="0">
    <w:nsid w:val="06BE5496"/>
    <w:multiLevelType w:val="hybridMultilevel"/>
    <w:tmpl w:val="A5AA0DAE"/>
    <w:lvl w:ilvl="0" w:tplc="395CE360">
      <w:numFmt w:val="bullet"/>
      <w:lvlText w:val=""/>
      <w:lvlJc w:val="left"/>
      <w:pPr>
        <w:ind w:left="825" w:hanging="360"/>
      </w:pPr>
      <w:rPr>
        <w:rFonts w:ascii="Symbol" w:eastAsia="Symbol" w:hAnsi="Symbol" w:cs="Symbol" w:hint="default"/>
        <w:w w:val="100"/>
        <w:sz w:val="24"/>
        <w:szCs w:val="24"/>
        <w:lang w:val="en-GB" w:eastAsia="en-GB" w:bidi="en-GB"/>
      </w:rPr>
    </w:lvl>
    <w:lvl w:ilvl="1" w:tplc="588A0752">
      <w:numFmt w:val="bullet"/>
      <w:lvlText w:val="•"/>
      <w:lvlJc w:val="left"/>
      <w:pPr>
        <w:ind w:left="1641" w:hanging="360"/>
      </w:pPr>
      <w:rPr>
        <w:rFonts w:hint="default"/>
        <w:lang w:val="en-GB" w:eastAsia="en-GB" w:bidi="en-GB"/>
      </w:rPr>
    </w:lvl>
    <w:lvl w:ilvl="2" w:tplc="1284B452">
      <w:numFmt w:val="bullet"/>
      <w:lvlText w:val="•"/>
      <w:lvlJc w:val="left"/>
      <w:pPr>
        <w:ind w:left="2462" w:hanging="360"/>
      </w:pPr>
      <w:rPr>
        <w:rFonts w:hint="default"/>
        <w:lang w:val="en-GB" w:eastAsia="en-GB" w:bidi="en-GB"/>
      </w:rPr>
    </w:lvl>
    <w:lvl w:ilvl="3" w:tplc="640CA270">
      <w:numFmt w:val="bullet"/>
      <w:lvlText w:val="•"/>
      <w:lvlJc w:val="left"/>
      <w:pPr>
        <w:ind w:left="3283" w:hanging="360"/>
      </w:pPr>
      <w:rPr>
        <w:rFonts w:hint="default"/>
        <w:lang w:val="en-GB" w:eastAsia="en-GB" w:bidi="en-GB"/>
      </w:rPr>
    </w:lvl>
    <w:lvl w:ilvl="4" w:tplc="2974C97A">
      <w:numFmt w:val="bullet"/>
      <w:lvlText w:val="•"/>
      <w:lvlJc w:val="left"/>
      <w:pPr>
        <w:ind w:left="4104" w:hanging="360"/>
      </w:pPr>
      <w:rPr>
        <w:rFonts w:hint="default"/>
        <w:lang w:val="en-GB" w:eastAsia="en-GB" w:bidi="en-GB"/>
      </w:rPr>
    </w:lvl>
    <w:lvl w:ilvl="5" w:tplc="D96E06DA">
      <w:numFmt w:val="bullet"/>
      <w:lvlText w:val="•"/>
      <w:lvlJc w:val="left"/>
      <w:pPr>
        <w:ind w:left="4925" w:hanging="360"/>
      </w:pPr>
      <w:rPr>
        <w:rFonts w:hint="default"/>
        <w:lang w:val="en-GB" w:eastAsia="en-GB" w:bidi="en-GB"/>
      </w:rPr>
    </w:lvl>
    <w:lvl w:ilvl="6" w:tplc="1954F740">
      <w:numFmt w:val="bullet"/>
      <w:lvlText w:val="•"/>
      <w:lvlJc w:val="left"/>
      <w:pPr>
        <w:ind w:left="5746" w:hanging="360"/>
      </w:pPr>
      <w:rPr>
        <w:rFonts w:hint="default"/>
        <w:lang w:val="en-GB" w:eastAsia="en-GB" w:bidi="en-GB"/>
      </w:rPr>
    </w:lvl>
    <w:lvl w:ilvl="7" w:tplc="F7704FFC">
      <w:numFmt w:val="bullet"/>
      <w:lvlText w:val="•"/>
      <w:lvlJc w:val="left"/>
      <w:pPr>
        <w:ind w:left="6567" w:hanging="360"/>
      </w:pPr>
      <w:rPr>
        <w:rFonts w:hint="default"/>
        <w:lang w:val="en-GB" w:eastAsia="en-GB" w:bidi="en-GB"/>
      </w:rPr>
    </w:lvl>
    <w:lvl w:ilvl="8" w:tplc="D7600B96">
      <w:numFmt w:val="bullet"/>
      <w:lvlText w:val="•"/>
      <w:lvlJc w:val="left"/>
      <w:pPr>
        <w:ind w:left="7388" w:hanging="360"/>
      </w:pPr>
      <w:rPr>
        <w:rFonts w:hint="default"/>
        <w:lang w:val="en-GB" w:eastAsia="en-GB" w:bidi="en-GB"/>
      </w:rPr>
    </w:lvl>
  </w:abstractNum>
  <w:abstractNum w:abstractNumId="3" w15:restartNumberingAfterBreak="0">
    <w:nsid w:val="0C653FCC"/>
    <w:multiLevelType w:val="hybridMultilevel"/>
    <w:tmpl w:val="8C6C90B4"/>
    <w:lvl w:ilvl="0" w:tplc="E774DA84">
      <w:numFmt w:val="bullet"/>
      <w:lvlText w:val=""/>
      <w:lvlJc w:val="left"/>
      <w:pPr>
        <w:ind w:left="828" w:hanging="360"/>
      </w:pPr>
      <w:rPr>
        <w:rFonts w:ascii="Symbol" w:eastAsia="Symbol" w:hAnsi="Symbol" w:cs="Symbol" w:hint="default"/>
        <w:w w:val="100"/>
        <w:sz w:val="24"/>
        <w:szCs w:val="24"/>
        <w:lang w:val="en-GB" w:eastAsia="en-GB" w:bidi="en-GB"/>
      </w:rPr>
    </w:lvl>
    <w:lvl w:ilvl="1" w:tplc="B2D66ADA">
      <w:numFmt w:val="bullet"/>
      <w:lvlText w:val="•"/>
      <w:lvlJc w:val="left"/>
      <w:pPr>
        <w:ind w:left="1641" w:hanging="360"/>
      </w:pPr>
      <w:rPr>
        <w:rFonts w:hint="default"/>
        <w:lang w:val="en-GB" w:eastAsia="en-GB" w:bidi="en-GB"/>
      </w:rPr>
    </w:lvl>
    <w:lvl w:ilvl="2" w:tplc="C19ADDF2">
      <w:numFmt w:val="bullet"/>
      <w:lvlText w:val="•"/>
      <w:lvlJc w:val="left"/>
      <w:pPr>
        <w:ind w:left="2462" w:hanging="360"/>
      </w:pPr>
      <w:rPr>
        <w:rFonts w:hint="default"/>
        <w:lang w:val="en-GB" w:eastAsia="en-GB" w:bidi="en-GB"/>
      </w:rPr>
    </w:lvl>
    <w:lvl w:ilvl="3" w:tplc="1562B3C0">
      <w:numFmt w:val="bullet"/>
      <w:lvlText w:val="•"/>
      <w:lvlJc w:val="left"/>
      <w:pPr>
        <w:ind w:left="3283" w:hanging="360"/>
      </w:pPr>
      <w:rPr>
        <w:rFonts w:hint="default"/>
        <w:lang w:val="en-GB" w:eastAsia="en-GB" w:bidi="en-GB"/>
      </w:rPr>
    </w:lvl>
    <w:lvl w:ilvl="4" w:tplc="40AC6D28">
      <w:numFmt w:val="bullet"/>
      <w:lvlText w:val="•"/>
      <w:lvlJc w:val="left"/>
      <w:pPr>
        <w:ind w:left="4104" w:hanging="360"/>
      </w:pPr>
      <w:rPr>
        <w:rFonts w:hint="default"/>
        <w:lang w:val="en-GB" w:eastAsia="en-GB" w:bidi="en-GB"/>
      </w:rPr>
    </w:lvl>
    <w:lvl w:ilvl="5" w:tplc="0E66D9A8">
      <w:numFmt w:val="bullet"/>
      <w:lvlText w:val="•"/>
      <w:lvlJc w:val="left"/>
      <w:pPr>
        <w:ind w:left="4925" w:hanging="360"/>
      </w:pPr>
      <w:rPr>
        <w:rFonts w:hint="default"/>
        <w:lang w:val="en-GB" w:eastAsia="en-GB" w:bidi="en-GB"/>
      </w:rPr>
    </w:lvl>
    <w:lvl w:ilvl="6" w:tplc="A7088E12">
      <w:numFmt w:val="bullet"/>
      <w:lvlText w:val="•"/>
      <w:lvlJc w:val="left"/>
      <w:pPr>
        <w:ind w:left="5746" w:hanging="360"/>
      </w:pPr>
      <w:rPr>
        <w:rFonts w:hint="default"/>
        <w:lang w:val="en-GB" w:eastAsia="en-GB" w:bidi="en-GB"/>
      </w:rPr>
    </w:lvl>
    <w:lvl w:ilvl="7" w:tplc="CA8282F8">
      <w:numFmt w:val="bullet"/>
      <w:lvlText w:val="•"/>
      <w:lvlJc w:val="left"/>
      <w:pPr>
        <w:ind w:left="6567" w:hanging="360"/>
      </w:pPr>
      <w:rPr>
        <w:rFonts w:hint="default"/>
        <w:lang w:val="en-GB" w:eastAsia="en-GB" w:bidi="en-GB"/>
      </w:rPr>
    </w:lvl>
    <w:lvl w:ilvl="8" w:tplc="ED7EA52A">
      <w:numFmt w:val="bullet"/>
      <w:lvlText w:val="•"/>
      <w:lvlJc w:val="left"/>
      <w:pPr>
        <w:ind w:left="7388" w:hanging="360"/>
      </w:pPr>
      <w:rPr>
        <w:rFonts w:hint="default"/>
        <w:lang w:val="en-GB" w:eastAsia="en-GB" w:bidi="en-GB"/>
      </w:rPr>
    </w:lvl>
  </w:abstractNum>
  <w:abstractNum w:abstractNumId="4" w15:restartNumberingAfterBreak="0">
    <w:nsid w:val="1C396214"/>
    <w:multiLevelType w:val="hybridMultilevel"/>
    <w:tmpl w:val="C32E478A"/>
    <w:lvl w:ilvl="0" w:tplc="EA94D3A8">
      <w:numFmt w:val="bullet"/>
      <w:lvlText w:val=""/>
      <w:lvlJc w:val="left"/>
      <w:pPr>
        <w:ind w:left="828" w:hanging="360"/>
      </w:pPr>
      <w:rPr>
        <w:rFonts w:ascii="Symbol" w:eastAsia="Symbol" w:hAnsi="Symbol" w:cs="Symbol" w:hint="default"/>
        <w:w w:val="100"/>
        <w:sz w:val="24"/>
        <w:szCs w:val="24"/>
        <w:lang w:val="en-GB" w:eastAsia="en-GB" w:bidi="en-GB"/>
      </w:rPr>
    </w:lvl>
    <w:lvl w:ilvl="1" w:tplc="857669E0">
      <w:numFmt w:val="bullet"/>
      <w:lvlText w:val="•"/>
      <w:lvlJc w:val="left"/>
      <w:pPr>
        <w:ind w:left="1641" w:hanging="360"/>
      </w:pPr>
      <w:rPr>
        <w:rFonts w:hint="default"/>
        <w:lang w:val="en-GB" w:eastAsia="en-GB" w:bidi="en-GB"/>
      </w:rPr>
    </w:lvl>
    <w:lvl w:ilvl="2" w:tplc="1D0CA8CA">
      <w:numFmt w:val="bullet"/>
      <w:lvlText w:val="•"/>
      <w:lvlJc w:val="left"/>
      <w:pPr>
        <w:ind w:left="2462" w:hanging="360"/>
      </w:pPr>
      <w:rPr>
        <w:rFonts w:hint="default"/>
        <w:lang w:val="en-GB" w:eastAsia="en-GB" w:bidi="en-GB"/>
      </w:rPr>
    </w:lvl>
    <w:lvl w:ilvl="3" w:tplc="CB9A8DB0">
      <w:numFmt w:val="bullet"/>
      <w:lvlText w:val="•"/>
      <w:lvlJc w:val="left"/>
      <w:pPr>
        <w:ind w:left="3283" w:hanging="360"/>
      </w:pPr>
      <w:rPr>
        <w:rFonts w:hint="default"/>
        <w:lang w:val="en-GB" w:eastAsia="en-GB" w:bidi="en-GB"/>
      </w:rPr>
    </w:lvl>
    <w:lvl w:ilvl="4" w:tplc="2C5883DA">
      <w:numFmt w:val="bullet"/>
      <w:lvlText w:val="•"/>
      <w:lvlJc w:val="left"/>
      <w:pPr>
        <w:ind w:left="4104" w:hanging="360"/>
      </w:pPr>
      <w:rPr>
        <w:rFonts w:hint="default"/>
        <w:lang w:val="en-GB" w:eastAsia="en-GB" w:bidi="en-GB"/>
      </w:rPr>
    </w:lvl>
    <w:lvl w:ilvl="5" w:tplc="DB504CC2">
      <w:numFmt w:val="bullet"/>
      <w:lvlText w:val="•"/>
      <w:lvlJc w:val="left"/>
      <w:pPr>
        <w:ind w:left="4925" w:hanging="360"/>
      </w:pPr>
      <w:rPr>
        <w:rFonts w:hint="default"/>
        <w:lang w:val="en-GB" w:eastAsia="en-GB" w:bidi="en-GB"/>
      </w:rPr>
    </w:lvl>
    <w:lvl w:ilvl="6" w:tplc="2FCAE5DC">
      <w:numFmt w:val="bullet"/>
      <w:lvlText w:val="•"/>
      <w:lvlJc w:val="left"/>
      <w:pPr>
        <w:ind w:left="5746" w:hanging="360"/>
      </w:pPr>
      <w:rPr>
        <w:rFonts w:hint="default"/>
        <w:lang w:val="en-GB" w:eastAsia="en-GB" w:bidi="en-GB"/>
      </w:rPr>
    </w:lvl>
    <w:lvl w:ilvl="7" w:tplc="AAFE7B3C">
      <w:numFmt w:val="bullet"/>
      <w:lvlText w:val="•"/>
      <w:lvlJc w:val="left"/>
      <w:pPr>
        <w:ind w:left="6567" w:hanging="360"/>
      </w:pPr>
      <w:rPr>
        <w:rFonts w:hint="default"/>
        <w:lang w:val="en-GB" w:eastAsia="en-GB" w:bidi="en-GB"/>
      </w:rPr>
    </w:lvl>
    <w:lvl w:ilvl="8" w:tplc="18AA939A">
      <w:numFmt w:val="bullet"/>
      <w:lvlText w:val="•"/>
      <w:lvlJc w:val="left"/>
      <w:pPr>
        <w:ind w:left="7388" w:hanging="360"/>
      </w:pPr>
      <w:rPr>
        <w:rFonts w:hint="default"/>
        <w:lang w:val="en-GB" w:eastAsia="en-GB" w:bidi="en-GB"/>
      </w:rPr>
    </w:lvl>
  </w:abstractNum>
  <w:abstractNum w:abstractNumId="5" w15:restartNumberingAfterBreak="0">
    <w:nsid w:val="2C340C6A"/>
    <w:multiLevelType w:val="hybridMultilevel"/>
    <w:tmpl w:val="DEECA3BA"/>
    <w:lvl w:ilvl="0" w:tplc="8260FA72">
      <w:numFmt w:val="bullet"/>
      <w:lvlText w:val=""/>
      <w:lvlJc w:val="left"/>
      <w:pPr>
        <w:ind w:left="828" w:hanging="360"/>
      </w:pPr>
      <w:rPr>
        <w:rFonts w:ascii="Symbol" w:eastAsia="Symbol" w:hAnsi="Symbol" w:cs="Symbol" w:hint="default"/>
        <w:w w:val="100"/>
        <w:sz w:val="24"/>
        <w:szCs w:val="24"/>
        <w:lang w:val="en-GB" w:eastAsia="en-GB" w:bidi="en-GB"/>
      </w:rPr>
    </w:lvl>
    <w:lvl w:ilvl="1" w:tplc="68F02078">
      <w:numFmt w:val="bullet"/>
      <w:lvlText w:val="•"/>
      <w:lvlJc w:val="left"/>
      <w:pPr>
        <w:ind w:left="1641" w:hanging="360"/>
      </w:pPr>
      <w:rPr>
        <w:rFonts w:hint="default"/>
        <w:lang w:val="en-GB" w:eastAsia="en-GB" w:bidi="en-GB"/>
      </w:rPr>
    </w:lvl>
    <w:lvl w:ilvl="2" w:tplc="EF122530">
      <w:numFmt w:val="bullet"/>
      <w:lvlText w:val="•"/>
      <w:lvlJc w:val="left"/>
      <w:pPr>
        <w:ind w:left="2462" w:hanging="360"/>
      </w:pPr>
      <w:rPr>
        <w:rFonts w:hint="default"/>
        <w:lang w:val="en-GB" w:eastAsia="en-GB" w:bidi="en-GB"/>
      </w:rPr>
    </w:lvl>
    <w:lvl w:ilvl="3" w:tplc="2E8CF8BA">
      <w:numFmt w:val="bullet"/>
      <w:lvlText w:val="•"/>
      <w:lvlJc w:val="left"/>
      <w:pPr>
        <w:ind w:left="3283" w:hanging="360"/>
      </w:pPr>
      <w:rPr>
        <w:rFonts w:hint="default"/>
        <w:lang w:val="en-GB" w:eastAsia="en-GB" w:bidi="en-GB"/>
      </w:rPr>
    </w:lvl>
    <w:lvl w:ilvl="4" w:tplc="78E8D60A">
      <w:numFmt w:val="bullet"/>
      <w:lvlText w:val="•"/>
      <w:lvlJc w:val="left"/>
      <w:pPr>
        <w:ind w:left="4104" w:hanging="360"/>
      </w:pPr>
      <w:rPr>
        <w:rFonts w:hint="default"/>
        <w:lang w:val="en-GB" w:eastAsia="en-GB" w:bidi="en-GB"/>
      </w:rPr>
    </w:lvl>
    <w:lvl w:ilvl="5" w:tplc="FA7400D2">
      <w:numFmt w:val="bullet"/>
      <w:lvlText w:val="•"/>
      <w:lvlJc w:val="left"/>
      <w:pPr>
        <w:ind w:left="4925" w:hanging="360"/>
      </w:pPr>
      <w:rPr>
        <w:rFonts w:hint="default"/>
        <w:lang w:val="en-GB" w:eastAsia="en-GB" w:bidi="en-GB"/>
      </w:rPr>
    </w:lvl>
    <w:lvl w:ilvl="6" w:tplc="C478C818">
      <w:numFmt w:val="bullet"/>
      <w:lvlText w:val="•"/>
      <w:lvlJc w:val="left"/>
      <w:pPr>
        <w:ind w:left="5746" w:hanging="360"/>
      </w:pPr>
      <w:rPr>
        <w:rFonts w:hint="default"/>
        <w:lang w:val="en-GB" w:eastAsia="en-GB" w:bidi="en-GB"/>
      </w:rPr>
    </w:lvl>
    <w:lvl w:ilvl="7" w:tplc="D5ACE3C6">
      <w:numFmt w:val="bullet"/>
      <w:lvlText w:val="•"/>
      <w:lvlJc w:val="left"/>
      <w:pPr>
        <w:ind w:left="6567" w:hanging="360"/>
      </w:pPr>
      <w:rPr>
        <w:rFonts w:hint="default"/>
        <w:lang w:val="en-GB" w:eastAsia="en-GB" w:bidi="en-GB"/>
      </w:rPr>
    </w:lvl>
    <w:lvl w:ilvl="8" w:tplc="CECAA930">
      <w:numFmt w:val="bullet"/>
      <w:lvlText w:val="•"/>
      <w:lvlJc w:val="left"/>
      <w:pPr>
        <w:ind w:left="7388" w:hanging="360"/>
      </w:pPr>
      <w:rPr>
        <w:rFonts w:hint="default"/>
        <w:lang w:val="en-GB" w:eastAsia="en-GB" w:bidi="en-GB"/>
      </w:rPr>
    </w:lvl>
  </w:abstractNum>
  <w:abstractNum w:abstractNumId="6" w15:restartNumberingAfterBreak="0">
    <w:nsid w:val="3BBA0A67"/>
    <w:multiLevelType w:val="hybridMultilevel"/>
    <w:tmpl w:val="A1023E44"/>
    <w:lvl w:ilvl="0" w:tplc="0B9A8D5A">
      <w:numFmt w:val="bullet"/>
      <w:lvlText w:val=""/>
      <w:lvlJc w:val="left"/>
      <w:pPr>
        <w:ind w:left="828" w:hanging="360"/>
      </w:pPr>
      <w:rPr>
        <w:rFonts w:ascii="Symbol" w:eastAsia="Symbol" w:hAnsi="Symbol" w:cs="Symbol" w:hint="default"/>
        <w:w w:val="100"/>
        <w:sz w:val="24"/>
        <w:szCs w:val="24"/>
        <w:lang w:val="en-GB" w:eastAsia="en-GB" w:bidi="en-GB"/>
      </w:rPr>
    </w:lvl>
    <w:lvl w:ilvl="1" w:tplc="5B3EBDF0">
      <w:numFmt w:val="bullet"/>
      <w:lvlText w:val="•"/>
      <w:lvlJc w:val="left"/>
      <w:pPr>
        <w:ind w:left="1641" w:hanging="360"/>
      </w:pPr>
      <w:rPr>
        <w:rFonts w:hint="default"/>
        <w:lang w:val="en-GB" w:eastAsia="en-GB" w:bidi="en-GB"/>
      </w:rPr>
    </w:lvl>
    <w:lvl w:ilvl="2" w:tplc="36048B06">
      <w:numFmt w:val="bullet"/>
      <w:lvlText w:val="•"/>
      <w:lvlJc w:val="left"/>
      <w:pPr>
        <w:ind w:left="2462" w:hanging="360"/>
      </w:pPr>
      <w:rPr>
        <w:rFonts w:hint="default"/>
        <w:lang w:val="en-GB" w:eastAsia="en-GB" w:bidi="en-GB"/>
      </w:rPr>
    </w:lvl>
    <w:lvl w:ilvl="3" w:tplc="EE12DED4">
      <w:numFmt w:val="bullet"/>
      <w:lvlText w:val="•"/>
      <w:lvlJc w:val="left"/>
      <w:pPr>
        <w:ind w:left="3283" w:hanging="360"/>
      </w:pPr>
      <w:rPr>
        <w:rFonts w:hint="default"/>
        <w:lang w:val="en-GB" w:eastAsia="en-GB" w:bidi="en-GB"/>
      </w:rPr>
    </w:lvl>
    <w:lvl w:ilvl="4" w:tplc="2F90FC50">
      <w:numFmt w:val="bullet"/>
      <w:lvlText w:val="•"/>
      <w:lvlJc w:val="left"/>
      <w:pPr>
        <w:ind w:left="4104" w:hanging="360"/>
      </w:pPr>
      <w:rPr>
        <w:rFonts w:hint="default"/>
        <w:lang w:val="en-GB" w:eastAsia="en-GB" w:bidi="en-GB"/>
      </w:rPr>
    </w:lvl>
    <w:lvl w:ilvl="5" w:tplc="4CBC2DB4">
      <w:numFmt w:val="bullet"/>
      <w:lvlText w:val="•"/>
      <w:lvlJc w:val="left"/>
      <w:pPr>
        <w:ind w:left="4925" w:hanging="360"/>
      </w:pPr>
      <w:rPr>
        <w:rFonts w:hint="default"/>
        <w:lang w:val="en-GB" w:eastAsia="en-GB" w:bidi="en-GB"/>
      </w:rPr>
    </w:lvl>
    <w:lvl w:ilvl="6" w:tplc="CE8A1156">
      <w:numFmt w:val="bullet"/>
      <w:lvlText w:val="•"/>
      <w:lvlJc w:val="left"/>
      <w:pPr>
        <w:ind w:left="5746" w:hanging="360"/>
      </w:pPr>
      <w:rPr>
        <w:rFonts w:hint="default"/>
        <w:lang w:val="en-GB" w:eastAsia="en-GB" w:bidi="en-GB"/>
      </w:rPr>
    </w:lvl>
    <w:lvl w:ilvl="7" w:tplc="93640D1A">
      <w:numFmt w:val="bullet"/>
      <w:lvlText w:val="•"/>
      <w:lvlJc w:val="left"/>
      <w:pPr>
        <w:ind w:left="6567" w:hanging="360"/>
      </w:pPr>
      <w:rPr>
        <w:rFonts w:hint="default"/>
        <w:lang w:val="en-GB" w:eastAsia="en-GB" w:bidi="en-GB"/>
      </w:rPr>
    </w:lvl>
    <w:lvl w:ilvl="8" w:tplc="041AD8EA">
      <w:numFmt w:val="bullet"/>
      <w:lvlText w:val="•"/>
      <w:lvlJc w:val="left"/>
      <w:pPr>
        <w:ind w:left="7388" w:hanging="360"/>
      </w:pPr>
      <w:rPr>
        <w:rFonts w:hint="default"/>
        <w:lang w:val="en-GB" w:eastAsia="en-GB" w:bidi="en-GB"/>
      </w:rPr>
    </w:lvl>
  </w:abstractNum>
  <w:abstractNum w:abstractNumId="7" w15:restartNumberingAfterBreak="0">
    <w:nsid w:val="680B407D"/>
    <w:multiLevelType w:val="hybridMultilevel"/>
    <w:tmpl w:val="62EC785E"/>
    <w:lvl w:ilvl="0" w:tplc="12C80150">
      <w:numFmt w:val="bullet"/>
      <w:lvlText w:val=""/>
      <w:lvlJc w:val="left"/>
      <w:pPr>
        <w:ind w:left="825" w:hanging="360"/>
      </w:pPr>
      <w:rPr>
        <w:rFonts w:ascii="Symbol" w:eastAsia="Symbol" w:hAnsi="Symbol" w:cs="Symbol" w:hint="default"/>
        <w:w w:val="100"/>
        <w:sz w:val="24"/>
        <w:szCs w:val="24"/>
        <w:lang w:val="en-GB" w:eastAsia="en-GB" w:bidi="en-GB"/>
      </w:rPr>
    </w:lvl>
    <w:lvl w:ilvl="1" w:tplc="B2E0EF2A">
      <w:numFmt w:val="bullet"/>
      <w:lvlText w:val="•"/>
      <w:lvlJc w:val="left"/>
      <w:pPr>
        <w:ind w:left="1641" w:hanging="360"/>
      </w:pPr>
      <w:rPr>
        <w:rFonts w:hint="default"/>
        <w:lang w:val="en-GB" w:eastAsia="en-GB" w:bidi="en-GB"/>
      </w:rPr>
    </w:lvl>
    <w:lvl w:ilvl="2" w:tplc="C2B06F04">
      <w:numFmt w:val="bullet"/>
      <w:lvlText w:val="•"/>
      <w:lvlJc w:val="left"/>
      <w:pPr>
        <w:ind w:left="2462" w:hanging="360"/>
      </w:pPr>
      <w:rPr>
        <w:rFonts w:hint="default"/>
        <w:lang w:val="en-GB" w:eastAsia="en-GB" w:bidi="en-GB"/>
      </w:rPr>
    </w:lvl>
    <w:lvl w:ilvl="3" w:tplc="63682128">
      <w:numFmt w:val="bullet"/>
      <w:lvlText w:val="•"/>
      <w:lvlJc w:val="left"/>
      <w:pPr>
        <w:ind w:left="3283" w:hanging="360"/>
      </w:pPr>
      <w:rPr>
        <w:rFonts w:hint="default"/>
        <w:lang w:val="en-GB" w:eastAsia="en-GB" w:bidi="en-GB"/>
      </w:rPr>
    </w:lvl>
    <w:lvl w:ilvl="4" w:tplc="61F6856A">
      <w:numFmt w:val="bullet"/>
      <w:lvlText w:val="•"/>
      <w:lvlJc w:val="left"/>
      <w:pPr>
        <w:ind w:left="4104" w:hanging="360"/>
      </w:pPr>
      <w:rPr>
        <w:rFonts w:hint="default"/>
        <w:lang w:val="en-GB" w:eastAsia="en-GB" w:bidi="en-GB"/>
      </w:rPr>
    </w:lvl>
    <w:lvl w:ilvl="5" w:tplc="A6323668">
      <w:numFmt w:val="bullet"/>
      <w:lvlText w:val="•"/>
      <w:lvlJc w:val="left"/>
      <w:pPr>
        <w:ind w:left="4925" w:hanging="360"/>
      </w:pPr>
      <w:rPr>
        <w:rFonts w:hint="default"/>
        <w:lang w:val="en-GB" w:eastAsia="en-GB" w:bidi="en-GB"/>
      </w:rPr>
    </w:lvl>
    <w:lvl w:ilvl="6" w:tplc="8E083912">
      <w:numFmt w:val="bullet"/>
      <w:lvlText w:val="•"/>
      <w:lvlJc w:val="left"/>
      <w:pPr>
        <w:ind w:left="5746" w:hanging="360"/>
      </w:pPr>
      <w:rPr>
        <w:rFonts w:hint="default"/>
        <w:lang w:val="en-GB" w:eastAsia="en-GB" w:bidi="en-GB"/>
      </w:rPr>
    </w:lvl>
    <w:lvl w:ilvl="7" w:tplc="EA74FD06">
      <w:numFmt w:val="bullet"/>
      <w:lvlText w:val="•"/>
      <w:lvlJc w:val="left"/>
      <w:pPr>
        <w:ind w:left="6567" w:hanging="360"/>
      </w:pPr>
      <w:rPr>
        <w:rFonts w:hint="default"/>
        <w:lang w:val="en-GB" w:eastAsia="en-GB" w:bidi="en-GB"/>
      </w:rPr>
    </w:lvl>
    <w:lvl w:ilvl="8" w:tplc="54468C04">
      <w:numFmt w:val="bullet"/>
      <w:lvlText w:val="•"/>
      <w:lvlJc w:val="left"/>
      <w:pPr>
        <w:ind w:left="7388" w:hanging="360"/>
      </w:pPr>
      <w:rPr>
        <w:rFonts w:hint="default"/>
        <w:lang w:val="en-GB" w:eastAsia="en-GB" w:bidi="en-GB"/>
      </w:rPr>
    </w:lvl>
  </w:abstractNum>
  <w:abstractNum w:abstractNumId="8" w15:restartNumberingAfterBreak="0">
    <w:nsid w:val="6B6B25ED"/>
    <w:multiLevelType w:val="hybridMultilevel"/>
    <w:tmpl w:val="4796D874"/>
    <w:lvl w:ilvl="0" w:tplc="82CEC080">
      <w:numFmt w:val="bullet"/>
      <w:lvlText w:val=""/>
      <w:lvlJc w:val="left"/>
      <w:pPr>
        <w:ind w:left="825" w:hanging="360"/>
      </w:pPr>
      <w:rPr>
        <w:rFonts w:ascii="Symbol" w:eastAsia="Symbol" w:hAnsi="Symbol" w:cs="Symbol" w:hint="default"/>
        <w:w w:val="100"/>
        <w:sz w:val="24"/>
        <w:szCs w:val="24"/>
        <w:lang w:val="en-GB" w:eastAsia="en-GB" w:bidi="en-GB"/>
      </w:rPr>
    </w:lvl>
    <w:lvl w:ilvl="1" w:tplc="62FCB1B0">
      <w:numFmt w:val="bullet"/>
      <w:lvlText w:val="•"/>
      <w:lvlJc w:val="left"/>
      <w:pPr>
        <w:ind w:left="1641" w:hanging="360"/>
      </w:pPr>
      <w:rPr>
        <w:rFonts w:hint="default"/>
        <w:lang w:val="en-GB" w:eastAsia="en-GB" w:bidi="en-GB"/>
      </w:rPr>
    </w:lvl>
    <w:lvl w:ilvl="2" w:tplc="1BC4A82C">
      <w:numFmt w:val="bullet"/>
      <w:lvlText w:val="•"/>
      <w:lvlJc w:val="left"/>
      <w:pPr>
        <w:ind w:left="2462" w:hanging="360"/>
      </w:pPr>
      <w:rPr>
        <w:rFonts w:hint="default"/>
        <w:lang w:val="en-GB" w:eastAsia="en-GB" w:bidi="en-GB"/>
      </w:rPr>
    </w:lvl>
    <w:lvl w:ilvl="3" w:tplc="36AE0B42">
      <w:numFmt w:val="bullet"/>
      <w:lvlText w:val="•"/>
      <w:lvlJc w:val="left"/>
      <w:pPr>
        <w:ind w:left="3283" w:hanging="360"/>
      </w:pPr>
      <w:rPr>
        <w:rFonts w:hint="default"/>
        <w:lang w:val="en-GB" w:eastAsia="en-GB" w:bidi="en-GB"/>
      </w:rPr>
    </w:lvl>
    <w:lvl w:ilvl="4" w:tplc="63BA634A">
      <w:numFmt w:val="bullet"/>
      <w:lvlText w:val="•"/>
      <w:lvlJc w:val="left"/>
      <w:pPr>
        <w:ind w:left="4104" w:hanging="360"/>
      </w:pPr>
      <w:rPr>
        <w:rFonts w:hint="default"/>
        <w:lang w:val="en-GB" w:eastAsia="en-GB" w:bidi="en-GB"/>
      </w:rPr>
    </w:lvl>
    <w:lvl w:ilvl="5" w:tplc="895639D6">
      <w:numFmt w:val="bullet"/>
      <w:lvlText w:val="•"/>
      <w:lvlJc w:val="left"/>
      <w:pPr>
        <w:ind w:left="4925" w:hanging="360"/>
      </w:pPr>
      <w:rPr>
        <w:rFonts w:hint="default"/>
        <w:lang w:val="en-GB" w:eastAsia="en-GB" w:bidi="en-GB"/>
      </w:rPr>
    </w:lvl>
    <w:lvl w:ilvl="6" w:tplc="37DA34D8">
      <w:numFmt w:val="bullet"/>
      <w:lvlText w:val="•"/>
      <w:lvlJc w:val="left"/>
      <w:pPr>
        <w:ind w:left="5746" w:hanging="360"/>
      </w:pPr>
      <w:rPr>
        <w:rFonts w:hint="default"/>
        <w:lang w:val="en-GB" w:eastAsia="en-GB" w:bidi="en-GB"/>
      </w:rPr>
    </w:lvl>
    <w:lvl w:ilvl="7" w:tplc="B630FC1E">
      <w:numFmt w:val="bullet"/>
      <w:lvlText w:val="•"/>
      <w:lvlJc w:val="left"/>
      <w:pPr>
        <w:ind w:left="6567" w:hanging="360"/>
      </w:pPr>
      <w:rPr>
        <w:rFonts w:hint="default"/>
        <w:lang w:val="en-GB" w:eastAsia="en-GB" w:bidi="en-GB"/>
      </w:rPr>
    </w:lvl>
    <w:lvl w:ilvl="8" w:tplc="AC085BC6">
      <w:numFmt w:val="bullet"/>
      <w:lvlText w:val="•"/>
      <w:lvlJc w:val="left"/>
      <w:pPr>
        <w:ind w:left="7388" w:hanging="360"/>
      </w:pPr>
      <w:rPr>
        <w:rFonts w:hint="default"/>
        <w:lang w:val="en-GB" w:eastAsia="en-GB" w:bidi="en-GB"/>
      </w:rPr>
    </w:lvl>
  </w:abstractNum>
  <w:abstractNum w:abstractNumId="9" w15:restartNumberingAfterBreak="0">
    <w:nsid w:val="7387455F"/>
    <w:multiLevelType w:val="hybridMultilevel"/>
    <w:tmpl w:val="270E88F2"/>
    <w:lvl w:ilvl="0" w:tplc="20081766">
      <w:numFmt w:val="bullet"/>
      <w:lvlText w:val=""/>
      <w:lvlJc w:val="left"/>
      <w:pPr>
        <w:ind w:left="828" w:hanging="360"/>
      </w:pPr>
      <w:rPr>
        <w:rFonts w:ascii="Symbol" w:eastAsia="Symbol" w:hAnsi="Symbol" w:cs="Symbol" w:hint="default"/>
        <w:w w:val="100"/>
        <w:sz w:val="24"/>
        <w:szCs w:val="24"/>
        <w:lang w:val="en-GB" w:eastAsia="en-GB" w:bidi="en-GB"/>
      </w:rPr>
    </w:lvl>
    <w:lvl w:ilvl="1" w:tplc="1A76A448">
      <w:numFmt w:val="bullet"/>
      <w:lvlText w:val="•"/>
      <w:lvlJc w:val="left"/>
      <w:pPr>
        <w:ind w:left="1641" w:hanging="360"/>
      </w:pPr>
      <w:rPr>
        <w:rFonts w:hint="default"/>
        <w:lang w:val="en-GB" w:eastAsia="en-GB" w:bidi="en-GB"/>
      </w:rPr>
    </w:lvl>
    <w:lvl w:ilvl="2" w:tplc="03F89F7C">
      <w:numFmt w:val="bullet"/>
      <w:lvlText w:val="•"/>
      <w:lvlJc w:val="left"/>
      <w:pPr>
        <w:ind w:left="2462" w:hanging="360"/>
      </w:pPr>
      <w:rPr>
        <w:rFonts w:hint="default"/>
        <w:lang w:val="en-GB" w:eastAsia="en-GB" w:bidi="en-GB"/>
      </w:rPr>
    </w:lvl>
    <w:lvl w:ilvl="3" w:tplc="C3CE3E40">
      <w:numFmt w:val="bullet"/>
      <w:lvlText w:val="•"/>
      <w:lvlJc w:val="left"/>
      <w:pPr>
        <w:ind w:left="3283" w:hanging="360"/>
      </w:pPr>
      <w:rPr>
        <w:rFonts w:hint="default"/>
        <w:lang w:val="en-GB" w:eastAsia="en-GB" w:bidi="en-GB"/>
      </w:rPr>
    </w:lvl>
    <w:lvl w:ilvl="4" w:tplc="770A283A">
      <w:numFmt w:val="bullet"/>
      <w:lvlText w:val="•"/>
      <w:lvlJc w:val="left"/>
      <w:pPr>
        <w:ind w:left="4104" w:hanging="360"/>
      </w:pPr>
      <w:rPr>
        <w:rFonts w:hint="default"/>
        <w:lang w:val="en-GB" w:eastAsia="en-GB" w:bidi="en-GB"/>
      </w:rPr>
    </w:lvl>
    <w:lvl w:ilvl="5" w:tplc="A07C5EE4">
      <w:numFmt w:val="bullet"/>
      <w:lvlText w:val="•"/>
      <w:lvlJc w:val="left"/>
      <w:pPr>
        <w:ind w:left="4925" w:hanging="360"/>
      </w:pPr>
      <w:rPr>
        <w:rFonts w:hint="default"/>
        <w:lang w:val="en-GB" w:eastAsia="en-GB" w:bidi="en-GB"/>
      </w:rPr>
    </w:lvl>
    <w:lvl w:ilvl="6" w:tplc="CC1A7F5C">
      <w:numFmt w:val="bullet"/>
      <w:lvlText w:val="•"/>
      <w:lvlJc w:val="left"/>
      <w:pPr>
        <w:ind w:left="5746" w:hanging="360"/>
      </w:pPr>
      <w:rPr>
        <w:rFonts w:hint="default"/>
        <w:lang w:val="en-GB" w:eastAsia="en-GB" w:bidi="en-GB"/>
      </w:rPr>
    </w:lvl>
    <w:lvl w:ilvl="7" w:tplc="7B803AE8">
      <w:numFmt w:val="bullet"/>
      <w:lvlText w:val="•"/>
      <w:lvlJc w:val="left"/>
      <w:pPr>
        <w:ind w:left="6567" w:hanging="360"/>
      </w:pPr>
      <w:rPr>
        <w:rFonts w:hint="default"/>
        <w:lang w:val="en-GB" w:eastAsia="en-GB" w:bidi="en-GB"/>
      </w:rPr>
    </w:lvl>
    <w:lvl w:ilvl="8" w:tplc="1F0695D4">
      <w:numFmt w:val="bullet"/>
      <w:lvlText w:val="•"/>
      <w:lvlJc w:val="left"/>
      <w:pPr>
        <w:ind w:left="7388" w:hanging="360"/>
      </w:pPr>
      <w:rPr>
        <w:rFonts w:hint="default"/>
        <w:lang w:val="en-GB" w:eastAsia="en-GB" w:bidi="en-GB"/>
      </w:rPr>
    </w:lvl>
  </w:abstractNum>
  <w:num w:numId="1">
    <w:abstractNumId w:val="6"/>
  </w:num>
  <w:num w:numId="2">
    <w:abstractNumId w:val="1"/>
  </w:num>
  <w:num w:numId="3">
    <w:abstractNumId w:val="2"/>
  </w:num>
  <w:num w:numId="4">
    <w:abstractNumId w:val="7"/>
  </w:num>
  <w:num w:numId="5">
    <w:abstractNumId w:val="3"/>
  </w:num>
  <w:num w:numId="6">
    <w:abstractNumId w:val="8"/>
  </w:num>
  <w:num w:numId="7">
    <w:abstractNumId w:val="4"/>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D7F59"/>
    <w:rsid w:val="001A2400"/>
    <w:rsid w:val="004D7F59"/>
    <w:rsid w:val="009B31D3"/>
    <w:rsid w:val="00BE4DD9"/>
    <w:rsid w:val="00FC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60F50F8-A7F3-4AAD-93DF-FBEE4AA9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9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yperlink" Target="mailto:keith.connal@gov.scot" TargetMode="External" Id="rId8" /><Relationship Type="http://schemas.openxmlformats.org/officeDocument/2006/relationships/hyperlink" Target="http://www.gov.scot/"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gov.scot/"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1.jpe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gov.scot/" TargetMode="External" Id="rId9" /><Relationship Type="http://schemas.openxmlformats.org/officeDocument/2006/relationships/fontTable" Target="fontTable.xml" Id="rId14" /><Relationship Type="http://schemas.openxmlformats.org/officeDocument/2006/relationships/customXml" Target="/customXML/item2.xml" Id="R69a0db5c0e064b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71FFD1B571BE2883E0537D20C80A46C7" version="1.0.0">
  <systemFields>
    <field name="Objective-Id">
      <value order="0">A3784219</value>
    </field>
    <field name="Objective-Title">
      <value order="0">Budget Allocation and Monitoring (grant in aid) letter 2020-2021 - web version</value>
    </field>
    <field name="Objective-Description">
      <value order="0"/>
    </field>
    <field name="Objective-CreationStamp">
      <value order="0">2022-07-21T14:59:14Z</value>
    </field>
    <field name="Objective-IsApproved">
      <value order="0">false</value>
    </field>
    <field name="Objective-IsPublished">
      <value order="0">true</value>
    </field>
    <field name="Objective-DatePublished">
      <value order="0">2022-07-22T07:20:32Z</value>
    </field>
    <field name="Objective-ModificationStamp">
      <value order="0">2022-07-22T07:20:32Z</value>
    </field>
    <field name="Objective-Owner">
      <value order="0">Mary-Anne Thomson</value>
    </field>
    <field name="Objective-Path">
      <value order="0">Objective Global Folder:NatureScot Fileplan:MAN - Management:EO - Executive Office:CC - Chief Executive , Chair and Head of External Affairs:Chief Executive:AO - Accountable Officer:Correspondence</value>
    </field>
    <field name="Objective-Parent">
      <value order="0">Correspondence</value>
    </field>
    <field name="Objective-State">
      <value order="0">Published</value>
    </field>
    <field name="Objective-VersionId">
      <value order="0">vA6653050</value>
    </field>
    <field name="Objective-Version">
      <value order="0">2.0</value>
    </field>
    <field name="Objective-VersionNumber">
      <value order="0">2</value>
    </field>
    <field name="Objective-VersionComment">
      <value order="0"/>
    </field>
    <field name="Objective-FileNumber">
      <value order="0">qA177997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4700</Characters>
  <Application>Microsoft Office Word</Application>
  <DocSecurity>0</DocSecurity>
  <Lines>39</Lines>
  <Paragraphs>11</Paragraphs>
  <ScaleCrop>false</ScaleCrop>
  <Company>Scottish Natural Heritage</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 Donaldson</cp:lastModifiedBy>
  <cp:revision>4</cp:revision>
  <dcterms:created xsi:type="dcterms:W3CDTF">2022-07-21T13:50:00Z</dcterms:created>
  <dcterms:modified xsi:type="dcterms:W3CDTF">2022-07-22T07:20:00Z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2022-07-21T00:00:00Z</vt:filetime>
  </property>
  <property fmtid="{D5CDD505-2E9C-101B-9397-08002B2CF9AE}" pid="5" name="Objective-Id">
    <vt:lpwstr>A3784219</vt:lpwstr>
  </property>
  <property fmtid="{D5CDD505-2E9C-101B-9397-08002B2CF9AE}" pid="6" name="Objective-Title">
    <vt:lpwstr>Budget Allocation and Monitoring (grant in aid) letter 2020-2021 - web version</vt:lpwstr>
  </property>
  <property fmtid="{D5CDD505-2E9C-101B-9397-08002B2CF9AE}" pid="7" name="Objective-Description">
    <vt:lpwstr/>
  </property>
  <property fmtid="{D5CDD505-2E9C-101B-9397-08002B2CF9AE}" pid="8" name="Objective-CreationStamp">
    <vt:filetime>2022-07-21T14:59:14Z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2022-07-22T07:20:32Z</vt:filetime>
  </property>
  <property fmtid="{D5CDD505-2E9C-101B-9397-08002B2CF9AE}" pid="12" name="Objective-ModificationStamp">
    <vt:filetime>2022-07-22T07:20:32Z</vt:filetime>
  </property>
  <property fmtid="{D5CDD505-2E9C-101B-9397-08002B2CF9AE}" pid="13" name="Objective-Owner">
    <vt:lpwstr>Mary-Anne Thomson</vt:lpwstr>
  </property>
  <property fmtid="{D5CDD505-2E9C-101B-9397-08002B2CF9AE}" pid="14" name="Objective-Path">
    <vt:lpwstr>Objective Global Folder:NatureScot Fileplan:MAN - Management:EO - Executive Office:CC - Chief Executive , Chair and Head of External Affairs:Chief Executive:AO - Accountable Officer:Correspondence</vt:lpwstr>
  </property>
  <property fmtid="{D5CDD505-2E9C-101B-9397-08002B2CF9AE}" pid="15" name="Objective-Parent">
    <vt:lpwstr>Correspondence</vt:lpwstr>
  </property>
  <property fmtid="{D5CDD505-2E9C-101B-9397-08002B2CF9AE}" pid="16" name="Objective-State">
    <vt:lpwstr>Published</vt:lpwstr>
  </property>
  <property fmtid="{D5CDD505-2E9C-101B-9397-08002B2CF9AE}" pid="17" name="Objective-VersionId">
    <vt:lpwstr>vA6653050</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qA177997</vt:lpwstr>
  </property>
  <property fmtid="{D5CDD505-2E9C-101B-9397-08002B2CF9AE}" pid="22" name="Objective-Classification">
    <vt:lpwstr/>
  </property>
  <property fmtid="{D5CDD505-2E9C-101B-9397-08002B2CF9AE}" pid="23" name="Objective-Caveats">
    <vt:lpwstr/>
  </property>
  <property fmtid="{D5CDD505-2E9C-101B-9397-08002B2CF9AE}" pid="24" name="Objective-Date of Original">
    <vt:lpwstr/>
  </property>
  <property fmtid="{D5CDD505-2E9C-101B-9397-08002B2CF9AE}" pid="25" name="Objective-Sensitivity Review Date">
    <vt:lpwstr/>
  </property>
  <property fmtid="{D5CDD505-2E9C-101B-9397-08002B2CF9AE}" pid="26" name="Objective-FOI Exemption">
    <vt:lpwstr>Release</vt:lpwstr>
  </property>
  <property fmtid="{D5CDD505-2E9C-101B-9397-08002B2CF9AE}" pid="27" name="Objective-DPA Exemption">
    <vt:lpwstr>Release</vt:lpwstr>
  </property>
  <property fmtid="{D5CDD505-2E9C-101B-9397-08002B2CF9AE}" pid="28" name="Objective-EIR Exception">
    <vt:lpwstr>Release</vt:lpwstr>
  </property>
  <property fmtid="{D5CDD505-2E9C-101B-9397-08002B2CF9AE}" pid="29" name="Objective-Justification">
    <vt:lpwstr/>
  </property>
  <property fmtid="{D5CDD505-2E9C-101B-9397-08002B2CF9AE}" pid="30" name="Objective-Date of Request">
    <vt:lpwstr/>
  </property>
  <property fmtid="{D5CDD505-2E9C-101B-9397-08002B2CF9AE}" pid="31" name="Objective-Date of Release">
    <vt:lpwstr/>
  </property>
  <property fmtid="{D5CDD505-2E9C-101B-9397-08002B2CF9AE}" pid="32" name="Objective-FOI/EIR Disclosure Date">
    <vt:lpwstr/>
  </property>
  <property fmtid="{D5CDD505-2E9C-101B-9397-08002B2CF9AE}" pid="33" name="Objective-FOI/EIR Dissemination Date">
    <vt:lpwstr/>
  </property>
  <property fmtid="{D5CDD505-2E9C-101B-9397-08002B2CF9AE}" pid="34" name="Objective-FOI Release Details">
    <vt:lpwstr/>
  </property>
  <property fmtid="{D5CDD505-2E9C-101B-9397-08002B2CF9AE}" pid="35" name="Objective-Connect Creator">
    <vt:lpwstr/>
  </property>
</Properties>
</file>