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7CF" w:rsidRPr="00DF3E1F" w:rsidRDefault="001C77CF" w:rsidP="001C77CF">
      <w:pPr>
        <w:rPr>
          <w:b/>
          <w:sz w:val="24"/>
          <w:szCs w:val="24"/>
          <w:u w:val="single"/>
        </w:rPr>
      </w:pPr>
      <w:r w:rsidRPr="00DF3E1F">
        <w:rPr>
          <w:b/>
          <w:sz w:val="24"/>
          <w:szCs w:val="24"/>
          <w:u w:val="single"/>
        </w:rPr>
        <w:t>Joint working arrangement between SEPA and SNH on planning consultations</w:t>
      </w:r>
    </w:p>
    <w:p w:rsidR="001C77CF" w:rsidRDefault="001C77CF" w:rsidP="001C77CF">
      <w:pPr>
        <w:rPr>
          <w:b/>
          <w:sz w:val="22"/>
          <w:szCs w:val="22"/>
          <w:u w:val="single"/>
        </w:rPr>
      </w:pPr>
    </w:p>
    <w:p w:rsidR="001C77CF" w:rsidRPr="00D317C4" w:rsidRDefault="001C77CF" w:rsidP="001C77CF">
      <w:pPr>
        <w:rPr>
          <w:b/>
          <w:sz w:val="22"/>
          <w:szCs w:val="22"/>
          <w:u w:val="single"/>
        </w:rPr>
      </w:pPr>
      <w:r w:rsidRPr="00D317C4">
        <w:rPr>
          <w:b/>
          <w:sz w:val="22"/>
          <w:szCs w:val="22"/>
          <w:u w:val="single"/>
        </w:rPr>
        <w:t>1.</w:t>
      </w:r>
      <w:r>
        <w:rPr>
          <w:b/>
          <w:sz w:val="22"/>
          <w:szCs w:val="22"/>
          <w:u w:val="single"/>
        </w:rPr>
        <w:t xml:space="preserve"> </w:t>
      </w:r>
      <w:r w:rsidRPr="00D317C4">
        <w:rPr>
          <w:b/>
          <w:sz w:val="22"/>
          <w:szCs w:val="22"/>
          <w:u w:val="single"/>
        </w:rPr>
        <w:t>Purpose</w:t>
      </w:r>
    </w:p>
    <w:p w:rsidR="001C77CF" w:rsidRDefault="001C77CF" w:rsidP="001C77CF">
      <w:pPr>
        <w:rPr>
          <w:sz w:val="22"/>
          <w:szCs w:val="22"/>
        </w:rPr>
      </w:pPr>
    </w:p>
    <w:p w:rsidR="001C77CF" w:rsidRDefault="001C77CF" w:rsidP="001C77CF">
      <w:pPr>
        <w:rPr>
          <w:rFonts w:cs="Arial"/>
          <w:sz w:val="22"/>
        </w:rPr>
      </w:pPr>
      <w:r>
        <w:rPr>
          <w:rFonts w:cs="Arial"/>
          <w:sz w:val="22"/>
        </w:rPr>
        <w:t>SNH and SEPA</w:t>
      </w:r>
      <w:r w:rsidRPr="00781A23">
        <w:rPr>
          <w:rFonts w:cs="Arial"/>
          <w:sz w:val="22"/>
        </w:rPr>
        <w:t xml:space="preserve"> work with other key agencies and the Scottish Government through the </w:t>
      </w:r>
      <w:hyperlink r:id="rId6" w:tooltip="Key Agencies Planning Group" w:history="1">
        <w:r w:rsidRPr="00781A23">
          <w:rPr>
            <w:rStyle w:val="Hyperlink"/>
            <w:rFonts w:cs="Arial"/>
            <w:sz w:val="22"/>
          </w:rPr>
          <w:t>Key Agencies Planning Group</w:t>
        </w:r>
      </w:hyperlink>
      <w:r>
        <w:rPr>
          <w:rFonts w:cs="Arial"/>
          <w:sz w:val="22"/>
        </w:rPr>
        <w:t xml:space="preserve"> </w:t>
      </w:r>
      <w:r w:rsidRPr="00781A23">
        <w:rPr>
          <w:rFonts w:cs="Arial"/>
          <w:sz w:val="22"/>
        </w:rPr>
        <w:t>to support the delivery of a cultural change in land use planning through improved joint working</w:t>
      </w:r>
      <w:r>
        <w:rPr>
          <w:rFonts w:cs="Arial"/>
          <w:sz w:val="22"/>
        </w:rPr>
        <w:t>.</w:t>
      </w:r>
    </w:p>
    <w:p w:rsidR="001C77CF" w:rsidRDefault="001C77CF" w:rsidP="001C77CF">
      <w:pPr>
        <w:rPr>
          <w:sz w:val="22"/>
          <w:szCs w:val="22"/>
        </w:rPr>
      </w:pPr>
    </w:p>
    <w:p w:rsidR="001C77CF" w:rsidRPr="00C51921" w:rsidRDefault="001C77CF" w:rsidP="001C77CF">
      <w:pPr>
        <w:rPr>
          <w:sz w:val="22"/>
          <w:szCs w:val="22"/>
        </w:rPr>
      </w:pPr>
      <w:r>
        <w:rPr>
          <w:sz w:val="22"/>
          <w:szCs w:val="22"/>
        </w:rPr>
        <w:t>These arrangements have been agreed</w:t>
      </w:r>
      <w:r w:rsidRPr="00C51921">
        <w:rPr>
          <w:sz w:val="22"/>
          <w:szCs w:val="22"/>
        </w:rPr>
        <w:t xml:space="preserve"> to ensure that:</w:t>
      </w:r>
    </w:p>
    <w:p w:rsidR="001C77CF" w:rsidRDefault="001C77CF" w:rsidP="001C77CF">
      <w:pPr>
        <w:rPr>
          <w:sz w:val="22"/>
          <w:szCs w:val="22"/>
        </w:rPr>
      </w:pPr>
    </w:p>
    <w:p w:rsidR="001C77CF" w:rsidRDefault="001C77CF" w:rsidP="001C77CF">
      <w:pPr>
        <w:numPr>
          <w:ilvl w:val="0"/>
          <w:numId w:val="1"/>
        </w:numPr>
        <w:overflowPunct/>
        <w:autoSpaceDE/>
        <w:autoSpaceDN/>
        <w:adjustRightInd/>
        <w:textAlignment w:val="auto"/>
        <w:rPr>
          <w:sz w:val="22"/>
          <w:szCs w:val="22"/>
        </w:rPr>
      </w:pPr>
      <w:r>
        <w:rPr>
          <w:sz w:val="22"/>
          <w:szCs w:val="22"/>
        </w:rPr>
        <w:t>Advice from SEPA and SNH to customers is clear, complementary and avoids duplication; and,</w:t>
      </w:r>
    </w:p>
    <w:p w:rsidR="001C77CF" w:rsidRDefault="001C77CF" w:rsidP="001C77CF">
      <w:pPr>
        <w:pStyle w:val="ListParagraph"/>
        <w:rPr>
          <w:sz w:val="22"/>
          <w:szCs w:val="22"/>
        </w:rPr>
      </w:pPr>
    </w:p>
    <w:p w:rsidR="001C77CF" w:rsidRDefault="001C77CF" w:rsidP="001C77CF">
      <w:pPr>
        <w:numPr>
          <w:ilvl w:val="0"/>
          <w:numId w:val="1"/>
        </w:numPr>
        <w:overflowPunct/>
        <w:autoSpaceDE/>
        <w:autoSpaceDN/>
        <w:adjustRightInd/>
        <w:textAlignment w:val="auto"/>
        <w:rPr>
          <w:sz w:val="22"/>
          <w:szCs w:val="22"/>
        </w:rPr>
      </w:pPr>
      <w:r>
        <w:rPr>
          <w:sz w:val="22"/>
          <w:szCs w:val="22"/>
        </w:rPr>
        <w:t>SEPA and SNH work together prior to responding to planning consultations where there is a joint interest.</w:t>
      </w:r>
    </w:p>
    <w:p w:rsidR="001C77CF" w:rsidRPr="008F0843" w:rsidRDefault="001C77CF" w:rsidP="001C77CF">
      <w:pPr>
        <w:overflowPunct/>
        <w:autoSpaceDE/>
        <w:autoSpaceDN/>
        <w:adjustRightInd/>
        <w:textAlignment w:val="auto"/>
        <w:rPr>
          <w:sz w:val="22"/>
          <w:szCs w:val="22"/>
        </w:rPr>
      </w:pPr>
    </w:p>
    <w:p w:rsidR="001C77CF" w:rsidRPr="00D317C4" w:rsidRDefault="001C77CF" w:rsidP="001C77CF">
      <w:pPr>
        <w:rPr>
          <w:b/>
          <w:sz w:val="22"/>
          <w:szCs w:val="22"/>
          <w:u w:val="single"/>
        </w:rPr>
      </w:pPr>
      <w:r w:rsidRPr="00D317C4">
        <w:rPr>
          <w:b/>
          <w:sz w:val="22"/>
          <w:szCs w:val="22"/>
          <w:u w:val="single"/>
        </w:rPr>
        <w:t>2.</w:t>
      </w:r>
      <w:r>
        <w:rPr>
          <w:b/>
          <w:sz w:val="22"/>
          <w:szCs w:val="22"/>
          <w:u w:val="single"/>
        </w:rPr>
        <w:t xml:space="preserve"> </w:t>
      </w:r>
      <w:r w:rsidRPr="00D317C4">
        <w:rPr>
          <w:b/>
          <w:sz w:val="22"/>
          <w:szCs w:val="22"/>
          <w:u w:val="single"/>
        </w:rPr>
        <w:t xml:space="preserve">Our Roles in the Planning System </w:t>
      </w:r>
    </w:p>
    <w:p w:rsidR="001C77CF" w:rsidRPr="008F0843" w:rsidRDefault="001C77CF" w:rsidP="001C77CF">
      <w:pPr>
        <w:rPr>
          <w:b/>
          <w:sz w:val="22"/>
          <w:szCs w:val="22"/>
        </w:rPr>
      </w:pPr>
    </w:p>
    <w:p w:rsidR="001C77CF" w:rsidRPr="00DF3E1F" w:rsidRDefault="001C77CF" w:rsidP="001C77CF">
      <w:pPr>
        <w:rPr>
          <w:rFonts w:cs="Arial"/>
          <w:color w:val="333333"/>
          <w:sz w:val="22"/>
          <w:szCs w:val="22"/>
          <w:lang w:eastAsia="en-GB"/>
        </w:rPr>
      </w:pPr>
      <w:r>
        <w:rPr>
          <w:rFonts w:cs="Arial"/>
          <w:color w:val="333333"/>
          <w:sz w:val="22"/>
          <w:szCs w:val="22"/>
          <w:lang w:eastAsia="en-GB"/>
        </w:rPr>
        <w:t>A</w:t>
      </w:r>
      <w:r w:rsidRPr="00DF3E1F">
        <w:rPr>
          <w:rFonts w:cs="Arial"/>
          <w:color w:val="333333"/>
          <w:sz w:val="22"/>
          <w:szCs w:val="22"/>
          <w:lang w:eastAsia="en-GB"/>
        </w:rPr>
        <w:t xml:space="preserve">s Key Agencies within </w:t>
      </w:r>
      <w:r>
        <w:rPr>
          <w:rFonts w:cs="Arial"/>
          <w:color w:val="333333"/>
          <w:sz w:val="22"/>
          <w:szCs w:val="22"/>
          <w:lang w:eastAsia="en-GB"/>
        </w:rPr>
        <w:t>Scotland’s land use p</w:t>
      </w:r>
      <w:r w:rsidRPr="00DF3E1F">
        <w:rPr>
          <w:rFonts w:cs="Arial"/>
          <w:color w:val="333333"/>
          <w:sz w:val="22"/>
          <w:szCs w:val="22"/>
          <w:lang w:eastAsia="en-GB"/>
        </w:rPr>
        <w:t xml:space="preserve">lanning system </w:t>
      </w:r>
      <w:r>
        <w:rPr>
          <w:rFonts w:cs="Arial"/>
          <w:color w:val="333333"/>
          <w:sz w:val="22"/>
          <w:szCs w:val="22"/>
          <w:lang w:eastAsia="en-GB"/>
        </w:rPr>
        <w:t>SNH and SEPA</w:t>
      </w:r>
      <w:r w:rsidRPr="00DF3E1F">
        <w:rPr>
          <w:rFonts w:cs="Arial"/>
          <w:color w:val="333333"/>
          <w:sz w:val="22"/>
          <w:szCs w:val="22"/>
          <w:lang w:eastAsia="en-GB"/>
        </w:rPr>
        <w:t xml:space="preserve"> have an important role </w:t>
      </w:r>
      <w:r>
        <w:rPr>
          <w:rFonts w:cs="Arial"/>
          <w:color w:val="333333"/>
          <w:sz w:val="22"/>
          <w:szCs w:val="22"/>
          <w:lang w:eastAsia="en-GB"/>
        </w:rPr>
        <w:t xml:space="preserve">to play in providing specialist advice on areas within our remit to planning authorities and the Energy Consents Unit. </w:t>
      </w:r>
    </w:p>
    <w:p w:rsidR="001C77CF" w:rsidRDefault="001C77CF" w:rsidP="001C77CF">
      <w:pPr>
        <w:rPr>
          <w:rFonts w:cs="Arial"/>
          <w:b/>
          <w:color w:val="333333"/>
          <w:sz w:val="22"/>
          <w:szCs w:val="22"/>
          <w:lang w:eastAsia="en-GB"/>
        </w:rPr>
      </w:pPr>
    </w:p>
    <w:p w:rsidR="001C77CF" w:rsidRPr="008F0843" w:rsidRDefault="001C77CF" w:rsidP="001C77CF">
      <w:pPr>
        <w:rPr>
          <w:rStyle w:val="A2"/>
          <w:sz w:val="22"/>
          <w:szCs w:val="22"/>
        </w:rPr>
      </w:pPr>
      <w:r w:rsidRPr="008142B4">
        <w:rPr>
          <w:rFonts w:cs="Arial"/>
          <w:color w:val="333333"/>
          <w:sz w:val="22"/>
          <w:szCs w:val="22"/>
          <w:lang w:eastAsia="en-GB"/>
        </w:rPr>
        <w:t xml:space="preserve">SNH </w:t>
      </w:r>
      <w:r w:rsidRPr="008142B4">
        <w:rPr>
          <w:rStyle w:val="A2"/>
          <w:sz w:val="22"/>
          <w:szCs w:val="22"/>
        </w:rPr>
        <w:t>p</w:t>
      </w:r>
      <w:r w:rsidRPr="008F0843">
        <w:rPr>
          <w:rStyle w:val="A2"/>
          <w:sz w:val="22"/>
          <w:szCs w:val="22"/>
        </w:rPr>
        <w:t xml:space="preserve">rovide </w:t>
      </w:r>
      <w:r>
        <w:rPr>
          <w:rStyle w:val="A2"/>
          <w:sz w:val="22"/>
          <w:szCs w:val="22"/>
        </w:rPr>
        <w:t xml:space="preserve">planning </w:t>
      </w:r>
      <w:r w:rsidRPr="008F0843">
        <w:rPr>
          <w:rStyle w:val="A2"/>
          <w:sz w:val="22"/>
          <w:szCs w:val="22"/>
        </w:rPr>
        <w:t>advice on the effects of plans, policies and development proposals on Scotland’s natural heritage. This includes our landscape and seascape, biodiversity, geo-diversity and the public en</w:t>
      </w:r>
      <w:r>
        <w:rPr>
          <w:rStyle w:val="A2"/>
          <w:sz w:val="22"/>
          <w:szCs w:val="22"/>
        </w:rPr>
        <w:t>joyment of the outdoors.</w:t>
      </w:r>
      <w:r w:rsidRPr="008F0843">
        <w:rPr>
          <w:rStyle w:val="A2"/>
          <w:sz w:val="22"/>
          <w:szCs w:val="22"/>
        </w:rPr>
        <w:t xml:space="preserve"> </w:t>
      </w:r>
      <w:hyperlink r:id="rId7" w:history="1">
        <w:r>
          <w:rPr>
            <w:rStyle w:val="Hyperlink"/>
            <w:rFonts w:cs="Akzidenz Grotesk BE Light"/>
            <w:sz w:val="22"/>
            <w:szCs w:val="22"/>
          </w:rPr>
          <w:t>SNH Service Statement - Planning for Development</w:t>
        </w:r>
      </w:hyperlink>
      <w:r>
        <w:rPr>
          <w:rStyle w:val="Hyperlink"/>
          <w:rFonts w:cs="Akzidenz Grotesk BE Light"/>
          <w:sz w:val="22"/>
          <w:szCs w:val="22"/>
        </w:rPr>
        <w:t xml:space="preserve"> </w:t>
      </w:r>
      <w:r w:rsidRPr="00DF3E1F">
        <w:rPr>
          <w:rStyle w:val="Hyperlink"/>
          <w:rFonts w:cs="Akzidenz Grotesk BE Light"/>
          <w:color w:val="auto"/>
          <w:sz w:val="22"/>
          <w:szCs w:val="22"/>
          <w:u w:val="none"/>
        </w:rPr>
        <w:t>provides an overview of how SNH engage with the planning system</w:t>
      </w:r>
      <w:r>
        <w:rPr>
          <w:rStyle w:val="Hyperlink"/>
          <w:rFonts w:cs="Akzidenz Grotesk BE Light"/>
          <w:sz w:val="22"/>
          <w:szCs w:val="22"/>
        </w:rPr>
        <w:t>.</w:t>
      </w:r>
    </w:p>
    <w:p w:rsidR="001C77CF" w:rsidRPr="008F0843" w:rsidRDefault="001C77CF" w:rsidP="001C77CF">
      <w:pPr>
        <w:rPr>
          <w:rStyle w:val="A2"/>
          <w:sz w:val="22"/>
          <w:szCs w:val="22"/>
        </w:rPr>
      </w:pPr>
    </w:p>
    <w:p w:rsidR="001C77CF" w:rsidRPr="00A94D20" w:rsidRDefault="001C77CF" w:rsidP="001C77CF">
      <w:pPr>
        <w:rPr>
          <w:b/>
          <w:sz w:val="22"/>
          <w:szCs w:val="22"/>
        </w:rPr>
      </w:pPr>
      <w:r w:rsidRPr="008142B4">
        <w:rPr>
          <w:rFonts w:cs="Arial"/>
          <w:color w:val="333333"/>
          <w:sz w:val="22"/>
          <w:szCs w:val="22"/>
          <w:lang w:eastAsia="en-GB"/>
        </w:rPr>
        <w:t>SEPA p</w:t>
      </w:r>
      <w:r w:rsidRPr="00A94D20">
        <w:rPr>
          <w:rFonts w:cs="Arial"/>
          <w:color w:val="333333"/>
          <w:sz w:val="22"/>
          <w:szCs w:val="22"/>
          <w:lang w:eastAsia="en-GB"/>
        </w:rPr>
        <w:t xml:space="preserve">rovide planning advice on </w:t>
      </w:r>
      <w:r>
        <w:rPr>
          <w:rFonts w:cs="Arial"/>
          <w:color w:val="333333"/>
          <w:sz w:val="22"/>
          <w:szCs w:val="22"/>
          <w:lang w:eastAsia="en-GB"/>
        </w:rPr>
        <w:t xml:space="preserve">the effects of plans, policies and development proposals on flood risk, zero waste and environmental issues as they relate to our regulatory role including impacts on the water, air and the soil environment.  </w:t>
      </w:r>
      <w:hyperlink r:id="rId8" w:history="1">
        <w:r w:rsidRPr="0029391E">
          <w:rPr>
            <w:rStyle w:val="Hyperlink"/>
            <w:rFonts w:cs="Arial"/>
            <w:sz w:val="22"/>
            <w:szCs w:val="22"/>
            <w:lang w:eastAsia="en-GB"/>
          </w:rPr>
          <w:t>SEPA’s planning portal</w:t>
        </w:r>
      </w:hyperlink>
      <w:r>
        <w:rPr>
          <w:rFonts w:cs="Arial"/>
          <w:color w:val="333333"/>
          <w:sz w:val="22"/>
          <w:szCs w:val="22"/>
          <w:lang w:eastAsia="en-GB"/>
        </w:rPr>
        <w:t xml:space="preserve"> provides further information on the areas we provide advice on and links to our planning related advice and guidance.    </w:t>
      </w:r>
    </w:p>
    <w:p w:rsidR="001C77CF" w:rsidRDefault="001C77CF" w:rsidP="001C77CF">
      <w:pPr>
        <w:ind w:left="600"/>
        <w:rPr>
          <w:rFonts w:cs="Arial"/>
          <w:b/>
          <w:sz w:val="22"/>
        </w:rPr>
      </w:pPr>
    </w:p>
    <w:p w:rsidR="001C77CF" w:rsidRPr="00DF3E1F" w:rsidRDefault="001C77CF" w:rsidP="001C77CF">
      <w:pPr>
        <w:rPr>
          <w:rFonts w:cs="Arial"/>
          <w:b/>
          <w:sz w:val="22"/>
          <w:u w:val="single"/>
        </w:rPr>
      </w:pPr>
      <w:r>
        <w:rPr>
          <w:rFonts w:cs="Arial"/>
          <w:b/>
          <w:sz w:val="22"/>
          <w:u w:val="single"/>
        </w:rPr>
        <w:t xml:space="preserve">3. </w:t>
      </w:r>
      <w:r w:rsidRPr="00DF3E1F">
        <w:rPr>
          <w:rFonts w:cs="Arial"/>
          <w:b/>
          <w:sz w:val="22"/>
          <w:u w:val="single"/>
        </w:rPr>
        <w:t xml:space="preserve">Scope of working arrangements </w:t>
      </w:r>
    </w:p>
    <w:p w:rsidR="001C77CF" w:rsidRDefault="001C77CF" w:rsidP="001C77CF">
      <w:pPr>
        <w:rPr>
          <w:rFonts w:cs="Arial"/>
          <w:sz w:val="22"/>
        </w:rPr>
      </w:pPr>
    </w:p>
    <w:p w:rsidR="001C77CF" w:rsidRDefault="001C77CF" w:rsidP="001C77CF">
      <w:pPr>
        <w:rPr>
          <w:rFonts w:cs="Arial"/>
          <w:sz w:val="22"/>
        </w:rPr>
      </w:pPr>
      <w:r w:rsidRPr="00DF3E1F">
        <w:rPr>
          <w:rFonts w:cs="Arial"/>
          <w:sz w:val="22"/>
        </w:rPr>
        <w:t>These arrangements relate to</w:t>
      </w:r>
      <w:r>
        <w:rPr>
          <w:rFonts w:cs="Arial"/>
          <w:sz w:val="22"/>
        </w:rPr>
        <w:t xml:space="preserve"> our respective roles in responding to</w:t>
      </w:r>
      <w:r w:rsidRPr="00DF3E1F">
        <w:rPr>
          <w:rFonts w:cs="Arial"/>
          <w:sz w:val="22"/>
        </w:rPr>
        <w:t xml:space="preserve"> land use planning and Electricity Act consultations. They do not apply to </w:t>
      </w:r>
      <w:r>
        <w:rPr>
          <w:rFonts w:cs="Arial"/>
          <w:sz w:val="22"/>
        </w:rPr>
        <w:t xml:space="preserve">other regulatory regimes administered by the Agencies e.g. </w:t>
      </w:r>
      <w:r w:rsidRPr="00DF3E1F">
        <w:rPr>
          <w:rFonts w:cs="Arial"/>
          <w:sz w:val="22"/>
        </w:rPr>
        <w:t>CAR licensing</w:t>
      </w:r>
      <w:r>
        <w:rPr>
          <w:rFonts w:cs="Arial"/>
          <w:sz w:val="22"/>
        </w:rPr>
        <w:t xml:space="preserve"> by SEPA</w:t>
      </w:r>
      <w:r w:rsidRPr="00DF3E1F">
        <w:rPr>
          <w:rFonts w:cs="Arial"/>
          <w:sz w:val="22"/>
        </w:rPr>
        <w:t xml:space="preserve">. Separate arrangements for CAR and </w:t>
      </w:r>
      <w:proofErr w:type="spellStart"/>
      <w:r w:rsidRPr="00DF3E1F">
        <w:rPr>
          <w:rFonts w:cs="Arial"/>
          <w:sz w:val="22"/>
        </w:rPr>
        <w:t>Natura</w:t>
      </w:r>
      <w:proofErr w:type="spellEnd"/>
      <w:r w:rsidRPr="00DF3E1F">
        <w:rPr>
          <w:rFonts w:cs="Arial"/>
          <w:sz w:val="22"/>
        </w:rPr>
        <w:t xml:space="preserve"> issues will be available in due course.  Where a project involves multiple regulatory processes</w:t>
      </w:r>
      <w:r>
        <w:rPr>
          <w:rFonts w:cs="Arial"/>
          <w:sz w:val="22"/>
        </w:rPr>
        <w:t xml:space="preserve"> including planning or Electricity Act consents, we will work in a coordinated and effective manner in accordance with the principles outlined below.</w:t>
      </w:r>
      <w:r w:rsidRPr="00DF3E1F">
        <w:rPr>
          <w:rFonts w:cs="Arial"/>
          <w:sz w:val="22"/>
        </w:rPr>
        <w:t xml:space="preserve">  </w:t>
      </w:r>
    </w:p>
    <w:p w:rsidR="001C77CF" w:rsidRDefault="001C77CF" w:rsidP="001C77CF">
      <w:pPr>
        <w:ind w:left="360" w:hanging="218"/>
        <w:rPr>
          <w:rFonts w:cs="Arial"/>
          <w:sz w:val="22"/>
        </w:rPr>
      </w:pPr>
    </w:p>
    <w:p w:rsidR="001C77CF" w:rsidRDefault="001C77CF" w:rsidP="001C77CF">
      <w:pPr>
        <w:ind w:left="360" w:hanging="360"/>
        <w:rPr>
          <w:rFonts w:cs="Arial"/>
          <w:b/>
          <w:sz w:val="22"/>
          <w:u w:val="single"/>
        </w:rPr>
      </w:pPr>
      <w:r>
        <w:rPr>
          <w:rFonts w:cs="Arial"/>
          <w:b/>
          <w:sz w:val="22"/>
          <w:u w:val="single"/>
        </w:rPr>
        <w:t xml:space="preserve">4. </w:t>
      </w:r>
      <w:r w:rsidRPr="00DF3E1F">
        <w:rPr>
          <w:rFonts w:cs="Arial"/>
          <w:b/>
          <w:sz w:val="22"/>
          <w:u w:val="single"/>
        </w:rPr>
        <w:t>Principles of Joint Working</w:t>
      </w:r>
    </w:p>
    <w:p w:rsidR="001C77CF" w:rsidRDefault="001C77CF" w:rsidP="001C77CF">
      <w:pPr>
        <w:ind w:left="360" w:hanging="218"/>
        <w:rPr>
          <w:rFonts w:cs="Arial"/>
          <w:b/>
          <w:sz w:val="22"/>
          <w:u w:val="single"/>
        </w:rPr>
      </w:pPr>
    </w:p>
    <w:p w:rsidR="001C77CF" w:rsidRDefault="001C77CF" w:rsidP="001C77CF">
      <w:pPr>
        <w:spacing w:after="120"/>
        <w:rPr>
          <w:rFonts w:cs="Arial"/>
          <w:sz w:val="22"/>
        </w:rPr>
      </w:pPr>
      <w:r w:rsidRPr="000252FD">
        <w:rPr>
          <w:rFonts w:cs="Arial"/>
          <w:sz w:val="22"/>
        </w:rPr>
        <w:t>T</w:t>
      </w:r>
      <w:r>
        <w:rPr>
          <w:rFonts w:cs="Arial"/>
          <w:sz w:val="22"/>
        </w:rPr>
        <w:t>o</w:t>
      </w:r>
      <w:r w:rsidRPr="00DF3E1F">
        <w:rPr>
          <w:rFonts w:cs="Arial"/>
          <w:sz w:val="22"/>
        </w:rPr>
        <w:t xml:space="preserve"> achieve </w:t>
      </w:r>
      <w:r>
        <w:rPr>
          <w:rFonts w:cs="Arial"/>
          <w:sz w:val="22"/>
        </w:rPr>
        <w:t>an effective and complementary service to planning authorities and the Energy Consents Unit we will follow the following principles of joint working:</w:t>
      </w:r>
    </w:p>
    <w:p w:rsidR="001C77CF" w:rsidRDefault="001C77CF" w:rsidP="001C77CF">
      <w:pPr>
        <w:pStyle w:val="ListParagraph"/>
        <w:numPr>
          <w:ilvl w:val="0"/>
          <w:numId w:val="4"/>
        </w:numPr>
        <w:rPr>
          <w:rFonts w:cs="Arial"/>
          <w:sz w:val="22"/>
        </w:rPr>
      </w:pPr>
      <w:r w:rsidRPr="009B7CBF">
        <w:rPr>
          <w:rFonts w:cs="Arial"/>
          <w:sz w:val="22"/>
          <w:u w:val="single"/>
        </w:rPr>
        <w:t>Ensure that all advice requiring a joint approach from SNH and SEPAs is clear, helpful and timely for our customers</w:t>
      </w:r>
      <w:r>
        <w:rPr>
          <w:rFonts w:cs="Arial"/>
          <w:sz w:val="22"/>
        </w:rPr>
        <w:t xml:space="preserve">.  </w:t>
      </w:r>
    </w:p>
    <w:p w:rsidR="001C77CF" w:rsidRDefault="001C77CF" w:rsidP="001C77CF">
      <w:pPr>
        <w:pStyle w:val="ListParagraph"/>
        <w:numPr>
          <w:ilvl w:val="0"/>
          <w:numId w:val="4"/>
        </w:numPr>
        <w:rPr>
          <w:rFonts w:cs="Arial"/>
          <w:sz w:val="22"/>
        </w:rPr>
      </w:pPr>
      <w:r w:rsidRPr="009B7CBF">
        <w:rPr>
          <w:rFonts w:cs="Arial"/>
          <w:sz w:val="22"/>
          <w:u w:val="single"/>
        </w:rPr>
        <w:t>Identify areas of potential overlap and associated risks as early in the process as possible</w:t>
      </w:r>
      <w:r>
        <w:rPr>
          <w:rFonts w:cs="Arial"/>
          <w:sz w:val="22"/>
        </w:rPr>
        <w:t xml:space="preserve">.   </w:t>
      </w:r>
      <w:r w:rsidRPr="00DF3E1F">
        <w:rPr>
          <w:rFonts w:cs="Arial"/>
          <w:sz w:val="22"/>
        </w:rPr>
        <w:t xml:space="preserve">Officers </w:t>
      </w:r>
      <w:r>
        <w:rPr>
          <w:rFonts w:cs="Arial"/>
          <w:sz w:val="22"/>
        </w:rPr>
        <w:t xml:space="preserve">from both agencies </w:t>
      </w:r>
      <w:r w:rsidRPr="00DF3E1F">
        <w:rPr>
          <w:rFonts w:cs="Arial"/>
          <w:sz w:val="22"/>
        </w:rPr>
        <w:t>should aim</w:t>
      </w:r>
      <w:r>
        <w:rPr>
          <w:rFonts w:cs="Arial"/>
          <w:sz w:val="22"/>
        </w:rPr>
        <w:t xml:space="preserve"> </w:t>
      </w:r>
      <w:r w:rsidRPr="00DF3E1F">
        <w:rPr>
          <w:rFonts w:cs="Arial"/>
          <w:sz w:val="22"/>
        </w:rPr>
        <w:t xml:space="preserve">to ensure </w:t>
      </w:r>
      <w:r>
        <w:rPr>
          <w:rFonts w:cs="Arial"/>
          <w:sz w:val="22"/>
        </w:rPr>
        <w:t>that</w:t>
      </w:r>
      <w:r w:rsidRPr="00DF3E1F">
        <w:rPr>
          <w:rFonts w:cs="Arial"/>
          <w:sz w:val="22"/>
        </w:rPr>
        <w:t xml:space="preserve"> future risk</w:t>
      </w:r>
      <w:r>
        <w:rPr>
          <w:rFonts w:cs="Arial"/>
          <w:sz w:val="22"/>
        </w:rPr>
        <w:t>s are</w:t>
      </w:r>
      <w:r w:rsidRPr="00DF3E1F">
        <w:rPr>
          <w:rFonts w:cs="Arial"/>
          <w:sz w:val="22"/>
        </w:rPr>
        <w:t xml:space="preserve"> </w:t>
      </w:r>
      <w:r>
        <w:rPr>
          <w:rFonts w:cs="Arial"/>
          <w:sz w:val="22"/>
        </w:rPr>
        <w:t xml:space="preserve">not </w:t>
      </w:r>
      <w:r w:rsidRPr="00DF3E1F">
        <w:rPr>
          <w:rFonts w:cs="Arial"/>
          <w:sz w:val="22"/>
        </w:rPr>
        <w:t xml:space="preserve">being deferred without discussion.  </w:t>
      </w:r>
      <w:r>
        <w:rPr>
          <w:rFonts w:cs="Arial"/>
          <w:sz w:val="22"/>
        </w:rPr>
        <w:t>This is particularly important where such risks may undermine the viability of the proposed development.</w:t>
      </w:r>
    </w:p>
    <w:p w:rsidR="001C77CF" w:rsidRPr="00F774E3" w:rsidRDefault="001C77CF" w:rsidP="001C77CF">
      <w:pPr>
        <w:pStyle w:val="ListParagraph"/>
        <w:numPr>
          <w:ilvl w:val="0"/>
          <w:numId w:val="4"/>
        </w:numPr>
        <w:rPr>
          <w:rFonts w:cs="Arial"/>
          <w:sz w:val="22"/>
        </w:rPr>
      </w:pPr>
      <w:r w:rsidRPr="009B7CBF">
        <w:rPr>
          <w:rFonts w:cs="Arial"/>
          <w:sz w:val="22"/>
          <w:u w:val="single"/>
        </w:rPr>
        <w:t>Clearly communicate any areas of potential overlap and associated risks with the relevant SNH case officer or SEPA planning officer at the earliest opportunity</w:t>
      </w:r>
      <w:r w:rsidRPr="00F774E3">
        <w:rPr>
          <w:rFonts w:cs="Arial"/>
          <w:sz w:val="22"/>
        </w:rPr>
        <w:t xml:space="preserve">.  </w:t>
      </w:r>
      <w:r w:rsidRPr="00DF3E1F">
        <w:rPr>
          <w:rFonts w:cs="Arial"/>
          <w:sz w:val="22"/>
        </w:rPr>
        <w:t xml:space="preserve">In the early stages of any case SNH Case Officers, SEPA Planning Officers and specialist advisers in both organisations should consider whether a joint approach </w:t>
      </w:r>
      <w:r>
        <w:rPr>
          <w:rFonts w:cs="Arial"/>
          <w:sz w:val="22"/>
        </w:rPr>
        <w:t>is needed to provide clear and helpful advice</w:t>
      </w:r>
      <w:r w:rsidRPr="00DF3E1F">
        <w:rPr>
          <w:rFonts w:cs="Arial"/>
          <w:sz w:val="22"/>
        </w:rPr>
        <w:t xml:space="preserve">. </w:t>
      </w:r>
      <w:r>
        <w:rPr>
          <w:rFonts w:cs="Arial"/>
          <w:sz w:val="22"/>
        </w:rPr>
        <w:t xml:space="preserve">Table 1 provides guidance on areas of potential overlap and the agreed working arrangements.  </w:t>
      </w:r>
      <w:r w:rsidRPr="00DF3E1F">
        <w:rPr>
          <w:rFonts w:cs="Arial"/>
          <w:sz w:val="22"/>
        </w:rPr>
        <w:t xml:space="preserve">In such cases the lead SNH and SEPA Officers should make contact </w:t>
      </w:r>
      <w:r>
        <w:rPr>
          <w:rFonts w:cs="Arial"/>
          <w:sz w:val="22"/>
        </w:rPr>
        <w:t xml:space="preserve">(see contact details below) </w:t>
      </w:r>
      <w:r w:rsidRPr="00DF3E1F">
        <w:rPr>
          <w:rFonts w:cs="Arial"/>
          <w:sz w:val="22"/>
        </w:rPr>
        <w:t xml:space="preserve">and discuss the case with each other </w:t>
      </w:r>
      <w:r>
        <w:rPr>
          <w:rFonts w:cs="Arial"/>
          <w:sz w:val="22"/>
        </w:rPr>
        <w:t>to coordinate the response(s)</w:t>
      </w:r>
      <w:r w:rsidRPr="00DF3E1F">
        <w:rPr>
          <w:rFonts w:cs="Arial"/>
          <w:sz w:val="22"/>
        </w:rPr>
        <w:t xml:space="preserve">. This applies to both pre-application advice to developers and formal responses to consultations from </w:t>
      </w:r>
      <w:r>
        <w:rPr>
          <w:rFonts w:cs="Arial"/>
          <w:sz w:val="22"/>
        </w:rPr>
        <w:t>planning authorities and the ECU.</w:t>
      </w:r>
    </w:p>
    <w:p w:rsidR="001C77CF" w:rsidRDefault="001C77CF" w:rsidP="001C77CF">
      <w:pPr>
        <w:pStyle w:val="ListParagraph"/>
        <w:numPr>
          <w:ilvl w:val="0"/>
          <w:numId w:val="4"/>
        </w:numPr>
        <w:rPr>
          <w:rFonts w:cs="Arial"/>
          <w:sz w:val="22"/>
        </w:rPr>
      </w:pPr>
      <w:r w:rsidRPr="009B7CBF">
        <w:rPr>
          <w:rFonts w:cs="Arial"/>
          <w:sz w:val="22"/>
          <w:u w:val="single"/>
        </w:rPr>
        <w:t>Coordinate respective responses in line with the joint working arrangements outlined in Table 1</w:t>
      </w:r>
      <w:r>
        <w:rPr>
          <w:rFonts w:cs="Arial"/>
          <w:sz w:val="22"/>
        </w:rPr>
        <w:t xml:space="preserve">.  Table 1 provides guidance on the working arrangements to be followed where a potential overlap of issues has been identified. Where one Agency is identified as the lead responder, the other Agency will provide the necessary support in a clear and timely manner. </w:t>
      </w:r>
    </w:p>
    <w:p w:rsidR="001C77CF" w:rsidRPr="001E53EF" w:rsidRDefault="001C77CF" w:rsidP="001C77CF">
      <w:pPr>
        <w:pStyle w:val="ListParagraph"/>
        <w:numPr>
          <w:ilvl w:val="0"/>
          <w:numId w:val="4"/>
        </w:numPr>
        <w:rPr>
          <w:sz w:val="22"/>
          <w:szCs w:val="22"/>
        </w:rPr>
      </w:pPr>
      <w:r w:rsidRPr="009B7CBF">
        <w:rPr>
          <w:rFonts w:cs="Arial"/>
          <w:sz w:val="22"/>
          <w:u w:val="single"/>
        </w:rPr>
        <w:t>In exceptional circumstances where a joint position cannot be agreed the matter should be escalated through the appropriate channels of each Agency as expediently as possible</w:t>
      </w:r>
      <w:r w:rsidRPr="001E53EF">
        <w:rPr>
          <w:rFonts w:cs="Arial"/>
          <w:sz w:val="22"/>
        </w:rPr>
        <w:t xml:space="preserve">.  </w:t>
      </w:r>
      <w:r w:rsidRPr="001E53EF">
        <w:rPr>
          <w:sz w:val="22"/>
          <w:szCs w:val="22"/>
        </w:rPr>
        <w:t xml:space="preserve">In SNH, escalation will be to the Area Manager.  In SEPA, escalation will be to the Planning Unit Manager. </w:t>
      </w:r>
      <w:r>
        <w:rPr>
          <w:sz w:val="22"/>
          <w:szCs w:val="22"/>
        </w:rPr>
        <w:t xml:space="preserve">The Managers will coordinate further liaison to reach an agreed position bringing together relevant parties as required. In exceptional circumstances where agreement still cannot be reached a document outlining the differences will be jointly prepared for consideration by more senior management in both Agencies. </w:t>
      </w:r>
      <w:r w:rsidRPr="001E53EF">
        <w:rPr>
          <w:rFonts w:cs="Arial"/>
          <w:sz w:val="22"/>
        </w:rPr>
        <w:t xml:space="preserve"> </w:t>
      </w:r>
      <w:r w:rsidRPr="001E53EF">
        <w:rPr>
          <w:sz w:val="22"/>
          <w:szCs w:val="22"/>
        </w:rPr>
        <w:t>Very occasionally, despite making every effort to find a solution</w:t>
      </w:r>
      <w:r>
        <w:rPr>
          <w:sz w:val="22"/>
          <w:szCs w:val="22"/>
        </w:rPr>
        <w:t>,</w:t>
      </w:r>
      <w:r w:rsidRPr="001E53EF">
        <w:rPr>
          <w:sz w:val="22"/>
          <w:szCs w:val="22"/>
        </w:rPr>
        <w:t xml:space="preserve"> SNH and SEPA may be unable to agree. In such cases it </w:t>
      </w:r>
      <w:r>
        <w:rPr>
          <w:sz w:val="22"/>
          <w:szCs w:val="22"/>
        </w:rPr>
        <w:t>is</w:t>
      </w:r>
      <w:r w:rsidRPr="001E53EF">
        <w:rPr>
          <w:sz w:val="22"/>
          <w:szCs w:val="22"/>
        </w:rPr>
        <w:t xml:space="preserve"> important to clearly document the justification for submitting non-complementary responses.</w:t>
      </w:r>
    </w:p>
    <w:p w:rsidR="001C77CF" w:rsidRPr="00DF3E1F" w:rsidRDefault="001C77CF" w:rsidP="001C77CF">
      <w:pPr>
        <w:pStyle w:val="ListParagraph"/>
        <w:numPr>
          <w:ilvl w:val="0"/>
          <w:numId w:val="4"/>
        </w:numPr>
        <w:rPr>
          <w:rFonts w:cs="Arial"/>
          <w:sz w:val="22"/>
        </w:rPr>
      </w:pPr>
      <w:r w:rsidRPr="009B7CBF">
        <w:rPr>
          <w:rFonts w:cs="Arial"/>
          <w:sz w:val="22"/>
          <w:u w:val="single"/>
        </w:rPr>
        <w:t>Fully cooperate through the provision of relevant specialist input to planning hearings or inquiries</w:t>
      </w:r>
      <w:r>
        <w:rPr>
          <w:rFonts w:cs="Arial"/>
          <w:sz w:val="22"/>
        </w:rPr>
        <w:t xml:space="preserve">. This applies to both Agencies irrespective of the lead responder to the original consultation.       </w:t>
      </w:r>
      <w:r w:rsidRPr="00DF3E1F">
        <w:rPr>
          <w:rFonts w:cs="Arial"/>
          <w:sz w:val="22"/>
        </w:rPr>
        <w:t xml:space="preserve"> </w:t>
      </w:r>
    </w:p>
    <w:p w:rsidR="001C77CF" w:rsidRPr="00DF3E1F" w:rsidRDefault="001C77CF" w:rsidP="001C77CF">
      <w:pPr>
        <w:ind w:left="360" w:hanging="218"/>
        <w:rPr>
          <w:rFonts w:cs="Arial"/>
          <w:b/>
          <w:sz w:val="22"/>
          <w:u w:val="single"/>
        </w:rPr>
      </w:pPr>
    </w:p>
    <w:p w:rsidR="001C77CF" w:rsidRDefault="001C77CF" w:rsidP="001C77CF">
      <w:pPr>
        <w:ind w:left="360"/>
        <w:rPr>
          <w:rFonts w:cs="Arial"/>
          <w:b/>
          <w:sz w:val="22"/>
          <w:highlight w:val="green"/>
        </w:rPr>
      </w:pPr>
      <w:r w:rsidRPr="009B7CBF">
        <w:rPr>
          <w:rFonts w:cs="Arial"/>
          <w:noProof/>
          <w:sz w:val="22"/>
          <w:lang w:eastAsia="en-GB"/>
        </w:rPr>
        <mc:AlternateContent>
          <mc:Choice Requires="wps">
            <w:drawing>
              <wp:anchor distT="0" distB="0" distL="114300" distR="114300" simplePos="0" relativeHeight="251659264" behindDoc="0" locked="0" layoutInCell="1" allowOverlap="1" wp14:anchorId="4668D295" wp14:editId="3E637905">
                <wp:simplePos x="0" y="0"/>
                <wp:positionH relativeFrom="column">
                  <wp:posOffset>47625</wp:posOffset>
                </wp:positionH>
                <wp:positionV relativeFrom="paragraph">
                  <wp:posOffset>120650</wp:posOffset>
                </wp:positionV>
                <wp:extent cx="5419725" cy="17811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781175"/>
                        </a:xfrm>
                        <a:prstGeom prst="rect">
                          <a:avLst/>
                        </a:prstGeom>
                        <a:solidFill>
                          <a:schemeClr val="bg1">
                            <a:lumMod val="85000"/>
                          </a:schemeClr>
                        </a:solidFill>
                        <a:ln w="9525">
                          <a:solidFill>
                            <a:srgbClr val="000000"/>
                          </a:solidFill>
                          <a:miter lim="800000"/>
                          <a:headEnd/>
                          <a:tailEnd/>
                        </a:ln>
                      </wps:spPr>
                      <wps:txbx>
                        <w:txbxContent>
                          <w:p w:rsidR="001C77CF" w:rsidRDefault="001C77CF" w:rsidP="001C77CF"/>
                          <w:p w:rsidR="001C77CF" w:rsidRPr="009B7CBF" w:rsidRDefault="001C77CF" w:rsidP="001C77CF">
                            <w:pPr>
                              <w:ind w:left="360"/>
                              <w:rPr>
                                <w:rFonts w:cs="Arial"/>
                                <w:b/>
                                <w:sz w:val="22"/>
                              </w:rPr>
                            </w:pPr>
                            <w:r w:rsidRPr="009B7CBF">
                              <w:rPr>
                                <w:rFonts w:cs="Arial"/>
                                <w:b/>
                                <w:sz w:val="22"/>
                              </w:rPr>
                              <w:t xml:space="preserve">SNH staff can find the contact information for SEPA's planning service at: </w:t>
                            </w:r>
                            <w:hyperlink r:id="rId9" w:history="1">
                              <w:r w:rsidRPr="009B7CBF">
                                <w:rPr>
                                  <w:rStyle w:val="Hyperlink"/>
                                  <w:rFonts w:cs="Arial"/>
                                  <w:b/>
                                  <w:sz w:val="22"/>
                                </w:rPr>
                                <w:t>http://www.sepa.org.uk/media/159226/planning_service_contact_list.pdf</w:t>
                              </w:r>
                            </w:hyperlink>
                          </w:p>
                          <w:p w:rsidR="001C77CF" w:rsidRPr="009B7CBF" w:rsidRDefault="001C77CF" w:rsidP="001C77CF">
                            <w:pPr>
                              <w:ind w:left="360"/>
                              <w:rPr>
                                <w:rFonts w:cs="Arial"/>
                                <w:b/>
                                <w:sz w:val="22"/>
                              </w:rPr>
                            </w:pPr>
                          </w:p>
                          <w:p w:rsidR="001C77CF" w:rsidRDefault="001C77CF" w:rsidP="001C77CF">
                            <w:pPr>
                              <w:ind w:left="360"/>
                              <w:rPr>
                                <w:rFonts w:cs="Arial"/>
                                <w:b/>
                                <w:sz w:val="22"/>
                              </w:rPr>
                            </w:pPr>
                            <w:r w:rsidRPr="009B7CBF">
                              <w:rPr>
                                <w:rFonts w:cs="Arial"/>
                                <w:b/>
                                <w:sz w:val="22"/>
                              </w:rPr>
                              <w:t xml:space="preserve">SEPA staff can contact the relevant SNH area offices via their mailbox at: </w:t>
                            </w:r>
                            <w:hyperlink r:id="rId10" w:history="1">
                              <w:r w:rsidRPr="009B7CBF">
                                <w:rPr>
                                  <w:rStyle w:val="Hyperlink"/>
                                  <w:rFonts w:cs="Arial"/>
                                  <w:b/>
                                  <w:sz w:val="22"/>
                                </w:rPr>
                                <w:t>http://www.snh.gov.uk/contact-us/offices/</w:t>
                              </w:r>
                            </w:hyperlink>
                            <w:r w:rsidRPr="009B7CBF">
                              <w:rPr>
                                <w:rFonts w:cs="Arial"/>
                                <w:b/>
                                <w:sz w:val="22"/>
                              </w:rPr>
                              <w:t xml:space="preserve"> </w:t>
                            </w:r>
                          </w:p>
                          <w:p w:rsidR="004123D1" w:rsidRDefault="004123D1" w:rsidP="001C77CF">
                            <w:pPr>
                              <w:ind w:left="360"/>
                              <w:rPr>
                                <w:rFonts w:cs="Arial"/>
                                <w:b/>
                                <w:sz w:val="22"/>
                              </w:rPr>
                            </w:pPr>
                          </w:p>
                          <w:p w:rsidR="004123D1" w:rsidRPr="009B7CBF" w:rsidRDefault="004123D1" w:rsidP="001C77CF">
                            <w:pPr>
                              <w:ind w:left="360"/>
                              <w:rPr>
                                <w:rFonts w:cs="Arial"/>
                                <w:b/>
                                <w:sz w:val="22"/>
                              </w:rPr>
                            </w:pPr>
                            <w:r>
                              <w:rPr>
                                <w:rFonts w:cs="Arial"/>
                                <w:b/>
                                <w:sz w:val="22"/>
                              </w:rPr>
                              <w:t xml:space="preserve">Where available, the relevant planning casework number/reference should be used when making contact.  Emails to the SNH area mailbox should be clearly labelled as planning casework. </w:t>
                            </w:r>
                          </w:p>
                          <w:p w:rsidR="001C77CF" w:rsidRDefault="001C77CF" w:rsidP="001C77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9.5pt;width:426.75pt;height:1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" fillcolor="#d8d8d8 [2732]">
                <v:textbox>
                  <w:txbxContent>
                    <w:p w:rsidR="001C77CF" w:rsidRDefault="001C77CF" w:rsidP="001C77CF"/>
                    <w:p w:rsidR="001C77CF" w:rsidRPr="009B7CBF" w:rsidRDefault="001C77CF" w:rsidP="001C77CF">
                      <w:pPr>
                        <w:ind w:left="360"/>
                        <w:rPr>
                          <w:rFonts w:cs="Arial"/>
                          <w:b/>
                          <w:sz w:val="22"/>
                        </w:rPr>
                      </w:pPr>
                      <w:r w:rsidRPr="009B7CBF">
                        <w:rPr>
                          <w:rFonts w:cs="Arial"/>
                          <w:b/>
                          <w:sz w:val="22"/>
                        </w:rPr>
                        <w:t xml:space="preserve">SNH staff can find the contact information for SEPA's planning service at: </w:t>
                      </w:r>
                      <w:hyperlink r:id="rId11" w:history="1">
                        <w:r w:rsidRPr="009B7CBF">
                          <w:rPr>
                            <w:rStyle w:val="Hyperlink"/>
                            <w:rFonts w:cs="Arial"/>
                            <w:b/>
                            <w:sz w:val="22"/>
                          </w:rPr>
                          <w:t>http://www.sepa.org.uk/media/159226/planning_service_contact_list.pdf</w:t>
                        </w:r>
                      </w:hyperlink>
                    </w:p>
                    <w:p w:rsidR="001C77CF" w:rsidRPr="009B7CBF" w:rsidRDefault="001C77CF" w:rsidP="001C77CF">
                      <w:pPr>
                        <w:ind w:left="360"/>
                        <w:rPr>
                          <w:rFonts w:cs="Arial"/>
                          <w:b/>
                          <w:sz w:val="22"/>
                        </w:rPr>
                      </w:pPr>
                    </w:p>
                    <w:p w:rsidR="001C77CF" w:rsidRDefault="001C77CF" w:rsidP="001C77CF">
                      <w:pPr>
                        <w:ind w:left="360"/>
                        <w:rPr>
                          <w:rFonts w:cs="Arial"/>
                          <w:b/>
                          <w:sz w:val="22"/>
                        </w:rPr>
                      </w:pPr>
                      <w:r w:rsidRPr="009B7CBF">
                        <w:rPr>
                          <w:rFonts w:cs="Arial"/>
                          <w:b/>
                          <w:sz w:val="22"/>
                        </w:rPr>
                        <w:t xml:space="preserve">SEPA staff can contact the relevant SNH area offices via their mailbox at: </w:t>
                      </w:r>
                      <w:hyperlink r:id="rId12" w:history="1">
                        <w:r w:rsidRPr="009B7CBF">
                          <w:rPr>
                            <w:rStyle w:val="Hyperlink"/>
                            <w:rFonts w:cs="Arial"/>
                            <w:b/>
                            <w:sz w:val="22"/>
                          </w:rPr>
                          <w:t>http://www.snh.gov.uk/contact-us/offices/</w:t>
                        </w:r>
                      </w:hyperlink>
                      <w:r w:rsidRPr="009B7CBF">
                        <w:rPr>
                          <w:rFonts w:cs="Arial"/>
                          <w:b/>
                          <w:sz w:val="22"/>
                        </w:rPr>
                        <w:t xml:space="preserve"> </w:t>
                      </w:r>
                    </w:p>
                    <w:p w:rsidR="004123D1" w:rsidRDefault="004123D1" w:rsidP="001C77CF">
                      <w:pPr>
                        <w:ind w:left="360"/>
                        <w:rPr>
                          <w:rFonts w:cs="Arial"/>
                          <w:b/>
                          <w:sz w:val="22"/>
                        </w:rPr>
                      </w:pPr>
                    </w:p>
                    <w:p w:rsidR="004123D1" w:rsidRPr="009B7CBF" w:rsidRDefault="004123D1" w:rsidP="001C77CF">
                      <w:pPr>
                        <w:ind w:left="360"/>
                        <w:rPr>
                          <w:rFonts w:cs="Arial"/>
                          <w:b/>
                          <w:sz w:val="22"/>
                        </w:rPr>
                      </w:pPr>
                      <w:r>
                        <w:rPr>
                          <w:rFonts w:cs="Arial"/>
                          <w:b/>
                          <w:sz w:val="22"/>
                        </w:rPr>
                        <w:t xml:space="preserve">Where available, the relevant planning casework number/reference should be used when making contact.  Emails to the SNH area mailbox should be clearly labelled as planning casework. </w:t>
                      </w:r>
                    </w:p>
                    <w:p w:rsidR="001C77CF" w:rsidRDefault="001C77CF" w:rsidP="001C77CF"/>
                  </w:txbxContent>
                </v:textbox>
              </v:shape>
            </w:pict>
          </mc:Fallback>
        </mc:AlternateContent>
      </w:r>
    </w:p>
    <w:p w:rsidR="001C77CF" w:rsidRDefault="001C77CF" w:rsidP="001C77CF">
      <w:pPr>
        <w:ind w:left="360"/>
        <w:rPr>
          <w:rFonts w:cs="Arial"/>
          <w:b/>
          <w:sz w:val="22"/>
          <w:highlight w:val="green"/>
        </w:rPr>
      </w:pPr>
    </w:p>
    <w:p w:rsidR="001C77CF" w:rsidRPr="00DF3E1F" w:rsidRDefault="001C77CF" w:rsidP="001C77CF">
      <w:pPr>
        <w:ind w:left="360"/>
        <w:rPr>
          <w:rFonts w:cs="Arial"/>
          <w:sz w:val="22"/>
        </w:rPr>
      </w:pPr>
      <w:r w:rsidRPr="00DF3E1F">
        <w:rPr>
          <w:rFonts w:cs="Arial"/>
          <w:sz w:val="22"/>
        </w:rPr>
        <w:t>.</w:t>
      </w:r>
    </w:p>
    <w:p w:rsidR="001C77CF" w:rsidRDefault="001C77CF" w:rsidP="001C77CF">
      <w:pPr>
        <w:rPr>
          <w:rFonts w:cs="Arial"/>
          <w:sz w:val="22"/>
        </w:rPr>
      </w:pPr>
    </w:p>
    <w:p w:rsidR="001C77CF" w:rsidRDefault="001C77CF" w:rsidP="001C77CF">
      <w:pPr>
        <w:rPr>
          <w:rFonts w:cs="Arial"/>
          <w:sz w:val="22"/>
        </w:rPr>
      </w:pPr>
    </w:p>
    <w:p w:rsidR="001C77CF" w:rsidRDefault="001C77CF" w:rsidP="001C77CF">
      <w:pPr>
        <w:rPr>
          <w:rFonts w:cs="Arial"/>
          <w:sz w:val="22"/>
        </w:rPr>
      </w:pPr>
    </w:p>
    <w:p w:rsidR="001C77CF" w:rsidRDefault="001C77CF" w:rsidP="001C77CF">
      <w:pPr>
        <w:rPr>
          <w:rFonts w:cs="Arial"/>
          <w:sz w:val="22"/>
        </w:rPr>
      </w:pPr>
    </w:p>
    <w:p w:rsidR="001C77CF" w:rsidRDefault="001C77CF" w:rsidP="001C77CF">
      <w:pPr>
        <w:rPr>
          <w:rFonts w:cs="Arial"/>
          <w:sz w:val="22"/>
        </w:rPr>
      </w:pPr>
    </w:p>
    <w:p w:rsidR="001C77CF" w:rsidRDefault="001C77CF" w:rsidP="001C77CF">
      <w:pPr>
        <w:rPr>
          <w:rFonts w:cs="Arial"/>
          <w:sz w:val="22"/>
        </w:rPr>
      </w:pPr>
    </w:p>
    <w:p w:rsidR="001C77CF" w:rsidRDefault="001C77CF" w:rsidP="001C77CF">
      <w:pPr>
        <w:rPr>
          <w:rFonts w:cs="Arial"/>
          <w:sz w:val="22"/>
        </w:rPr>
      </w:pPr>
    </w:p>
    <w:p w:rsidR="001C77CF" w:rsidRDefault="001C77CF" w:rsidP="001C77CF">
      <w:pPr>
        <w:rPr>
          <w:rFonts w:cs="Arial"/>
          <w:sz w:val="22"/>
        </w:rPr>
      </w:pPr>
    </w:p>
    <w:p w:rsidR="004123D1" w:rsidRDefault="004123D1" w:rsidP="001C77CF">
      <w:pPr>
        <w:rPr>
          <w:rFonts w:cs="Arial"/>
          <w:b/>
          <w:sz w:val="22"/>
          <w:u w:val="single"/>
        </w:rPr>
      </w:pPr>
    </w:p>
    <w:p w:rsidR="004123D1" w:rsidRDefault="004123D1" w:rsidP="001C77CF">
      <w:pPr>
        <w:rPr>
          <w:rFonts w:cs="Arial"/>
          <w:b/>
          <w:sz w:val="22"/>
          <w:u w:val="single"/>
        </w:rPr>
      </w:pPr>
    </w:p>
    <w:p w:rsidR="0030791D" w:rsidRDefault="0030791D" w:rsidP="001C77CF">
      <w:pPr>
        <w:rPr>
          <w:rFonts w:cs="Arial"/>
          <w:b/>
          <w:sz w:val="22"/>
          <w:u w:val="single"/>
        </w:rPr>
      </w:pPr>
    </w:p>
    <w:p w:rsidR="001C77CF" w:rsidRPr="00953B86" w:rsidRDefault="001C77CF" w:rsidP="001C77CF">
      <w:pPr>
        <w:rPr>
          <w:rFonts w:cs="Arial"/>
          <w:b/>
          <w:sz w:val="22"/>
          <w:u w:val="single"/>
        </w:rPr>
      </w:pPr>
      <w:r w:rsidRPr="00953B86">
        <w:rPr>
          <w:rFonts w:cs="Arial"/>
          <w:b/>
          <w:sz w:val="22"/>
          <w:u w:val="single"/>
        </w:rPr>
        <w:t xml:space="preserve">5. Joint working arrangements </w:t>
      </w:r>
    </w:p>
    <w:p w:rsidR="001C77CF" w:rsidRDefault="001C77CF" w:rsidP="001C77CF">
      <w:pPr>
        <w:rPr>
          <w:rFonts w:cs="Arial"/>
          <w:b/>
          <w:sz w:val="22"/>
        </w:rPr>
      </w:pPr>
    </w:p>
    <w:p w:rsidR="001C77CF" w:rsidRDefault="001C77CF" w:rsidP="001C77CF">
      <w:pPr>
        <w:rPr>
          <w:rFonts w:cs="Arial"/>
          <w:b/>
          <w:sz w:val="22"/>
        </w:rPr>
      </w:pPr>
      <w:r>
        <w:rPr>
          <w:rFonts w:cs="Arial"/>
          <w:sz w:val="22"/>
        </w:rPr>
        <w:t>Table 1</w:t>
      </w:r>
      <w:r w:rsidRPr="001A70E0">
        <w:rPr>
          <w:rFonts w:cs="Arial"/>
          <w:sz w:val="22"/>
        </w:rPr>
        <w:t xml:space="preserve"> identifies the main </w:t>
      </w:r>
      <w:r>
        <w:rPr>
          <w:rFonts w:cs="Arial"/>
          <w:sz w:val="22"/>
        </w:rPr>
        <w:t>areas</w:t>
      </w:r>
      <w:r w:rsidRPr="001A70E0">
        <w:rPr>
          <w:rFonts w:cs="Arial"/>
          <w:sz w:val="22"/>
        </w:rPr>
        <w:t xml:space="preserve"> where a potential overlap of roles is likely to occur.  </w:t>
      </w:r>
      <w:r>
        <w:rPr>
          <w:rFonts w:cs="Arial"/>
          <w:sz w:val="22"/>
        </w:rPr>
        <w:t>It summari</w:t>
      </w:r>
      <w:r w:rsidRPr="001A70E0">
        <w:rPr>
          <w:rFonts w:cs="Arial"/>
          <w:sz w:val="22"/>
        </w:rPr>
        <w:t xml:space="preserve">ses </w:t>
      </w:r>
      <w:r>
        <w:rPr>
          <w:rFonts w:cs="Arial"/>
          <w:sz w:val="22"/>
        </w:rPr>
        <w:t xml:space="preserve">the remits of </w:t>
      </w:r>
      <w:r w:rsidRPr="001A70E0">
        <w:rPr>
          <w:rFonts w:cs="Arial"/>
          <w:sz w:val="22"/>
        </w:rPr>
        <w:t xml:space="preserve">both Agencies relating to the issue, potential areas of overlap </w:t>
      </w:r>
      <w:r>
        <w:rPr>
          <w:rFonts w:cs="Arial"/>
          <w:sz w:val="22"/>
        </w:rPr>
        <w:t>in advice and</w:t>
      </w:r>
      <w:r w:rsidRPr="001A70E0">
        <w:rPr>
          <w:rFonts w:cs="Arial"/>
          <w:sz w:val="22"/>
        </w:rPr>
        <w:t xml:space="preserve"> the agreed working arrangement to manage the overlap</w:t>
      </w:r>
      <w:r>
        <w:rPr>
          <w:rFonts w:cs="Arial"/>
          <w:sz w:val="22"/>
        </w:rPr>
        <w:t xml:space="preserve"> in a way that will best contribute to the overall purpose outlined in section 1 above</w:t>
      </w:r>
      <w:r w:rsidRPr="00481092">
        <w:rPr>
          <w:rFonts w:cs="Arial"/>
          <w:b/>
          <w:sz w:val="22"/>
        </w:rPr>
        <w:t xml:space="preserve">.  </w:t>
      </w:r>
    </w:p>
    <w:p w:rsidR="001C77CF" w:rsidRDefault="001C77CF" w:rsidP="001C77CF">
      <w:pPr>
        <w:rPr>
          <w:rFonts w:cs="Arial"/>
          <w:b/>
          <w:sz w:val="22"/>
        </w:rPr>
      </w:pPr>
    </w:p>
    <w:p w:rsidR="001C77CF" w:rsidRPr="00BB6C51" w:rsidRDefault="001C77CF" w:rsidP="001C77CF">
      <w:pPr>
        <w:pStyle w:val="ListParagraph"/>
        <w:numPr>
          <w:ilvl w:val="0"/>
          <w:numId w:val="7"/>
        </w:numPr>
        <w:rPr>
          <w:rFonts w:cs="Arial"/>
          <w:b/>
          <w:sz w:val="22"/>
        </w:rPr>
        <w:sectPr w:rsidR="001C77CF" w:rsidRPr="00BB6C51" w:rsidSect="00162C82">
          <w:pgSz w:w="11906" w:h="16838"/>
          <w:pgMar w:top="1440" w:right="1440" w:bottom="1440" w:left="1440" w:header="709" w:footer="709" w:gutter="0"/>
          <w:cols w:space="708"/>
          <w:docGrid w:linePitch="360"/>
        </w:sectPr>
      </w:pPr>
    </w:p>
    <w:p w:rsidR="001C77CF" w:rsidRPr="00BF4F1F" w:rsidRDefault="001C77CF" w:rsidP="001C77CF">
      <w:pPr>
        <w:rPr>
          <w:rFonts w:cs="Arial"/>
          <w:b/>
          <w:sz w:val="24"/>
          <w:szCs w:val="24"/>
          <w:u w:val="single"/>
        </w:rPr>
      </w:pPr>
      <w:r w:rsidRPr="00BF4F1F">
        <w:rPr>
          <w:rFonts w:cs="Arial"/>
          <w:b/>
          <w:sz w:val="24"/>
          <w:szCs w:val="24"/>
          <w:u w:val="single"/>
        </w:rPr>
        <w:t>Table 1: Joint working arrangements for planning advice</w:t>
      </w:r>
    </w:p>
    <w:p w:rsidR="001C77CF" w:rsidRPr="006831C6" w:rsidRDefault="001C77CF" w:rsidP="001C77CF">
      <w:pPr>
        <w:rPr>
          <w:rFonts w:cs="Arial"/>
          <w:b/>
          <w:sz w:val="22"/>
        </w:rPr>
      </w:pPr>
    </w:p>
    <w:p w:rsidR="001C77CF" w:rsidRPr="006831C6" w:rsidRDefault="001C77CF" w:rsidP="001C77CF">
      <w:pPr>
        <w:spacing w:after="120"/>
        <w:rPr>
          <w:rFonts w:cs="Arial"/>
          <w:b/>
          <w:sz w:val="22"/>
        </w:rPr>
      </w:pPr>
      <w:r>
        <w:rPr>
          <w:rFonts w:cs="Arial"/>
          <w:b/>
          <w:sz w:val="22"/>
        </w:rPr>
        <w:t>When using the following table p</w:t>
      </w:r>
      <w:r w:rsidRPr="006831C6">
        <w:rPr>
          <w:rFonts w:cs="Arial"/>
          <w:b/>
          <w:sz w:val="22"/>
        </w:rPr>
        <w:t>lease note that:</w:t>
      </w:r>
    </w:p>
    <w:p w:rsidR="001C77CF" w:rsidRPr="006831C6" w:rsidRDefault="001C77CF" w:rsidP="001C77CF">
      <w:pPr>
        <w:pStyle w:val="ListParagraph"/>
        <w:numPr>
          <w:ilvl w:val="0"/>
          <w:numId w:val="10"/>
        </w:numPr>
        <w:rPr>
          <w:rFonts w:cs="Arial"/>
          <w:b/>
        </w:rPr>
      </w:pPr>
      <w:r w:rsidRPr="006831C6">
        <w:rPr>
          <w:rFonts w:cs="Arial"/>
          <w:b/>
        </w:rPr>
        <w:t>the table does not contain an exhaustive list of all areas of potential overlap but just the most commonly occurring areas</w:t>
      </w:r>
      <w:r>
        <w:rPr>
          <w:rFonts w:cs="Arial"/>
          <w:b/>
        </w:rPr>
        <w:t xml:space="preserve">; </w:t>
      </w:r>
      <w:r w:rsidRPr="006831C6">
        <w:rPr>
          <w:rFonts w:cs="Arial"/>
          <w:b/>
        </w:rPr>
        <w:t xml:space="preserve">  </w:t>
      </w:r>
    </w:p>
    <w:p w:rsidR="001C77CF" w:rsidRDefault="001C77CF" w:rsidP="001C77CF">
      <w:pPr>
        <w:pStyle w:val="ListParagraph"/>
        <w:numPr>
          <w:ilvl w:val="0"/>
          <w:numId w:val="10"/>
        </w:numPr>
        <w:rPr>
          <w:rFonts w:cs="Arial"/>
          <w:b/>
        </w:rPr>
      </w:pPr>
      <w:r>
        <w:rPr>
          <w:rFonts w:cs="Arial"/>
          <w:b/>
        </w:rPr>
        <w:t>where</w:t>
      </w:r>
      <w:r w:rsidRPr="006831C6">
        <w:rPr>
          <w:rFonts w:cs="Arial"/>
          <w:b/>
        </w:rPr>
        <w:t xml:space="preserve"> other areas of overlap </w:t>
      </w:r>
      <w:r>
        <w:rPr>
          <w:rFonts w:cs="Arial"/>
          <w:b/>
        </w:rPr>
        <w:t>are</w:t>
      </w:r>
      <w:r w:rsidRPr="006831C6">
        <w:rPr>
          <w:rFonts w:cs="Arial"/>
          <w:b/>
        </w:rPr>
        <w:t xml:space="preserve"> identified they should be handled in line with the principles outlined in Section 4 above</w:t>
      </w:r>
      <w:r>
        <w:rPr>
          <w:rFonts w:cs="Arial"/>
          <w:b/>
        </w:rPr>
        <w:t>; and,</w:t>
      </w:r>
    </w:p>
    <w:p w:rsidR="001C77CF" w:rsidRPr="006831C6" w:rsidRDefault="001C77CF" w:rsidP="001C77CF">
      <w:pPr>
        <w:pStyle w:val="ListParagraph"/>
        <w:numPr>
          <w:ilvl w:val="0"/>
          <w:numId w:val="10"/>
        </w:numPr>
        <w:rPr>
          <w:rFonts w:cs="Arial"/>
          <w:b/>
        </w:rPr>
      </w:pPr>
      <w:proofErr w:type="gramStart"/>
      <w:r w:rsidRPr="006831C6">
        <w:rPr>
          <w:rFonts w:cs="Arial"/>
          <w:b/>
        </w:rPr>
        <w:t>the</w:t>
      </w:r>
      <w:proofErr w:type="gramEnd"/>
      <w:r w:rsidRPr="006831C6">
        <w:rPr>
          <w:rFonts w:cs="Arial"/>
          <w:b/>
        </w:rPr>
        <w:t xml:space="preserve"> areas are not mutually exclusive and there </w:t>
      </w:r>
      <w:r>
        <w:rPr>
          <w:rFonts w:cs="Arial"/>
          <w:b/>
        </w:rPr>
        <w:t>ar</w:t>
      </w:r>
      <w:r w:rsidRPr="006831C6">
        <w:rPr>
          <w:rFonts w:cs="Arial"/>
          <w:b/>
        </w:rPr>
        <w:t>e interconnections between them</w:t>
      </w:r>
      <w:r>
        <w:rPr>
          <w:rFonts w:cs="Arial"/>
          <w:b/>
        </w:rPr>
        <w:t xml:space="preserve">. </w:t>
      </w:r>
      <w:r w:rsidRPr="006831C6">
        <w:rPr>
          <w:rFonts w:cs="Arial"/>
          <w:b/>
        </w:rPr>
        <w:t xml:space="preserve">  </w:t>
      </w:r>
    </w:p>
    <w:p w:rsidR="001C77CF" w:rsidRPr="006831C6" w:rsidRDefault="001C77CF" w:rsidP="001C77CF">
      <w:pPr>
        <w:rPr>
          <w:rFonts w:cs="Arial"/>
          <w:b/>
        </w:rPr>
      </w:pPr>
    </w:p>
    <w:p w:rsidR="001C77CF" w:rsidRDefault="001C77CF" w:rsidP="001C77CF">
      <w:pPr>
        <w:rPr>
          <w:rFonts w:cs="Arial"/>
          <w:sz w:val="22"/>
        </w:rPr>
      </w:pPr>
    </w:p>
    <w:tbl>
      <w:tblPr>
        <w:tblStyle w:val="MediumGrid3-Accent3"/>
        <w:tblW w:w="15417" w:type="dxa"/>
        <w:tblInd w:w="-724" w:type="dxa"/>
        <w:tblLayout w:type="fixed"/>
        <w:tblLook w:val="0700" w:firstRow="0" w:lastRow="0" w:firstColumn="0" w:lastColumn="1" w:noHBand="1" w:noVBand="1"/>
      </w:tblPr>
      <w:tblGrid>
        <w:gridCol w:w="1242"/>
        <w:gridCol w:w="2694"/>
        <w:gridCol w:w="2835"/>
        <w:gridCol w:w="4096"/>
        <w:gridCol w:w="4550"/>
      </w:tblGrid>
      <w:tr w:rsidR="001C77CF" w:rsidTr="001705F7">
        <w:tc>
          <w:tcPr>
            <w:tcW w:w="1242" w:type="dxa"/>
          </w:tcPr>
          <w:p w:rsidR="001C77CF" w:rsidRPr="00EB0027" w:rsidRDefault="001C77CF" w:rsidP="00DC35B0">
            <w:pPr>
              <w:jc w:val="center"/>
              <w:rPr>
                <w:rFonts w:cs="Arial"/>
                <w:b/>
                <w:sz w:val="22"/>
              </w:rPr>
            </w:pPr>
            <w:r>
              <w:rPr>
                <w:rFonts w:cs="Arial"/>
                <w:b/>
                <w:sz w:val="22"/>
              </w:rPr>
              <w:t>Area</w:t>
            </w:r>
          </w:p>
        </w:tc>
        <w:tc>
          <w:tcPr>
            <w:tcW w:w="2694" w:type="dxa"/>
          </w:tcPr>
          <w:p w:rsidR="001C77CF" w:rsidRPr="00EB0027" w:rsidRDefault="001C77CF" w:rsidP="00DC35B0">
            <w:pPr>
              <w:rPr>
                <w:rFonts w:cs="Arial"/>
                <w:b/>
                <w:sz w:val="22"/>
              </w:rPr>
            </w:pPr>
            <w:r w:rsidRPr="00EB0027">
              <w:rPr>
                <w:rFonts w:cs="Arial"/>
                <w:b/>
                <w:sz w:val="22"/>
              </w:rPr>
              <w:t>SNH remit</w:t>
            </w:r>
          </w:p>
        </w:tc>
        <w:tc>
          <w:tcPr>
            <w:tcW w:w="2835" w:type="dxa"/>
          </w:tcPr>
          <w:p w:rsidR="001C77CF" w:rsidRPr="00EB0027" w:rsidRDefault="001C77CF" w:rsidP="00DC35B0">
            <w:pPr>
              <w:rPr>
                <w:rFonts w:cs="Arial"/>
                <w:b/>
                <w:sz w:val="22"/>
              </w:rPr>
            </w:pPr>
            <w:r w:rsidRPr="00EB0027">
              <w:rPr>
                <w:rFonts w:cs="Arial"/>
                <w:b/>
                <w:sz w:val="22"/>
              </w:rPr>
              <w:t>SEPA remit</w:t>
            </w:r>
          </w:p>
        </w:tc>
        <w:tc>
          <w:tcPr>
            <w:tcW w:w="4096" w:type="dxa"/>
          </w:tcPr>
          <w:p w:rsidR="001C77CF" w:rsidRPr="00EB0027" w:rsidRDefault="001C77CF" w:rsidP="00DC35B0">
            <w:pPr>
              <w:rPr>
                <w:rFonts w:cs="Arial"/>
                <w:b/>
                <w:sz w:val="22"/>
              </w:rPr>
            </w:pPr>
            <w:r w:rsidRPr="00EB0027">
              <w:rPr>
                <w:rFonts w:cs="Arial"/>
                <w:b/>
                <w:sz w:val="22"/>
              </w:rPr>
              <w:t xml:space="preserve">Potential areas of overlap </w:t>
            </w:r>
          </w:p>
        </w:tc>
        <w:tc>
          <w:tcPr>
            <w:cnfStyle w:val="000100000000" w:firstRow="0" w:lastRow="0" w:firstColumn="0" w:lastColumn="1" w:oddVBand="0" w:evenVBand="0" w:oddHBand="0" w:evenHBand="0" w:firstRowFirstColumn="0" w:firstRowLastColumn="0" w:lastRowFirstColumn="0" w:lastRowLastColumn="0"/>
            <w:tcW w:w="4550" w:type="dxa"/>
          </w:tcPr>
          <w:p w:rsidR="001C77CF" w:rsidRPr="00EB0027" w:rsidRDefault="001C77CF" w:rsidP="00DC35B0">
            <w:pPr>
              <w:rPr>
                <w:rFonts w:cs="Arial"/>
                <w:sz w:val="22"/>
              </w:rPr>
            </w:pPr>
            <w:r w:rsidRPr="00EB0027">
              <w:rPr>
                <w:rFonts w:cs="Arial"/>
                <w:sz w:val="22"/>
              </w:rPr>
              <w:t>Resolution – who does what</w:t>
            </w:r>
          </w:p>
        </w:tc>
      </w:tr>
      <w:tr w:rsidR="001C77CF" w:rsidTr="001705F7">
        <w:trPr>
          <w:trHeight w:val="1134"/>
        </w:trPr>
        <w:tc>
          <w:tcPr>
            <w:tcW w:w="1242" w:type="dxa"/>
            <w:textDirection w:val="btLr"/>
          </w:tcPr>
          <w:p w:rsidR="001C77CF" w:rsidRPr="0053464B" w:rsidRDefault="001C77CF" w:rsidP="00DC35B0">
            <w:pPr>
              <w:pStyle w:val="ListParagraph"/>
              <w:numPr>
                <w:ilvl w:val="0"/>
                <w:numId w:val="8"/>
              </w:numPr>
              <w:ind w:right="113"/>
              <w:jc w:val="center"/>
              <w:rPr>
                <w:rFonts w:cs="Arial"/>
                <w:b/>
                <w:sz w:val="22"/>
              </w:rPr>
            </w:pPr>
            <w:r w:rsidRPr="0053464B">
              <w:rPr>
                <w:rFonts w:cs="Arial"/>
                <w:b/>
                <w:sz w:val="22"/>
              </w:rPr>
              <w:t>Flood risk</w:t>
            </w:r>
          </w:p>
        </w:tc>
        <w:tc>
          <w:tcPr>
            <w:tcW w:w="2694" w:type="dxa"/>
          </w:tcPr>
          <w:p w:rsidR="001C77CF" w:rsidRPr="00695BC5" w:rsidRDefault="001C77CF" w:rsidP="00DC35B0">
            <w:pPr>
              <w:spacing w:before="120" w:after="120"/>
              <w:rPr>
                <w:rFonts w:cs="Arial"/>
              </w:rPr>
            </w:pPr>
            <w:r>
              <w:rPr>
                <w:rFonts w:cs="Arial"/>
              </w:rPr>
              <w:t>C</w:t>
            </w:r>
            <w:r w:rsidRPr="00695BC5">
              <w:rPr>
                <w:rFonts w:cs="Arial"/>
              </w:rPr>
              <w:t>oastal geomorphology (e.g. impact on natural coastal processes of coastal works, including in relation to</w:t>
            </w:r>
            <w:r>
              <w:rPr>
                <w:rFonts w:cs="Arial"/>
              </w:rPr>
              <w:t xml:space="preserve"> the potential </w:t>
            </w:r>
            <w:r w:rsidRPr="00695BC5">
              <w:rPr>
                <w:rFonts w:cs="Arial"/>
              </w:rPr>
              <w:t xml:space="preserve"> inundation</w:t>
            </w:r>
            <w:r>
              <w:rPr>
                <w:rFonts w:cs="Arial"/>
              </w:rPr>
              <w:t xml:space="preserve"> of protected sites</w:t>
            </w:r>
            <w:r w:rsidRPr="00695BC5">
              <w:rPr>
                <w:rFonts w:cs="Arial"/>
              </w:rPr>
              <w:t>)</w:t>
            </w:r>
          </w:p>
        </w:tc>
        <w:tc>
          <w:tcPr>
            <w:tcW w:w="2835" w:type="dxa"/>
          </w:tcPr>
          <w:p w:rsidR="001C77CF" w:rsidRPr="00695BC5" w:rsidRDefault="001C77CF" w:rsidP="00DC35B0">
            <w:pPr>
              <w:spacing w:before="120" w:after="120"/>
              <w:rPr>
                <w:rFonts w:cs="Arial"/>
              </w:rPr>
            </w:pPr>
            <w:r>
              <w:rPr>
                <w:rFonts w:cs="Arial"/>
              </w:rPr>
              <w:t>F</w:t>
            </w:r>
            <w:r w:rsidRPr="00695BC5">
              <w:rPr>
                <w:rFonts w:cs="Arial"/>
              </w:rPr>
              <w:t>lood risk as required by Section 72 of the Flood Risk Management (Scotland) Act 2009</w:t>
            </w:r>
          </w:p>
        </w:tc>
        <w:tc>
          <w:tcPr>
            <w:tcW w:w="4096" w:type="dxa"/>
          </w:tcPr>
          <w:p w:rsidR="001C77CF" w:rsidRPr="00695BC5" w:rsidRDefault="001C77CF" w:rsidP="00DC35B0">
            <w:pPr>
              <w:spacing w:before="120" w:after="120"/>
              <w:rPr>
                <w:rFonts w:cs="Arial"/>
              </w:rPr>
            </w:pPr>
            <w:r w:rsidRPr="00695BC5">
              <w:rPr>
                <w:rFonts w:cs="Arial"/>
              </w:rPr>
              <w:t>Developments that impact on coastal geomorphology and flood risk</w:t>
            </w:r>
          </w:p>
        </w:tc>
        <w:tc>
          <w:tcPr>
            <w:cnfStyle w:val="000100000000" w:firstRow="0" w:lastRow="0" w:firstColumn="0" w:lastColumn="1" w:oddVBand="0" w:evenVBand="0" w:oddHBand="0" w:evenHBand="0" w:firstRowFirstColumn="0" w:firstRowLastColumn="0" w:lastRowFirstColumn="0" w:lastRowLastColumn="0"/>
            <w:tcW w:w="4550" w:type="dxa"/>
          </w:tcPr>
          <w:p w:rsidR="001C77CF" w:rsidRDefault="001C77CF" w:rsidP="00DC35B0">
            <w:pPr>
              <w:spacing w:before="120" w:after="120"/>
              <w:rPr>
                <w:rFonts w:cs="Arial"/>
              </w:rPr>
            </w:pPr>
            <w:r w:rsidRPr="00400C92">
              <w:rPr>
                <w:rFonts w:cs="Arial"/>
              </w:rPr>
              <w:t>SEPA</w:t>
            </w:r>
            <w:r w:rsidRPr="00695BC5">
              <w:rPr>
                <w:rFonts w:cs="Arial"/>
              </w:rPr>
              <w:t xml:space="preserve"> </w:t>
            </w:r>
          </w:p>
          <w:p w:rsidR="001C77CF" w:rsidRPr="00400C92" w:rsidRDefault="001C77CF" w:rsidP="00DC35B0">
            <w:pPr>
              <w:pStyle w:val="ListParagraph"/>
              <w:numPr>
                <w:ilvl w:val="0"/>
                <w:numId w:val="5"/>
              </w:numPr>
              <w:spacing w:before="120" w:after="120"/>
              <w:ind w:left="360"/>
              <w:rPr>
                <w:rFonts w:cs="Arial"/>
                <w:b w:val="0"/>
              </w:rPr>
            </w:pPr>
            <w:r w:rsidRPr="00400C92">
              <w:rPr>
                <w:rFonts w:cs="Arial"/>
              </w:rPr>
              <w:t xml:space="preserve">lead on all flood risk advice </w:t>
            </w:r>
          </w:p>
          <w:p w:rsidR="001C77CF" w:rsidRPr="00400C92" w:rsidRDefault="001C77CF" w:rsidP="00DC35B0">
            <w:pPr>
              <w:pStyle w:val="ListParagraph"/>
              <w:numPr>
                <w:ilvl w:val="0"/>
                <w:numId w:val="5"/>
              </w:numPr>
              <w:spacing w:before="120" w:after="120"/>
              <w:ind w:left="360"/>
              <w:rPr>
                <w:rFonts w:cs="Arial"/>
              </w:rPr>
            </w:pPr>
            <w:r w:rsidRPr="00400C92">
              <w:rPr>
                <w:rFonts w:cs="Arial"/>
              </w:rPr>
              <w:t>liais</w:t>
            </w:r>
            <w:r>
              <w:rPr>
                <w:rFonts w:cs="Arial"/>
              </w:rPr>
              <w:t>e</w:t>
            </w:r>
            <w:r w:rsidRPr="00400C92">
              <w:rPr>
                <w:rFonts w:cs="Arial"/>
              </w:rPr>
              <w:t xml:space="preserve"> with SNH where there are potential impacts on coastal geomorphology</w:t>
            </w:r>
            <w:r>
              <w:rPr>
                <w:rFonts w:cs="Arial"/>
              </w:rPr>
              <w:t xml:space="preserve"> that may affect protected areas</w:t>
            </w:r>
            <w:r w:rsidRPr="00400C92">
              <w:rPr>
                <w:rFonts w:cs="Arial"/>
              </w:rPr>
              <w:t xml:space="preserve"> </w:t>
            </w:r>
          </w:p>
        </w:tc>
      </w:tr>
      <w:tr w:rsidR="001C77CF" w:rsidTr="001705F7">
        <w:trPr>
          <w:trHeight w:val="1134"/>
        </w:trPr>
        <w:tc>
          <w:tcPr>
            <w:tcW w:w="1242" w:type="dxa"/>
            <w:textDirection w:val="btLr"/>
          </w:tcPr>
          <w:p w:rsidR="001C77CF" w:rsidRDefault="001C77CF" w:rsidP="00DC35B0">
            <w:pPr>
              <w:pStyle w:val="ListParagraph"/>
              <w:numPr>
                <w:ilvl w:val="0"/>
                <w:numId w:val="8"/>
              </w:numPr>
              <w:ind w:right="113"/>
              <w:jc w:val="center"/>
              <w:rPr>
                <w:rFonts w:cs="Arial"/>
                <w:b/>
                <w:sz w:val="22"/>
              </w:rPr>
            </w:pPr>
            <w:r w:rsidRPr="0053464B">
              <w:rPr>
                <w:rFonts w:cs="Arial"/>
                <w:b/>
                <w:sz w:val="22"/>
              </w:rPr>
              <w:t>Protected Areas*</w:t>
            </w:r>
          </w:p>
          <w:p w:rsidR="001C77CF" w:rsidRPr="0053464B" w:rsidRDefault="001C77CF" w:rsidP="00DC35B0">
            <w:pPr>
              <w:pStyle w:val="ListParagraph"/>
              <w:ind w:left="473" w:right="113"/>
              <w:rPr>
                <w:rFonts w:cs="Arial"/>
                <w:b/>
                <w:sz w:val="22"/>
              </w:rPr>
            </w:pPr>
            <w:proofErr w:type="spellStart"/>
            <w:r>
              <w:rPr>
                <w:rFonts w:cs="Arial"/>
                <w:b/>
                <w:sz w:val="22"/>
              </w:rPr>
              <w:t>eg</w:t>
            </w:r>
            <w:proofErr w:type="spellEnd"/>
            <w:r>
              <w:rPr>
                <w:rFonts w:cs="Arial"/>
                <w:b/>
                <w:sz w:val="22"/>
              </w:rPr>
              <w:t xml:space="preserve"> – SPA, SSSI, SAC, MPA, NNR, NSA, National Park, </w:t>
            </w:r>
            <w:proofErr w:type="spellStart"/>
            <w:r>
              <w:rPr>
                <w:rFonts w:cs="Arial"/>
                <w:b/>
                <w:sz w:val="22"/>
              </w:rPr>
              <w:t>Geopark</w:t>
            </w:r>
            <w:proofErr w:type="spellEnd"/>
          </w:p>
        </w:tc>
        <w:tc>
          <w:tcPr>
            <w:tcW w:w="2694" w:type="dxa"/>
          </w:tcPr>
          <w:p w:rsidR="001C77CF" w:rsidRPr="00695BC5" w:rsidRDefault="001C77CF" w:rsidP="00DC35B0">
            <w:pPr>
              <w:spacing w:before="120" w:after="120"/>
              <w:rPr>
                <w:rFonts w:cs="Arial"/>
              </w:rPr>
            </w:pPr>
            <w:r>
              <w:rPr>
                <w:rFonts w:cs="Arial"/>
              </w:rPr>
              <w:t xml:space="preserve">Impacts on </w:t>
            </w:r>
            <w:r w:rsidRPr="00695BC5">
              <w:rPr>
                <w:rFonts w:cs="Arial"/>
              </w:rPr>
              <w:t xml:space="preserve">qualifying features of the </w:t>
            </w:r>
            <w:r>
              <w:rPr>
                <w:rFonts w:cs="Arial"/>
              </w:rPr>
              <w:t>protected area</w:t>
            </w:r>
            <w:r w:rsidRPr="00695BC5">
              <w:rPr>
                <w:rFonts w:cs="Arial"/>
              </w:rPr>
              <w:t xml:space="preserve"> affected by </w:t>
            </w:r>
            <w:r>
              <w:rPr>
                <w:rFonts w:cs="Arial"/>
              </w:rPr>
              <w:t xml:space="preserve">the </w:t>
            </w:r>
            <w:r w:rsidRPr="00695BC5">
              <w:rPr>
                <w:rFonts w:cs="Arial"/>
              </w:rPr>
              <w:t>development</w:t>
            </w:r>
          </w:p>
        </w:tc>
        <w:tc>
          <w:tcPr>
            <w:tcW w:w="2835" w:type="dxa"/>
          </w:tcPr>
          <w:p w:rsidR="001C77CF" w:rsidRDefault="001C77CF" w:rsidP="00DC35B0">
            <w:pPr>
              <w:spacing w:before="120" w:after="120"/>
              <w:rPr>
                <w:rFonts w:cs="Arial"/>
              </w:rPr>
            </w:pPr>
            <w:r>
              <w:rPr>
                <w:rFonts w:cs="Arial"/>
              </w:rPr>
              <w:t xml:space="preserve">Impact on the water environment and the </w:t>
            </w:r>
            <w:proofErr w:type="spellStart"/>
            <w:r>
              <w:rPr>
                <w:rFonts w:cs="Arial"/>
              </w:rPr>
              <w:t>consentability</w:t>
            </w:r>
            <w:proofErr w:type="spellEnd"/>
            <w:r>
              <w:rPr>
                <w:rFonts w:cs="Arial"/>
              </w:rPr>
              <w:t xml:space="preserve"> of the development in relation to  SEPA regulatory regimes such as: </w:t>
            </w:r>
          </w:p>
          <w:p w:rsidR="001C77CF" w:rsidRPr="00E8460A" w:rsidRDefault="001C77CF" w:rsidP="00DC35B0">
            <w:pPr>
              <w:pStyle w:val="ListParagraph"/>
              <w:numPr>
                <w:ilvl w:val="0"/>
                <w:numId w:val="6"/>
              </w:numPr>
              <w:spacing w:before="120" w:after="120"/>
              <w:ind w:left="459" w:hanging="425"/>
              <w:rPr>
                <w:rFonts w:cs="Arial"/>
                <w:color w:val="000000" w:themeColor="text1"/>
              </w:rPr>
            </w:pPr>
            <w:r w:rsidRPr="00E8460A">
              <w:rPr>
                <w:rFonts w:cs="Arial"/>
                <w:color w:val="000000" w:themeColor="text1"/>
              </w:rPr>
              <w:t>Controlled Activities Regulations</w:t>
            </w:r>
          </w:p>
          <w:p w:rsidR="001C77CF" w:rsidRPr="00E8460A" w:rsidRDefault="001C77CF" w:rsidP="00DC35B0">
            <w:pPr>
              <w:pStyle w:val="ListParagraph"/>
              <w:numPr>
                <w:ilvl w:val="0"/>
                <w:numId w:val="6"/>
              </w:numPr>
              <w:spacing w:before="120" w:after="120"/>
              <w:ind w:left="459" w:hanging="425"/>
              <w:rPr>
                <w:rFonts w:cs="Arial"/>
                <w:color w:val="000000" w:themeColor="text1"/>
              </w:rPr>
            </w:pPr>
            <w:r w:rsidRPr="00E8460A">
              <w:rPr>
                <w:rFonts w:cs="Arial"/>
                <w:color w:val="000000" w:themeColor="text1"/>
              </w:rPr>
              <w:t>Waste Management Licences</w:t>
            </w:r>
          </w:p>
          <w:p w:rsidR="001C77CF" w:rsidRPr="00E8460A" w:rsidRDefault="001C77CF" w:rsidP="00DC35B0">
            <w:pPr>
              <w:pStyle w:val="ListParagraph"/>
              <w:numPr>
                <w:ilvl w:val="0"/>
                <w:numId w:val="6"/>
              </w:numPr>
              <w:spacing w:before="120" w:after="120"/>
              <w:ind w:left="459" w:hanging="425"/>
              <w:rPr>
                <w:rFonts w:cs="Arial"/>
                <w:color w:val="000000" w:themeColor="text1"/>
              </w:rPr>
            </w:pPr>
            <w:r w:rsidRPr="00E8460A">
              <w:rPr>
                <w:rFonts w:cs="Arial"/>
                <w:color w:val="000000" w:themeColor="text1"/>
              </w:rPr>
              <w:t>PPC</w:t>
            </w:r>
          </w:p>
          <w:p w:rsidR="001C77CF" w:rsidRDefault="001C77CF" w:rsidP="00DC35B0">
            <w:pPr>
              <w:pStyle w:val="ListParagraph"/>
              <w:numPr>
                <w:ilvl w:val="0"/>
                <w:numId w:val="6"/>
              </w:numPr>
              <w:spacing w:before="120" w:after="120"/>
              <w:ind w:left="459" w:hanging="425"/>
              <w:rPr>
                <w:rFonts w:cs="Arial"/>
              </w:rPr>
            </w:pPr>
            <w:r w:rsidRPr="00E8460A">
              <w:rPr>
                <w:rFonts w:cs="Arial"/>
                <w:color w:val="000000" w:themeColor="text1"/>
              </w:rPr>
              <w:t>Radioactive and contaminated land regulations</w:t>
            </w:r>
          </w:p>
          <w:p w:rsidR="001C77CF" w:rsidRPr="00E8460A" w:rsidRDefault="001C77CF" w:rsidP="00DC35B0">
            <w:pPr>
              <w:spacing w:before="120" w:after="120"/>
              <w:rPr>
                <w:rFonts w:cs="Arial"/>
                <w:color w:val="000000" w:themeColor="text1"/>
              </w:rPr>
            </w:pPr>
          </w:p>
        </w:tc>
        <w:tc>
          <w:tcPr>
            <w:tcW w:w="4096" w:type="dxa"/>
          </w:tcPr>
          <w:p w:rsidR="001C77CF" w:rsidRPr="00695BC5" w:rsidRDefault="001C77CF" w:rsidP="00DC35B0">
            <w:pPr>
              <w:spacing w:before="120" w:after="120"/>
              <w:rPr>
                <w:rFonts w:cs="Arial"/>
              </w:rPr>
            </w:pPr>
            <w:r>
              <w:rPr>
                <w:rFonts w:cs="Arial"/>
              </w:rPr>
              <w:t>Developments where there are potential impacts on the water environment or aspects of the environment protected by SEPA regulatory regimes which could also affect a qualifying feature(s) of a protected area. E.g. potential impacts on the water environment or air quality that could lead to a potential impact on a qualifying feature of a protected site.</w:t>
            </w:r>
          </w:p>
        </w:tc>
        <w:tc>
          <w:tcPr>
            <w:cnfStyle w:val="000100000000" w:firstRow="0" w:lastRow="0" w:firstColumn="0" w:lastColumn="1" w:oddVBand="0" w:evenVBand="0" w:oddHBand="0" w:evenHBand="0" w:firstRowFirstColumn="0" w:firstRowLastColumn="0" w:lastRowFirstColumn="0" w:lastRowLastColumn="0"/>
            <w:tcW w:w="4550" w:type="dxa"/>
          </w:tcPr>
          <w:p w:rsidR="001C77CF" w:rsidRPr="00400C92" w:rsidRDefault="001C77CF" w:rsidP="00DC35B0">
            <w:pPr>
              <w:spacing w:before="120" w:after="120"/>
              <w:rPr>
                <w:rFonts w:cs="Arial"/>
                <w:b w:val="0"/>
              </w:rPr>
            </w:pPr>
            <w:r w:rsidRPr="00400C92">
              <w:rPr>
                <w:rFonts w:cs="Arial"/>
              </w:rPr>
              <w:t xml:space="preserve">SNH </w:t>
            </w:r>
          </w:p>
          <w:p w:rsidR="001C77CF" w:rsidRDefault="001C77CF" w:rsidP="00DC35B0">
            <w:pPr>
              <w:pStyle w:val="ListParagraph"/>
              <w:numPr>
                <w:ilvl w:val="0"/>
                <w:numId w:val="5"/>
              </w:numPr>
              <w:spacing w:before="120" w:after="120"/>
              <w:ind w:left="360"/>
              <w:rPr>
                <w:rFonts w:cs="Arial"/>
                <w:b w:val="0"/>
              </w:rPr>
            </w:pPr>
            <w:r w:rsidRPr="00400C92">
              <w:rPr>
                <w:rFonts w:cs="Arial"/>
              </w:rPr>
              <w:t xml:space="preserve">lead on all advice on matters that could affect qualifying features of protected areas </w:t>
            </w:r>
          </w:p>
          <w:p w:rsidR="001C77CF" w:rsidRPr="00EB0027" w:rsidRDefault="001C77CF" w:rsidP="00DC35B0">
            <w:pPr>
              <w:spacing w:before="120" w:after="120"/>
              <w:rPr>
                <w:rFonts w:cs="Arial"/>
              </w:rPr>
            </w:pPr>
            <w:r w:rsidRPr="00EB0027">
              <w:rPr>
                <w:rFonts w:cs="Arial"/>
              </w:rPr>
              <w:t>SEPA</w:t>
            </w:r>
          </w:p>
          <w:p w:rsidR="001C77CF" w:rsidRPr="00EB0027" w:rsidRDefault="001C77CF" w:rsidP="00DC35B0">
            <w:pPr>
              <w:pStyle w:val="ListParagraph"/>
              <w:numPr>
                <w:ilvl w:val="0"/>
                <w:numId w:val="5"/>
              </w:numPr>
              <w:spacing w:before="120" w:after="120"/>
              <w:ind w:left="360"/>
              <w:rPr>
                <w:rFonts w:cs="Arial"/>
              </w:rPr>
            </w:pPr>
            <w:r w:rsidRPr="00EB0027">
              <w:rPr>
                <w:rFonts w:cs="Arial"/>
              </w:rPr>
              <w:t xml:space="preserve">lead on advice on the </w:t>
            </w:r>
            <w:proofErr w:type="spellStart"/>
            <w:r w:rsidRPr="00EB0027">
              <w:rPr>
                <w:rFonts w:cs="Arial"/>
              </w:rPr>
              <w:t>consentability</w:t>
            </w:r>
            <w:proofErr w:type="spellEnd"/>
            <w:r w:rsidRPr="00EB0027">
              <w:rPr>
                <w:rFonts w:cs="Arial"/>
              </w:rPr>
              <w:t xml:space="preserve"> of the proposed development under the relevant SEPA regulatory regime(s) </w:t>
            </w:r>
          </w:p>
          <w:p w:rsidR="001C77CF" w:rsidRPr="0095170F" w:rsidRDefault="001C77CF" w:rsidP="00DC35B0">
            <w:pPr>
              <w:spacing w:before="120" w:after="120"/>
              <w:rPr>
                <w:rFonts w:cs="Arial"/>
                <w:color w:val="000000" w:themeColor="text1"/>
              </w:rPr>
            </w:pPr>
            <w:r>
              <w:rPr>
                <w:rFonts w:cs="Arial"/>
              </w:rPr>
              <w:t>SNH and SEPA</w:t>
            </w:r>
          </w:p>
          <w:p w:rsidR="001C77CF" w:rsidRPr="00F7493C" w:rsidRDefault="001C77CF" w:rsidP="00DC35B0">
            <w:pPr>
              <w:pStyle w:val="ListParagraph"/>
              <w:numPr>
                <w:ilvl w:val="0"/>
                <w:numId w:val="5"/>
              </w:numPr>
              <w:spacing w:before="120" w:after="120"/>
              <w:ind w:left="360"/>
              <w:rPr>
                <w:rFonts w:cs="Arial"/>
                <w:color w:val="000000" w:themeColor="text1"/>
              </w:rPr>
            </w:pPr>
            <w:r w:rsidRPr="00EB0027">
              <w:rPr>
                <w:rFonts w:cs="Arial"/>
              </w:rPr>
              <w:t>liaise throughout process to ensure consistent and complementary advice is provided</w:t>
            </w:r>
          </w:p>
          <w:p w:rsidR="001C77CF" w:rsidRPr="00F7493C" w:rsidRDefault="001C77CF" w:rsidP="00DC35B0">
            <w:pPr>
              <w:spacing w:before="120" w:after="120"/>
              <w:rPr>
                <w:rFonts w:cs="Arial"/>
                <w:b w:val="0"/>
                <w:color w:val="000000" w:themeColor="text1"/>
                <w:sz w:val="18"/>
                <w:szCs w:val="18"/>
              </w:rPr>
            </w:pPr>
            <w:r>
              <w:rPr>
                <w:rFonts w:cs="Arial"/>
                <w:b w:val="0"/>
                <w:sz w:val="18"/>
                <w:szCs w:val="18"/>
              </w:rPr>
              <w:t xml:space="preserve">* for </w:t>
            </w:r>
            <w:r w:rsidRPr="00F7493C">
              <w:rPr>
                <w:rFonts w:cs="Arial"/>
                <w:b w:val="0"/>
                <w:sz w:val="18"/>
                <w:szCs w:val="18"/>
              </w:rPr>
              <w:t xml:space="preserve"> development that may impact on freshwater pearl mussels see note at end of table</w:t>
            </w:r>
          </w:p>
        </w:tc>
      </w:tr>
      <w:tr w:rsidR="001C77CF" w:rsidTr="001705F7">
        <w:trPr>
          <w:trHeight w:val="3498"/>
        </w:trPr>
        <w:tc>
          <w:tcPr>
            <w:tcW w:w="1242" w:type="dxa"/>
            <w:textDirection w:val="btLr"/>
          </w:tcPr>
          <w:p w:rsidR="001C77CF" w:rsidRPr="0053464B" w:rsidRDefault="001C77CF" w:rsidP="00DC35B0">
            <w:pPr>
              <w:pStyle w:val="ListParagraph"/>
              <w:numPr>
                <w:ilvl w:val="0"/>
                <w:numId w:val="8"/>
              </w:numPr>
              <w:ind w:right="113"/>
              <w:jc w:val="center"/>
              <w:rPr>
                <w:rFonts w:cs="Arial"/>
                <w:b/>
                <w:sz w:val="22"/>
              </w:rPr>
            </w:pPr>
            <w:r w:rsidRPr="0053464B">
              <w:rPr>
                <w:rFonts w:cs="Arial"/>
                <w:b/>
                <w:sz w:val="22"/>
              </w:rPr>
              <w:t>Species with special protection*</w:t>
            </w:r>
          </w:p>
        </w:tc>
        <w:tc>
          <w:tcPr>
            <w:tcW w:w="2694" w:type="dxa"/>
          </w:tcPr>
          <w:p w:rsidR="001C77CF" w:rsidRPr="00695BC5" w:rsidRDefault="001C77CF" w:rsidP="00DC35B0">
            <w:pPr>
              <w:spacing w:before="120" w:after="120"/>
              <w:rPr>
                <w:rFonts w:cs="Arial"/>
              </w:rPr>
            </w:pPr>
            <w:proofErr w:type="spellStart"/>
            <w:r>
              <w:rPr>
                <w:rFonts w:cs="Arial"/>
              </w:rPr>
              <w:t>lmpact</w:t>
            </w:r>
            <w:proofErr w:type="spellEnd"/>
            <w:r>
              <w:rPr>
                <w:rFonts w:cs="Arial"/>
              </w:rPr>
              <w:t xml:space="preserve"> of development on species with special protection</w:t>
            </w:r>
          </w:p>
        </w:tc>
        <w:tc>
          <w:tcPr>
            <w:tcW w:w="2835" w:type="dxa"/>
          </w:tcPr>
          <w:p w:rsidR="001C77CF" w:rsidRDefault="001C77CF" w:rsidP="00DC35B0">
            <w:pPr>
              <w:spacing w:before="120" w:after="120"/>
              <w:rPr>
                <w:rFonts w:cs="Arial"/>
              </w:rPr>
            </w:pPr>
            <w:r>
              <w:rPr>
                <w:rFonts w:cs="Arial"/>
              </w:rPr>
              <w:t xml:space="preserve">Impact on the water environment and </w:t>
            </w:r>
            <w:proofErr w:type="spellStart"/>
            <w:r>
              <w:rPr>
                <w:rFonts w:cs="Arial"/>
              </w:rPr>
              <w:t>consentability</w:t>
            </w:r>
            <w:proofErr w:type="spellEnd"/>
            <w:r>
              <w:rPr>
                <w:rFonts w:cs="Arial"/>
              </w:rPr>
              <w:t xml:space="preserve"> of the development in relation to  SEPA regulatory regimes such as: </w:t>
            </w:r>
          </w:p>
          <w:p w:rsidR="001C77CF" w:rsidRPr="00E8460A" w:rsidRDefault="001C77CF" w:rsidP="00DC35B0">
            <w:pPr>
              <w:pStyle w:val="ListParagraph"/>
              <w:numPr>
                <w:ilvl w:val="0"/>
                <w:numId w:val="6"/>
              </w:numPr>
              <w:spacing w:before="120" w:after="120"/>
              <w:ind w:left="459" w:hanging="425"/>
              <w:rPr>
                <w:rFonts w:cs="Arial"/>
                <w:color w:val="000000" w:themeColor="text1"/>
              </w:rPr>
            </w:pPr>
            <w:r w:rsidRPr="00E8460A">
              <w:rPr>
                <w:rFonts w:cs="Arial"/>
                <w:color w:val="000000" w:themeColor="text1"/>
              </w:rPr>
              <w:t>Controlled Activities Regulations</w:t>
            </w:r>
          </w:p>
          <w:p w:rsidR="001C77CF" w:rsidRPr="00E8460A" w:rsidRDefault="001C77CF" w:rsidP="00DC35B0">
            <w:pPr>
              <w:pStyle w:val="ListParagraph"/>
              <w:numPr>
                <w:ilvl w:val="0"/>
                <w:numId w:val="6"/>
              </w:numPr>
              <w:spacing w:before="120" w:after="120"/>
              <w:ind w:left="459" w:hanging="425"/>
              <w:rPr>
                <w:rFonts w:cs="Arial"/>
                <w:color w:val="000000" w:themeColor="text1"/>
              </w:rPr>
            </w:pPr>
            <w:r w:rsidRPr="00E8460A">
              <w:rPr>
                <w:rFonts w:cs="Arial"/>
                <w:color w:val="000000" w:themeColor="text1"/>
              </w:rPr>
              <w:t>Waste Management Licences</w:t>
            </w:r>
          </w:p>
          <w:p w:rsidR="001C77CF" w:rsidRPr="00E8460A" w:rsidRDefault="001C77CF" w:rsidP="00DC35B0">
            <w:pPr>
              <w:pStyle w:val="ListParagraph"/>
              <w:numPr>
                <w:ilvl w:val="0"/>
                <w:numId w:val="6"/>
              </w:numPr>
              <w:spacing w:before="120" w:after="120"/>
              <w:ind w:left="459" w:hanging="425"/>
              <w:rPr>
                <w:rFonts w:cs="Arial"/>
                <w:color w:val="000000" w:themeColor="text1"/>
              </w:rPr>
            </w:pPr>
            <w:r w:rsidRPr="00E8460A">
              <w:rPr>
                <w:rFonts w:cs="Arial"/>
                <w:color w:val="000000" w:themeColor="text1"/>
              </w:rPr>
              <w:t>PPC</w:t>
            </w:r>
          </w:p>
          <w:p w:rsidR="001C77CF" w:rsidRDefault="001C77CF" w:rsidP="00DC35B0">
            <w:pPr>
              <w:pStyle w:val="ListParagraph"/>
              <w:numPr>
                <w:ilvl w:val="0"/>
                <w:numId w:val="6"/>
              </w:numPr>
              <w:spacing w:before="120" w:after="120"/>
              <w:ind w:left="459" w:hanging="425"/>
              <w:rPr>
                <w:rFonts w:cs="Arial"/>
              </w:rPr>
            </w:pPr>
            <w:r w:rsidRPr="00E8460A">
              <w:rPr>
                <w:rFonts w:cs="Arial"/>
                <w:color w:val="000000" w:themeColor="text1"/>
              </w:rPr>
              <w:t>Radioactive and contaminated land regulations</w:t>
            </w:r>
          </w:p>
          <w:p w:rsidR="001C77CF" w:rsidRPr="00695BC5" w:rsidRDefault="001C77CF" w:rsidP="00DC35B0">
            <w:pPr>
              <w:spacing w:before="120" w:after="120"/>
              <w:rPr>
                <w:rFonts w:cs="Arial"/>
              </w:rPr>
            </w:pPr>
          </w:p>
        </w:tc>
        <w:tc>
          <w:tcPr>
            <w:tcW w:w="4096" w:type="dxa"/>
          </w:tcPr>
          <w:p w:rsidR="001C77CF" w:rsidRPr="00695BC5" w:rsidRDefault="001C77CF" w:rsidP="00DC35B0">
            <w:pPr>
              <w:spacing w:before="120" w:after="120"/>
              <w:rPr>
                <w:rFonts w:cs="Arial"/>
              </w:rPr>
            </w:pPr>
            <w:r>
              <w:rPr>
                <w:rFonts w:cs="Arial"/>
              </w:rPr>
              <w:t>Developments where there are potential impacts on aspects of the environment protected by SEPA regulatory regimes which could also affect a species with special protection. For example impact on the water environment or air quality that could lead to a potential impact on a species with special protection.</w:t>
            </w:r>
          </w:p>
        </w:tc>
        <w:tc>
          <w:tcPr>
            <w:cnfStyle w:val="000100000000" w:firstRow="0" w:lastRow="0" w:firstColumn="0" w:lastColumn="1" w:oddVBand="0" w:evenVBand="0" w:oddHBand="0" w:evenHBand="0" w:firstRowFirstColumn="0" w:firstRowLastColumn="0" w:lastRowFirstColumn="0" w:lastRowLastColumn="0"/>
            <w:tcW w:w="4550" w:type="dxa"/>
          </w:tcPr>
          <w:p w:rsidR="001C77CF" w:rsidRPr="00400C92" w:rsidRDefault="001C77CF" w:rsidP="00DC35B0">
            <w:pPr>
              <w:spacing w:before="120" w:after="120"/>
              <w:rPr>
                <w:rFonts w:cs="Arial"/>
                <w:b w:val="0"/>
              </w:rPr>
            </w:pPr>
            <w:r w:rsidRPr="00400C92">
              <w:rPr>
                <w:rFonts w:cs="Arial"/>
              </w:rPr>
              <w:t xml:space="preserve">SNH </w:t>
            </w:r>
          </w:p>
          <w:p w:rsidR="001C77CF" w:rsidRPr="00EB0027" w:rsidRDefault="001C77CF" w:rsidP="00DC35B0">
            <w:pPr>
              <w:pStyle w:val="ListParagraph"/>
              <w:numPr>
                <w:ilvl w:val="0"/>
                <w:numId w:val="1"/>
              </w:numPr>
              <w:tabs>
                <w:tab w:val="clear" w:pos="720"/>
                <w:tab w:val="num" w:pos="332"/>
              </w:tabs>
              <w:spacing w:before="120" w:after="120"/>
              <w:ind w:left="332" w:hanging="332"/>
              <w:rPr>
                <w:rFonts w:cs="Arial"/>
                <w:b w:val="0"/>
              </w:rPr>
            </w:pPr>
            <w:r w:rsidRPr="00EB0027">
              <w:rPr>
                <w:rFonts w:cs="Arial"/>
              </w:rPr>
              <w:t>lead on advice on species with special protection</w:t>
            </w:r>
          </w:p>
          <w:p w:rsidR="001C77CF" w:rsidRPr="00EB0027" w:rsidRDefault="001C77CF" w:rsidP="00DC35B0">
            <w:pPr>
              <w:spacing w:before="120" w:after="120"/>
              <w:rPr>
                <w:rFonts w:cs="Arial"/>
              </w:rPr>
            </w:pPr>
            <w:r w:rsidRPr="00EB0027">
              <w:rPr>
                <w:rFonts w:cs="Arial"/>
              </w:rPr>
              <w:t>SEPA</w:t>
            </w:r>
          </w:p>
          <w:p w:rsidR="001C77CF" w:rsidRPr="00EB0027" w:rsidRDefault="001C77CF" w:rsidP="00DC35B0">
            <w:pPr>
              <w:pStyle w:val="ListParagraph"/>
              <w:numPr>
                <w:ilvl w:val="0"/>
                <w:numId w:val="5"/>
              </w:numPr>
              <w:spacing w:before="120" w:after="120"/>
              <w:ind w:left="360"/>
              <w:rPr>
                <w:rFonts w:cs="Arial"/>
              </w:rPr>
            </w:pPr>
            <w:r w:rsidRPr="00EB0027">
              <w:rPr>
                <w:rFonts w:cs="Arial"/>
              </w:rPr>
              <w:t xml:space="preserve">lead on advice on the </w:t>
            </w:r>
            <w:proofErr w:type="spellStart"/>
            <w:r w:rsidRPr="00EB0027">
              <w:rPr>
                <w:rFonts w:cs="Arial"/>
              </w:rPr>
              <w:t>consentability</w:t>
            </w:r>
            <w:proofErr w:type="spellEnd"/>
            <w:r w:rsidRPr="00EB0027">
              <w:rPr>
                <w:rFonts w:cs="Arial"/>
              </w:rPr>
              <w:t xml:space="preserve"> of the proposed development under the relevant SEPA regulatory regime(s) </w:t>
            </w:r>
          </w:p>
          <w:p w:rsidR="001C77CF" w:rsidRPr="007F377A" w:rsidRDefault="001C77CF" w:rsidP="00DC35B0">
            <w:pPr>
              <w:spacing w:before="120" w:after="120"/>
              <w:ind w:left="48"/>
              <w:rPr>
                <w:rFonts w:cs="Arial"/>
              </w:rPr>
            </w:pPr>
            <w:r w:rsidRPr="007F377A">
              <w:rPr>
                <w:rFonts w:cs="Arial"/>
              </w:rPr>
              <w:t>SNH and SEPA</w:t>
            </w:r>
          </w:p>
          <w:p w:rsidR="001C77CF" w:rsidRPr="007F377A" w:rsidRDefault="001C77CF" w:rsidP="00DC35B0">
            <w:pPr>
              <w:pStyle w:val="ListParagraph"/>
              <w:numPr>
                <w:ilvl w:val="0"/>
                <w:numId w:val="5"/>
              </w:numPr>
              <w:spacing w:before="120" w:after="120"/>
              <w:ind w:left="332" w:hanging="332"/>
              <w:rPr>
                <w:rFonts w:cs="Arial"/>
              </w:rPr>
            </w:pPr>
            <w:r w:rsidRPr="007F377A">
              <w:rPr>
                <w:rFonts w:cs="Arial"/>
              </w:rPr>
              <w:t>liaise throughout process to ensure consistent and complementary advice is provided</w:t>
            </w:r>
          </w:p>
          <w:p w:rsidR="001C77CF" w:rsidRPr="00F7493C" w:rsidRDefault="001C77CF" w:rsidP="00DC35B0">
            <w:pPr>
              <w:spacing w:before="120" w:after="120"/>
              <w:rPr>
                <w:rFonts w:cs="Arial"/>
              </w:rPr>
            </w:pPr>
            <w:r>
              <w:rPr>
                <w:rFonts w:cs="Arial"/>
                <w:b w:val="0"/>
                <w:sz w:val="18"/>
                <w:szCs w:val="18"/>
              </w:rPr>
              <w:t>* f</w:t>
            </w:r>
            <w:r w:rsidRPr="00F7493C">
              <w:rPr>
                <w:rFonts w:cs="Arial"/>
                <w:b w:val="0"/>
                <w:sz w:val="18"/>
                <w:szCs w:val="18"/>
              </w:rPr>
              <w:t>or development that may impact on freshwater pearl mussels see note at end of table</w:t>
            </w:r>
          </w:p>
        </w:tc>
      </w:tr>
      <w:tr w:rsidR="001C77CF" w:rsidTr="001705F7">
        <w:trPr>
          <w:trHeight w:val="1134"/>
        </w:trPr>
        <w:tc>
          <w:tcPr>
            <w:tcW w:w="1242" w:type="dxa"/>
            <w:textDirection w:val="btLr"/>
          </w:tcPr>
          <w:p w:rsidR="001C77CF" w:rsidRPr="0053464B" w:rsidRDefault="001C77CF" w:rsidP="00DC35B0">
            <w:pPr>
              <w:pStyle w:val="ListParagraph"/>
              <w:numPr>
                <w:ilvl w:val="0"/>
                <w:numId w:val="8"/>
              </w:numPr>
              <w:spacing w:before="120" w:after="120"/>
              <w:ind w:right="113"/>
              <w:jc w:val="center"/>
              <w:rPr>
                <w:rFonts w:cs="Arial"/>
                <w:b/>
                <w:sz w:val="22"/>
              </w:rPr>
            </w:pPr>
            <w:r w:rsidRPr="0053464B">
              <w:rPr>
                <w:rFonts w:cs="Arial"/>
                <w:b/>
                <w:sz w:val="22"/>
              </w:rPr>
              <w:t xml:space="preserve">Water </w:t>
            </w:r>
            <w:r>
              <w:rPr>
                <w:rFonts w:cs="Arial"/>
                <w:b/>
                <w:sz w:val="22"/>
              </w:rPr>
              <w:t>e</w:t>
            </w:r>
            <w:r w:rsidRPr="0053464B">
              <w:rPr>
                <w:rFonts w:cs="Arial"/>
                <w:b/>
                <w:sz w:val="22"/>
              </w:rPr>
              <w:t>nvironment (any other circumstances)</w:t>
            </w:r>
          </w:p>
        </w:tc>
        <w:tc>
          <w:tcPr>
            <w:tcW w:w="2694" w:type="dxa"/>
          </w:tcPr>
          <w:p w:rsidR="001C77CF" w:rsidRDefault="001C77CF" w:rsidP="00DC35B0">
            <w:pPr>
              <w:spacing w:before="120" w:after="120"/>
            </w:pPr>
            <w:r>
              <w:t>Water dependent ecological features which are, or could affect a qualifying feature of a designated site or a species with special protection.</w:t>
            </w:r>
          </w:p>
        </w:tc>
        <w:tc>
          <w:tcPr>
            <w:tcW w:w="2835" w:type="dxa"/>
          </w:tcPr>
          <w:p w:rsidR="001C77CF" w:rsidRDefault="001C77CF" w:rsidP="00DC35B0">
            <w:pPr>
              <w:spacing w:before="120" w:after="120"/>
              <w:ind w:left="34"/>
            </w:pPr>
            <w:r>
              <w:rPr>
                <w:rFonts w:cs="Arial"/>
              </w:rPr>
              <w:t>P</w:t>
            </w:r>
            <w:r w:rsidRPr="00695BC5">
              <w:rPr>
                <w:rFonts w:cs="Arial"/>
              </w:rPr>
              <w:t>rotection and improvement of the water environment to ensure compliance with the Water Framework Directive</w:t>
            </w:r>
          </w:p>
        </w:tc>
        <w:tc>
          <w:tcPr>
            <w:tcW w:w="4096" w:type="dxa"/>
          </w:tcPr>
          <w:p w:rsidR="001C77CF" w:rsidRPr="00B4185E" w:rsidRDefault="001C77CF" w:rsidP="00DC35B0">
            <w:pPr>
              <w:spacing w:before="120" w:after="120"/>
              <w:rPr>
                <w:rFonts w:cs="Arial"/>
              </w:rPr>
            </w:pPr>
            <w:r w:rsidRPr="00B4185E">
              <w:rPr>
                <w:rFonts w:cs="Arial"/>
              </w:rPr>
              <w:t>Developments where there are potential impacts on aspects of the water environment (such as GWDTEs) which are, or could affect, a qualifying feature(s) of a designated site</w:t>
            </w:r>
            <w:r>
              <w:rPr>
                <w:rFonts w:cs="Arial"/>
              </w:rPr>
              <w:t xml:space="preserve"> or a species with special protection</w:t>
            </w:r>
            <w:r w:rsidRPr="00B4185E">
              <w:rPr>
                <w:rFonts w:cs="Arial"/>
              </w:rPr>
              <w:t xml:space="preserve">.   </w:t>
            </w:r>
            <w:r>
              <w:rPr>
                <w:rFonts w:cs="Arial"/>
              </w:rPr>
              <w:t>N</w:t>
            </w:r>
            <w:r w:rsidRPr="00B4185E">
              <w:rPr>
                <w:rFonts w:cs="Arial"/>
              </w:rPr>
              <w:t xml:space="preserve">ote: this could include impacts on the water environment which are </w:t>
            </w:r>
            <w:proofErr w:type="spellStart"/>
            <w:r w:rsidRPr="00B4185E">
              <w:rPr>
                <w:rFonts w:cs="Arial"/>
              </w:rPr>
              <w:t>outwith</w:t>
            </w:r>
            <w:proofErr w:type="spellEnd"/>
            <w:r w:rsidRPr="00B4185E">
              <w:rPr>
                <w:rFonts w:cs="Arial"/>
              </w:rPr>
              <w:t xml:space="preserve"> a designated site but could still affect a qualifying feature within the designated site.</w:t>
            </w:r>
          </w:p>
          <w:p w:rsidR="001C77CF" w:rsidRDefault="001C77CF" w:rsidP="00DC35B0">
            <w:pPr>
              <w:spacing w:before="120" w:after="120"/>
              <w:rPr>
                <w:rFonts w:cs="Arial"/>
              </w:rPr>
            </w:pPr>
          </w:p>
        </w:tc>
        <w:tc>
          <w:tcPr>
            <w:cnfStyle w:val="000100000000" w:firstRow="0" w:lastRow="0" w:firstColumn="0" w:lastColumn="1" w:oddVBand="0" w:evenVBand="0" w:oddHBand="0" w:evenHBand="0" w:firstRowFirstColumn="0" w:firstRowLastColumn="0" w:lastRowFirstColumn="0" w:lastRowLastColumn="0"/>
            <w:tcW w:w="4550" w:type="dxa"/>
          </w:tcPr>
          <w:p w:rsidR="001C77CF" w:rsidRDefault="001C77CF" w:rsidP="00DC35B0">
            <w:pPr>
              <w:spacing w:before="120" w:after="120"/>
              <w:rPr>
                <w:rFonts w:cs="Arial"/>
              </w:rPr>
            </w:pPr>
            <w:r>
              <w:rPr>
                <w:rFonts w:cs="Arial"/>
              </w:rPr>
              <w:t xml:space="preserve">SEPA </w:t>
            </w:r>
          </w:p>
          <w:p w:rsidR="001C77CF" w:rsidRDefault="001C77CF" w:rsidP="00DC35B0">
            <w:pPr>
              <w:pStyle w:val="ListParagraph"/>
              <w:numPr>
                <w:ilvl w:val="0"/>
                <w:numId w:val="5"/>
              </w:numPr>
              <w:spacing w:before="120" w:after="120"/>
              <w:ind w:left="473" w:hanging="425"/>
              <w:rPr>
                <w:rFonts w:cs="Arial"/>
              </w:rPr>
            </w:pPr>
            <w:r w:rsidRPr="001D504B">
              <w:rPr>
                <w:rFonts w:cs="Arial"/>
              </w:rPr>
              <w:t xml:space="preserve">lead on </w:t>
            </w:r>
            <w:r>
              <w:rPr>
                <w:rFonts w:cs="Arial"/>
              </w:rPr>
              <w:t xml:space="preserve">advice on </w:t>
            </w:r>
            <w:r w:rsidRPr="001D504B">
              <w:rPr>
                <w:rFonts w:cs="Arial"/>
              </w:rPr>
              <w:t xml:space="preserve">protection and management of the water environment </w:t>
            </w:r>
          </w:p>
          <w:p w:rsidR="001C77CF" w:rsidRDefault="001C77CF" w:rsidP="00DC35B0">
            <w:pPr>
              <w:spacing w:before="120" w:after="120"/>
              <w:ind w:left="48"/>
              <w:rPr>
                <w:rFonts w:cs="Arial"/>
              </w:rPr>
            </w:pPr>
            <w:r>
              <w:rPr>
                <w:rFonts w:cs="Arial"/>
              </w:rPr>
              <w:t>SNH</w:t>
            </w:r>
          </w:p>
          <w:p w:rsidR="001C77CF" w:rsidRPr="003A60B2" w:rsidRDefault="001C77CF" w:rsidP="001C77CF">
            <w:pPr>
              <w:pStyle w:val="ListParagraph"/>
              <w:numPr>
                <w:ilvl w:val="0"/>
                <w:numId w:val="11"/>
              </w:numPr>
              <w:spacing w:before="120" w:after="120"/>
              <w:ind w:left="473" w:hanging="425"/>
              <w:rPr>
                <w:rFonts w:cs="Arial"/>
              </w:rPr>
            </w:pPr>
            <w:proofErr w:type="gramStart"/>
            <w:r w:rsidRPr="003A60B2">
              <w:rPr>
                <w:rFonts w:cs="Arial"/>
              </w:rPr>
              <w:t>lead</w:t>
            </w:r>
            <w:proofErr w:type="gramEnd"/>
            <w:r w:rsidRPr="003A60B2">
              <w:rPr>
                <w:rFonts w:cs="Arial"/>
              </w:rPr>
              <w:t xml:space="preserve"> where there is a potential impact on a qualifying feature of a protected site and/or species with special protection (see 2. and/or 3.)</w:t>
            </w:r>
          </w:p>
          <w:p w:rsidR="001C77CF" w:rsidRPr="007F377A" w:rsidRDefault="001C77CF" w:rsidP="00DC35B0">
            <w:pPr>
              <w:spacing w:before="120" w:after="120"/>
              <w:ind w:left="48"/>
              <w:rPr>
                <w:rFonts w:cs="Arial"/>
              </w:rPr>
            </w:pPr>
            <w:r w:rsidRPr="007F377A">
              <w:rPr>
                <w:rFonts w:cs="Arial"/>
              </w:rPr>
              <w:t>SNH and SEPA</w:t>
            </w:r>
          </w:p>
          <w:p w:rsidR="001C77CF" w:rsidRPr="003A60B2" w:rsidRDefault="001C77CF" w:rsidP="001C77CF">
            <w:pPr>
              <w:pStyle w:val="ListParagraph"/>
              <w:numPr>
                <w:ilvl w:val="0"/>
                <w:numId w:val="11"/>
              </w:numPr>
              <w:tabs>
                <w:tab w:val="left" w:pos="48"/>
              </w:tabs>
              <w:spacing w:before="120" w:after="120"/>
              <w:ind w:left="473" w:hanging="425"/>
              <w:rPr>
                <w:rFonts w:cs="Arial"/>
              </w:rPr>
            </w:pPr>
            <w:r>
              <w:rPr>
                <w:rFonts w:cs="Arial"/>
              </w:rPr>
              <w:t xml:space="preserve">where there is a potential overlap </w:t>
            </w:r>
            <w:r w:rsidRPr="003A60B2">
              <w:rPr>
                <w:rFonts w:cs="Arial"/>
              </w:rPr>
              <w:t>liaise throughout process to ensure consistent and complementary advice is provided</w:t>
            </w:r>
          </w:p>
        </w:tc>
      </w:tr>
      <w:tr w:rsidR="001C77CF" w:rsidTr="001705F7">
        <w:trPr>
          <w:trHeight w:val="1134"/>
        </w:trPr>
        <w:tc>
          <w:tcPr>
            <w:tcW w:w="1242" w:type="dxa"/>
            <w:textDirection w:val="btLr"/>
          </w:tcPr>
          <w:p w:rsidR="001C77CF" w:rsidRPr="0053464B" w:rsidRDefault="001C77CF" w:rsidP="00DC35B0">
            <w:pPr>
              <w:pStyle w:val="ListParagraph"/>
              <w:numPr>
                <w:ilvl w:val="0"/>
                <w:numId w:val="8"/>
              </w:numPr>
              <w:ind w:right="113"/>
              <w:jc w:val="center"/>
              <w:rPr>
                <w:rFonts w:cs="Arial"/>
                <w:b/>
                <w:sz w:val="22"/>
              </w:rPr>
            </w:pPr>
            <w:r w:rsidRPr="0053464B">
              <w:rPr>
                <w:rFonts w:cs="Arial"/>
                <w:b/>
                <w:sz w:val="22"/>
              </w:rPr>
              <w:t>Green infrastructure</w:t>
            </w:r>
          </w:p>
        </w:tc>
        <w:tc>
          <w:tcPr>
            <w:tcW w:w="2694" w:type="dxa"/>
          </w:tcPr>
          <w:p w:rsidR="001C77CF" w:rsidRPr="00695BC5" w:rsidRDefault="001C77CF" w:rsidP="00DC35B0">
            <w:pPr>
              <w:spacing w:before="120" w:after="120"/>
            </w:pPr>
            <w:r>
              <w:t>M</w:t>
            </w:r>
            <w:r w:rsidRPr="00695BC5">
              <w:t xml:space="preserve">aintenance and enhancement of habitat networks, landscape enhancement and climate change with respect to species adaptation.  </w:t>
            </w:r>
          </w:p>
          <w:p w:rsidR="001C77CF" w:rsidRPr="00695BC5" w:rsidRDefault="001C77CF" w:rsidP="00DC35B0">
            <w:pPr>
              <w:spacing w:before="120" w:after="120"/>
              <w:rPr>
                <w:rFonts w:cs="Arial"/>
              </w:rPr>
            </w:pPr>
            <w:r w:rsidRPr="00695BC5">
              <w:t xml:space="preserve">Where SNH is the responsible authority for River Basin Management Plan measures.  </w:t>
            </w:r>
          </w:p>
        </w:tc>
        <w:tc>
          <w:tcPr>
            <w:tcW w:w="2835" w:type="dxa"/>
          </w:tcPr>
          <w:p w:rsidR="001C77CF" w:rsidRPr="00695BC5" w:rsidRDefault="001C77CF" w:rsidP="00DC35B0">
            <w:pPr>
              <w:spacing w:before="120" w:after="120"/>
              <w:ind w:left="34"/>
            </w:pPr>
            <w:r>
              <w:t>D</w:t>
            </w:r>
            <w:r w:rsidRPr="00695BC5">
              <w:t>elivery of River Basin Manag</w:t>
            </w:r>
            <w:r>
              <w:t>ement Planning measures and the</w:t>
            </w:r>
            <w:r w:rsidRPr="00695BC5">
              <w:t xml:space="preserve"> Flood Risk Management (Scotland) Act 2009</w:t>
            </w:r>
            <w:r>
              <w:t xml:space="preserve">, including actions within Flood Risk Management Plans </w:t>
            </w:r>
          </w:p>
          <w:p w:rsidR="001C77CF" w:rsidRPr="00695BC5" w:rsidRDefault="001C77CF" w:rsidP="00DC35B0">
            <w:pPr>
              <w:spacing w:before="120" w:after="120"/>
              <w:rPr>
                <w:rFonts w:cs="Arial"/>
              </w:rPr>
            </w:pPr>
          </w:p>
        </w:tc>
        <w:tc>
          <w:tcPr>
            <w:tcW w:w="4096" w:type="dxa"/>
          </w:tcPr>
          <w:p w:rsidR="001C77CF" w:rsidRPr="00695BC5" w:rsidRDefault="001C77CF" w:rsidP="00DC35B0">
            <w:pPr>
              <w:spacing w:before="120" w:after="120"/>
              <w:rPr>
                <w:rFonts w:cs="Arial"/>
              </w:rPr>
            </w:pPr>
            <w:r>
              <w:rPr>
                <w:rFonts w:cs="Arial"/>
              </w:rPr>
              <w:t>Developments where habitat and/or landscape enhancements could impact on the delivery of River Basin Management Planning measures or sustainable flood risk management</w:t>
            </w:r>
          </w:p>
        </w:tc>
        <w:tc>
          <w:tcPr>
            <w:cnfStyle w:val="000100000000" w:firstRow="0" w:lastRow="0" w:firstColumn="0" w:lastColumn="1" w:oddVBand="0" w:evenVBand="0" w:oddHBand="0" w:evenHBand="0" w:firstRowFirstColumn="0" w:firstRowLastColumn="0" w:lastRowFirstColumn="0" w:lastRowLastColumn="0"/>
            <w:tcW w:w="4550" w:type="dxa"/>
          </w:tcPr>
          <w:p w:rsidR="001C77CF" w:rsidRPr="001E543B" w:rsidRDefault="001C77CF" w:rsidP="00DC35B0">
            <w:pPr>
              <w:spacing w:before="120" w:after="120"/>
              <w:rPr>
                <w:rFonts w:cs="Arial"/>
                <w:b w:val="0"/>
              </w:rPr>
            </w:pPr>
            <w:r w:rsidRPr="001E543B">
              <w:rPr>
                <w:rFonts w:cs="Arial"/>
              </w:rPr>
              <w:t xml:space="preserve">SEPA and SNH </w:t>
            </w:r>
          </w:p>
          <w:p w:rsidR="001C77CF" w:rsidRDefault="001C77CF" w:rsidP="00DC35B0">
            <w:pPr>
              <w:pStyle w:val="ListParagraph"/>
              <w:numPr>
                <w:ilvl w:val="0"/>
                <w:numId w:val="9"/>
              </w:numPr>
              <w:spacing w:before="120" w:after="120"/>
              <w:rPr>
                <w:rFonts w:cs="Arial"/>
              </w:rPr>
            </w:pPr>
            <w:r w:rsidRPr="00B10B19">
              <w:rPr>
                <w:rFonts w:cs="Arial"/>
              </w:rPr>
              <w:t xml:space="preserve">submit separate planning consultation </w:t>
            </w:r>
            <w:r>
              <w:rPr>
                <w:rFonts w:cs="Arial"/>
              </w:rPr>
              <w:t>responses within clear context of each Agencies remit</w:t>
            </w:r>
          </w:p>
          <w:p w:rsidR="001C77CF" w:rsidRPr="00B10B19" w:rsidRDefault="001C77CF" w:rsidP="00DC35B0">
            <w:pPr>
              <w:pStyle w:val="ListParagraph"/>
              <w:numPr>
                <w:ilvl w:val="0"/>
                <w:numId w:val="9"/>
              </w:numPr>
              <w:spacing w:before="120" w:after="120"/>
              <w:rPr>
                <w:rFonts w:cs="Arial"/>
              </w:rPr>
            </w:pPr>
            <w:proofErr w:type="gramStart"/>
            <w:r w:rsidRPr="00B10B19">
              <w:rPr>
                <w:rFonts w:cs="Arial"/>
              </w:rPr>
              <w:t>liaise</w:t>
            </w:r>
            <w:proofErr w:type="gramEnd"/>
            <w:r w:rsidRPr="00B10B19">
              <w:rPr>
                <w:rFonts w:cs="Arial"/>
              </w:rPr>
              <w:t xml:space="preserve"> to ensure advice is complementary</w:t>
            </w:r>
            <w:r w:rsidRPr="00B10B19">
              <w:rPr>
                <w:rFonts w:cs="Arial"/>
                <w:sz w:val="22"/>
              </w:rPr>
              <w:t xml:space="preserve"> </w:t>
            </w:r>
            <w:r w:rsidRPr="00B10B19">
              <w:rPr>
                <w:rFonts w:cs="Arial"/>
              </w:rPr>
              <w:t>prior to responding.</w:t>
            </w:r>
          </w:p>
        </w:tc>
      </w:tr>
      <w:tr w:rsidR="001C77CF" w:rsidTr="001705F7">
        <w:trPr>
          <w:trHeight w:val="1134"/>
        </w:trPr>
        <w:tc>
          <w:tcPr>
            <w:tcW w:w="1242" w:type="dxa"/>
            <w:textDirection w:val="btLr"/>
          </w:tcPr>
          <w:p w:rsidR="001C77CF" w:rsidRPr="0053464B" w:rsidRDefault="001C77CF" w:rsidP="00DC35B0">
            <w:pPr>
              <w:pStyle w:val="ListParagraph"/>
              <w:numPr>
                <w:ilvl w:val="0"/>
                <w:numId w:val="8"/>
              </w:numPr>
              <w:ind w:right="113"/>
              <w:jc w:val="center"/>
              <w:rPr>
                <w:rFonts w:cs="Arial"/>
                <w:b/>
                <w:sz w:val="22"/>
              </w:rPr>
            </w:pPr>
            <w:proofErr w:type="spellStart"/>
            <w:r w:rsidRPr="0053464B">
              <w:rPr>
                <w:rFonts w:cs="Arial"/>
                <w:b/>
                <w:sz w:val="22"/>
              </w:rPr>
              <w:t>Peatlands</w:t>
            </w:r>
            <w:proofErr w:type="spellEnd"/>
            <w:r w:rsidRPr="0053464B">
              <w:rPr>
                <w:rFonts w:cs="Arial"/>
                <w:b/>
                <w:sz w:val="22"/>
              </w:rPr>
              <w:t xml:space="preserve"> </w:t>
            </w:r>
            <w:r>
              <w:rPr>
                <w:rFonts w:cs="Arial"/>
                <w:b/>
                <w:sz w:val="22"/>
              </w:rPr>
              <w:t xml:space="preserve">that are </w:t>
            </w:r>
            <w:r w:rsidRPr="0053464B">
              <w:rPr>
                <w:rFonts w:cs="Arial"/>
                <w:b/>
                <w:sz w:val="22"/>
              </w:rPr>
              <w:t xml:space="preserve">not a qualifying feature of </w:t>
            </w:r>
            <w:r>
              <w:rPr>
                <w:rFonts w:cs="Arial"/>
                <w:b/>
                <w:sz w:val="22"/>
              </w:rPr>
              <w:t xml:space="preserve">a </w:t>
            </w:r>
            <w:r w:rsidRPr="0053464B">
              <w:rPr>
                <w:rFonts w:cs="Arial"/>
                <w:b/>
                <w:sz w:val="22"/>
              </w:rPr>
              <w:t>protected area</w:t>
            </w:r>
          </w:p>
        </w:tc>
        <w:tc>
          <w:tcPr>
            <w:tcW w:w="2694" w:type="dxa"/>
          </w:tcPr>
          <w:p w:rsidR="001C77CF" w:rsidRPr="00695BC5" w:rsidRDefault="001C77CF" w:rsidP="00DC35B0">
            <w:pPr>
              <w:spacing w:before="120"/>
              <w:ind w:left="-6" w:firstLine="6"/>
              <w:rPr>
                <w:rFonts w:cs="Arial"/>
              </w:rPr>
            </w:pPr>
            <w:r>
              <w:rPr>
                <w:rFonts w:cs="Arial"/>
              </w:rPr>
              <w:t xml:space="preserve">Impacts of the development </w:t>
            </w:r>
            <w:r w:rsidRPr="00695BC5">
              <w:rPr>
                <w:rFonts w:cs="Arial"/>
              </w:rPr>
              <w:t>on:</w:t>
            </w:r>
          </w:p>
          <w:p w:rsidR="001C77CF" w:rsidRPr="00695BC5" w:rsidRDefault="001C77CF" w:rsidP="00DC35B0">
            <w:pPr>
              <w:pStyle w:val="ListParagraph"/>
              <w:numPr>
                <w:ilvl w:val="0"/>
                <w:numId w:val="3"/>
              </w:numPr>
              <w:overflowPunct/>
              <w:autoSpaceDE/>
              <w:autoSpaceDN/>
              <w:adjustRightInd/>
              <w:spacing w:before="120" w:after="120"/>
              <w:ind w:left="419" w:hanging="283"/>
              <w:contextualSpacing w:val="0"/>
              <w:textAlignment w:val="auto"/>
              <w:rPr>
                <w:rFonts w:cs="Arial"/>
              </w:rPr>
            </w:pPr>
            <w:r>
              <w:rPr>
                <w:rFonts w:cs="Arial"/>
              </w:rPr>
              <w:t>protected</w:t>
            </w:r>
            <w:r w:rsidRPr="00695BC5">
              <w:rPr>
                <w:rFonts w:cs="Arial"/>
              </w:rPr>
              <w:t xml:space="preserve"> areas</w:t>
            </w:r>
            <w:r>
              <w:rPr>
                <w:rFonts w:cs="Arial"/>
              </w:rPr>
              <w:t>;</w:t>
            </w:r>
            <w:r w:rsidRPr="00695BC5">
              <w:rPr>
                <w:rFonts w:cs="Arial"/>
              </w:rPr>
              <w:t xml:space="preserve"> and</w:t>
            </w:r>
            <w:r>
              <w:rPr>
                <w:rFonts w:cs="Arial"/>
              </w:rPr>
              <w:t>,</w:t>
            </w:r>
            <w:r w:rsidRPr="00695BC5">
              <w:rPr>
                <w:rFonts w:cs="Arial"/>
              </w:rPr>
              <w:t xml:space="preserve"> </w:t>
            </w:r>
          </w:p>
          <w:p w:rsidR="001C77CF" w:rsidRDefault="001C77CF" w:rsidP="00DC35B0">
            <w:pPr>
              <w:pStyle w:val="ListParagraph"/>
              <w:numPr>
                <w:ilvl w:val="0"/>
                <w:numId w:val="3"/>
              </w:numPr>
              <w:overflowPunct/>
              <w:autoSpaceDE/>
              <w:autoSpaceDN/>
              <w:adjustRightInd/>
              <w:spacing w:before="120" w:after="120"/>
              <w:ind w:left="419" w:hanging="283"/>
              <w:contextualSpacing w:val="0"/>
              <w:textAlignment w:val="auto"/>
              <w:rPr>
                <w:rFonts w:cs="Arial"/>
              </w:rPr>
            </w:pPr>
            <w:r w:rsidRPr="00695BC5">
              <w:rPr>
                <w:rFonts w:cs="Arial"/>
              </w:rPr>
              <w:t xml:space="preserve">UKBAP priority </w:t>
            </w:r>
            <w:proofErr w:type="spellStart"/>
            <w:r w:rsidRPr="00695BC5">
              <w:rPr>
                <w:rFonts w:cs="Arial"/>
              </w:rPr>
              <w:t>peatland</w:t>
            </w:r>
            <w:proofErr w:type="spellEnd"/>
            <w:r w:rsidRPr="00695BC5">
              <w:rPr>
                <w:rFonts w:cs="Arial"/>
              </w:rPr>
              <w:t xml:space="preserve"> habitats, </w:t>
            </w:r>
            <w:r w:rsidRPr="00A93B89">
              <w:rPr>
                <w:rFonts w:cs="Arial"/>
              </w:rPr>
              <w:t xml:space="preserve">with the exception of </w:t>
            </w:r>
            <w:r w:rsidRPr="00695BC5">
              <w:rPr>
                <w:rFonts w:cs="Arial"/>
              </w:rPr>
              <w:t xml:space="preserve">fens </w:t>
            </w:r>
            <w:r>
              <w:rPr>
                <w:rFonts w:cs="Arial"/>
              </w:rPr>
              <w:t>where they are not</w:t>
            </w:r>
            <w:r w:rsidRPr="00695BC5">
              <w:rPr>
                <w:rFonts w:cs="Arial"/>
              </w:rPr>
              <w:t xml:space="preserve"> a qualifying interest of a </w:t>
            </w:r>
            <w:r>
              <w:rPr>
                <w:rFonts w:cs="Arial"/>
              </w:rPr>
              <w:t>protected area.</w:t>
            </w:r>
          </w:p>
          <w:p w:rsidR="001C77CF" w:rsidRPr="00695BC5" w:rsidRDefault="001C77CF" w:rsidP="00DC35B0">
            <w:pPr>
              <w:spacing w:before="120" w:after="120"/>
              <w:rPr>
                <w:rFonts w:cs="Arial"/>
              </w:rPr>
            </w:pPr>
            <w:r>
              <w:rPr>
                <w:rFonts w:cs="Arial"/>
              </w:rPr>
              <w:t>This applies to the provision of advice on a range of supporting documents</w:t>
            </w:r>
            <w:r w:rsidRPr="00695BC5">
              <w:rPr>
                <w:rFonts w:cs="Arial"/>
              </w:rPr>
              <w:t xml:space="preserve"> including peat slide risk assessments, management plans and method statements</w:t>
            </w:r>
            <w:r>
              <w:rPr>
                <w:rFonts w:cs="Arial"/>
              </w:rPr>
              <w:t>.</w:t>
            </w:r>
          </w:p>
        </w:tc>
        <w:tc>
          <w:tcPr>
            <w:tcW w:w="2835" w:type="dxa"/>
          </w:tcPr>
          <w:p w:rsidR="001C77CF" w:rsidRPr="00695BC5" w:rsidRDefault="001C77CF" w:rsidP="00DC35B0">
            <w:pPr>
              <w:spacing w:before="120" w:after="120"/>
              <w:ind w:left="34"/>
              <w:rPr>
                <w:rFonts w:cs="Arial"/>
              </w:rPr>
            </w:pPr>
            <w:r>
              <w:rPr>
                <w:rFonts w:cs="Arial"/>
              </w:rPr>
              <w:t>Impacts of development</w:t>
            </w:r>
            <w:r w:rsidRPr="00695BC5">
              <w:rPr>
                <w:rFonts w:cs="Arial"/>
              </w:rPr>
              <w:t xml:space="preserve"> on:</w:t>
            </w:r>
          </w:p>
          <w:p w:rsidR="001C77CF" w:rsidRPr="00695BC5" w:rsidRDefault="001C77CF" w:rsidP="00DC35B0">
            <w:pPr>
              <w:pStyle w:val="ListParagraph"/>
              <w:numPr>
                <w:ilvl w:val="0"/>
                <w:numId w:val="2"/>
              </w:numPr>
              <w:overflowPunct/>
              <w:autoSpaceDE/>
              <w:autoSpaceDN/>
              <w:adjustRightInd/>
              <w:spacing w:before="120" w:after="120"/>
              <w:ind w:left="459" w:hanging="283"/>
              <w:contextualSpacing w:val="0"/>
              <w:textAlignment w:val="auto"/>
              <w:rPr>
                <w:rFonts w:cs="Arial"/>
              </w:rPr>
            </w:pPr>
            <w:r w:rsidRPr="00695BC5">
              <w:rPr>
                <w:rFonts w:cs="Arial"/>
              </w:rPr>
              <w:t>the water environment</w:t>
            </w:r>
            <w:r>
              <w:rPr>
                <w:rFonts w:cs="Arial"/>
              </w:rPr>
              <w:t xml:space="preserve">; </w:t>
            </w:r>
          </w:p>
          <w:p w:rsidR="001C77CF" w:rsidRPr="00695BC5" w:rsidRDefault="001C77CF" w:rsidP="00DC35B0">
            <w:pPr>
              <w:pStyle w:val="ListParagraph"/>
              <w:numPr>
                <w:ilvl w:val="0"/>
                <w:numId w:val="2"/>
              </w:numPr>
              <w:overflowPunct/>
              <w:autoSpaceDE/>
              <w:autoSpaceDN/>
              <w:adjustRightInd/>
              <w:spacing w:before="120" w:after="120"/>
              <w:ind w:left="459" w:hanging="283"/>
              <w:contextualSpacing w:val="0"/>
              <w:textAlignment w:val="auto"/>
              <w:rPr>
                <w:rFonts w:cs="Arial"/>
              </w:rPr>
            </w:pPr>
            <w:r w:rsidRPr="00695BC5">
              <w:rPr>
                <w:rFonts w:cs="Arial"/>
              </w:rPr>
              <w:t>carbon emissions</w:t>
            </w:r>
            <w:r>
              <w:rPr>
                <w:rFonts w:cs="Arial"/>
              </w:rPr>
              <w:t>;</w:t>
            </w:r>
            <w:r w:rsidRPr="00695BC5">
              <w:rPr>
                <w:rFonts w:cs="Arial"/>
              </w:rPr>
              <w:t xml:space="preserve"> and</w:t>
            </w:r>
            <w:r>
              <w:rPr>
                <w:rFonts w:cs="Arial"/>
              </w:rPr>
              <w:t>,</w:t>
            </w:r>
          </w:p>
          <w:p w:rsidR="001C77CF" w:rsidRPr="00695BC5" w:rsidRDefault="001C77CF" w:rsidP="00DC35B0">
            <w:pPr>
              <w:pStyle w:val="ListParagraph"/>
              <w:numPr>
                <w:ilvl w:val="0"/>
                <w:numId w:val="2"/>
              </w:numPr>
              <w:overflowPunct/>
              <w:autoSpaceDE/>
              <w:autoSpaceDN/>
              <w:adjustRightInd/>
              <w:spacing w:before="120" w:after="120"/>
              <w:ind w:left="459" w:hanging="283"/>
              <w:contextualSpacing w:val="0"/>
              <w:textAlignment w:val="auto"/>
              <w:rPr>
                <w:rFonts w:cs="Arial"/>
              </w:rPr>
            </w:pPr>
            <w:proofErr w:type="gramStart"/>
            <w:r w:rsidRPr="00695BC5">
              <w:rPr>
                <w:rFonts w:cs="Arial"/>
              </w:rPr>
              <w:t>peat</w:t>
            </w:r>
            <w:proofErr w:type="gramEnd"/>
            <w:r w:rsidRPr="00695BC5">
              <w:rPr>
                <w:rFonts w:cs="Arial"/>
              </w:rPr>
              <w:t xml:space="preserve"> re-use and waste management</w:t>
            </w:r>
            <w:r>
              <w:rPr>
                <w:rFonts w:cs="Arial"/>
              </w:rPr>
              <w:t>.</w:t>
            </w:r>
          </w:p>
          <w:p w:rsidR="001C77CF" w:rsidRPr="00695BC5" w:rsidRDefault="001C77CF" w:rsidP="00DC35B0">
            <w:pPr>
              <w:spacing w:before="120" w:after="120"/>
              <w:rPr>
                <w:rFonts w:cs="Arial"/>
              </w:rPr>
            </w:pPr>
            <w:r>
              <w:rPr>
                <w:rFonts w:cs="Arial"/>
              </w:rPr>
              <w:t>This applies to the provision of advice on a range of supporting documents</w:t>
            </w:r>
            <w:r w:rsidRPr="00695BC5">
              <w:rPr>
                <w:rFonts w:cs="Arial"/>
              </w:rPr>
              <w:t xml:space="preserve"> including peat slide risk assessments, management plans and method statements</w:t>
            </w:r>
            <w:r>
              <w:rPr>
                <w:rFonts w:cs="Arial"/>
              </w:rPr>
              <w:t>.</w:t>
            </w:r>
          </w:p>
        </w:tc>
        <w:tc>
          <w:tcPr>
            <w:tcW w:w="4096" w:type="dxa"/>
          </w:tcPr>
          <w:p w:rsidR="001C77CF" w:rsidRPr="009B5688" w:rsidRDefault="001C77CF" w:rsidP="00DC35B0">
            <w:pPr>
              <w:spacing w:before="120" w:after="120"/>
              <w:rPr>
                <w:rFonts w:cs="Arial"/>
              </w:rPr>
            </w:pPr>
            <w:r w:rsidRPr="009B5688">
              <w:rPr>
                <w:rFonts w:cs="Arial"/>
              </w:rPr>
              <w:t>Developments where there are potential impacts on aspects of the water environment (such as GWDTEs) which are, or could affect, a qualifying feature(s) of a designated site</w:t>
            </w:r>
            <w:r>
              <w:rPr>
                <w:rFonts w:cs="Arial"/>
              </w:rPr>
              <w:t xml:space="preserve"> or constitute significant biodiversity impacts</w:t>
            </w:r>
            <w:r w:rsidRPr="009B5688">
              <w:rPr>
                <w:rFonts w:cs="Arial"/>
              </w:rPr>
              <w:t xml:space="preserve">.   Note: this could include impacts on the water environment which are </w:t>
            </w:r>
            <w:proofErr w:type="spellStart"/>
            <w:r w:rsidRPr="009B5688">
              <w:rPr>
                <w:rFonts w:cs="Arial"/>
              </w:rPr>
              <w:t>outwith</w:t>
            </w:r>
            <w:proofErr w:type="spellEnd"/>
            <w:r w:rsidRPr="009B5688">
              <w:rPr>
                <w:rFonts w:cs="Arial"/>
              </w:rPr>
              <w:t xml:space="preserve"> a designated site but could still affect a qualifying feature within the designated site. </w:t>
            </w:r>
          </w:p>
          <w:p w:rsidR="001C77CF" w:rsidRPr="009B5688" w:rsidRDefault="001C77CF" w:rsidP="00DC35B0">
            <w:pPr>
              <w:spacing w:before="120" w:after="120"/>
              <w:rPr>
                <w:rFonts w:cs="Arial"/>
              </w:rPr>
            </w:pPr>
            <w:r w:rsidRPr="009B5688">
              <w:rPr>
                <w:rFonts w:cs="Arial"/>
              </w:rPr>
              <w:t>In addition greater clarity on the separation between G</w:t>
            </w:r>
            <w:r>
              <w:rPr>
                <w:rFonts w:cs="Arial"/>
              </w:rPr>
              <w:t>W</w:t>
            </w:r>
            <w:r w:rsidRPr="009B5688">
              <w:rPr>
                <w:rFonts w:cs="Arial"/>
              </w:rPr>
              <w:t>DTEs and UKBAP habitats is needed between the two organisations</w:t>
            </w:r>
            <w:r>
              <w:rPr>
                <w:rFonts w:cs="Arial"/>
              </w:rPr>
              <w:t xml:space="preserve">. </w:t>
            </w:r>
          </w:p>
          <w:p w:rsidR="001C77CF" w:rsidRPr="00695BC5" w:rsidRDefault="001C77CF" w:rsidP="00DC35B0">
            <w:pPr>
              <w:spacing w:before="120" w:after="120"/>
              <w:rPr>
                <w:rFonts w:cs="Arial"/>
              </w:rPr>
            </w:pPr>
          </w:p>
        </w:tc>
        <w:tc>
          <w:tcPr>
            <w:cnfStyle w:val="000100000000" w:firstRow="0" w:lastRow="0" w:firstColumn="0" w:lastColumn="1" w:oddVBand="0" w:evenVBand="0" w:oddHBand="0" w:evenHBand="0" w:firstRowFirstColumn="0" w:firstRowLastColumn="0" w:lastRowFirstColumn="0" w:lastRowLastColumn="0"/>
            <w:tcW w:w="4550" w:type="dxa"/>
          </w:tcPr>
          <w:p w:rsidR="001C77CF" w:rsidRDefault="001C77CF" w:rsidP="00DC35B0">
            <w:pPr>
              <w:spacing w:before="120" w:after="120"/>
              <w:rPr>
                <w:rFonts w:cs="Arial"/>
              </w:rPr>
            </w:pPr>
          </w:p>
          <w:p w:rsidR="001C77CF" w:rsidRPr="001E543B" w:rsidRDefault="001C77CF" w:rsidP="00DC35B0">
            <w:pPr>
              <w:spacing w:before="120" w:after="120"/>
              <w:rPr>
                <w:rFonts w:cs="Arial"/>
                <w:b w:val="0"/>
              </w:rPr>
            </w:pPr>
            <w:r w:rsidRPr="001E543B">
              <w:rPr>
                <w:rFonts w:cs="Arial"/>
              </w:rPr>
              <w:t xml:space="preserve">SEPA and SNH </w:t>
            </w:r>
          </w:p>
          <w:p w:rsidR="001C77CF" w:rsidRDefault="001C77CF" w:rsidP="00DC35B0">
            <w:pPr>
              <w:pStyle w:val="ListParagraph"/>
              <w:numPr>
                <w:ilvl w:val="0"/>
                <w:numId w:val="5"/>
              </w:numPr>
              <w:spacing w:before="120" w:after="120"/>
              <w:ind w:left="360"/>
              <w:rPr>
                <w:rFonts w:cs="Arial"/>
              </w:rPr>
            </w:pPr>
            <w:proofErr w:type="gramStart"/>
            <w:r w:rsidRPr="001E543B">
              <w:rPr>
                <w:rFonts w:cs="Arial"/>
              </w:rPr>
              <w:t>submit</w:t>
            </w:r>
            <w:proofErr w:type="gramEnd"/>
            <w:r w:rsidRPr="001E543B">
              <w:rPr>
                <w:rFonts w:cs="Arial"/>
              </w:rPr>
              <w:t xml:space="preserve"> separate planning consultation responses </w:t>
            </w:r>
            <w:r>
              <w:rPr>
                <w:rFonts w:cs="Arial"/>
              </w:rPr>
              <w:t>set within clear context of  each Agencies remit .  SNH should clearly state in correspondence that they are addressing biodiversity issues and SEPA should clearly state the water environment, carbon emissions and/or waste management focus of comments.</w:t>
            </w:r>
          </w:p>
          <w:p w:rsidR="001C77CF" w:rsidRDefault="001C77CF" w:rsidP="00DC35B0">
            <w:pPr>
              <w:pStyle w:val="ListParagraph"/>
              <w:numPr>
                <w:ilvl w:val="0"/>
                <w:numId w:val="5"/>
              </w:numPr>
              <w:spacing w:before="120" w:after="120"/>
              <w:ind w:left="360"/>
              <w:rPr>
                <w:rFonts w:cs="Arial"/>
              </w:rPr>
            </w:pPr>
            <w:proofErr w:type="gramStart"/>
            <w:r w:rsidRPr="001E543B">
              <w:rPr>
                <w:rFonts w:cs="Arial"/>
              </w:rPr>
              <w:t>liais</w:t>
            </w:r>
            <w:r>
              <w:rPr>
                <w:rFonts w:cs="Arial"/>
              </w:rPr>
              <w:t>e</w:t>
            </w:r>
            <w:proofErr w:type="gramEnd"/>
            <w:r w:rsidRPr="001E543B">
              <w:rPr>
                <w:rFonts w:cs="Arial"/>
              </w:rPr>
              <w:t xml:space="preserve"> </w:t>
            </w:r>
            <w:r>
              <w:rPr>
                <w:rFonts w:cs="Arial"/>
              </w:rPr>
              <w:t>to ensure there is a clear understanding of the focus of each Agencies advice.</w:t>
            </w:r>
          </w:p>
          <w:p w:rsidR="001C77CF" w:rsidRPr="00C631C3" w:rsidRDefault="001C77CF" w:rsidP="00DC35B0">
            <w:pPr>
              <w:spacing w:before="120" w:after="120"/>
              <w:ind w:left="360"/>
              <w:rPr>
                <w:rFonts w:cs="Arial"/>
              </w:rPr>
            </w:pPr>
          </w:p>
        </w:tc>
      </w:tr>
    </w:tbl>
    <w:p w:rsidR="001C77CF" w:rsidRDefault="001C77CF" w:rsidP="001C77CF">
      <w:pPr>
        <w:rPr>
          <w:rFonts w:cs="Arial"/>
          <w:sz w:val="22"/>
        </w:rPr>
      </w:pPr>
    </w:p>
    <w:p w:rsidR="001C77CF" w:rsidRDefault="001C77CF" w:rsidP="001C77CF">
      <w:pPr>
        <w:rPr>
          <w:rFonts w:cs="Arial"/>
          <w:sz w:val="22"/>
        </w:rPr>
      </w:pPr>
    </w:p>
    <w:p w:rsidR="001C77CF" w:rsidRDefault="001C77CF" w:rsidP="001C77CF">
      <w:pPr>
        <w:rPr>
          <w:rFonts w:cs="Arial"/>
          <w:sz w:val="22"/>
        </w:rPr>
      </w:pPr>
    </w:p>
    <w:p w:rsidR="001C77CF" w:rsidRPr="00775CE5" w:rsidRDefault="001C77CF" w:rsidP="001C77CF">
      <w:pPr>
        <w:rPr>
          <w:rFonts w:cs="Arial"/>
          <w:sz w:val="22"/>
        </w:rPr>
        <w:sectPr w:rsidR="001C77CF" w:rsidRPr="00775CE5" w:rsidSect="004A52CE">
          <w:pgSz w:w="16838" w:h="11906" w:orient="landscape"/>
          <w:pgMar w:top="1135" w:right="0" w:bottom="993" w:left="1440" w:header="709" w:footer="709" w:gutter="0"/>
          <w:cols w:space="708"/>
          <w:docGrid w:linePitch="360"/>
        </w:sectPr>
      </w:pPr>
      <w:r w:rsidRPr="00775CE5">
        <w:t xml:space="preserve">* </w:t>
      </w:r>
      <w:r w:rsidRPr="001C4405">
        <w:t>Content should be agreed with SEPA and clearly flagged as joint advice which is using SEPA’s standards and the principles agreed through the Joint Position Statement by SEPA and SNH on Freshwater Pearl Mussels in the Cairngorm National Park.</w:t>
      </w:r>
    </w:p>
    <w:p w:rsidR="001C77CF" w:rsidRDefault="001C77CF" w:rsidP="001C77CF">
      <w:pPr>
        <w:rPr>
          <w:rFonts w:cs="Arial"/>
          <w:sz w:val="22"/>
        </w:rPr>
      </w:pPr>
    </w:p>
    <w:p w:rsidR="001C77CF" w:rsidRDefault="001C77CF" w:rsidP="001C77CF">
      <w:pPr>
        <w:rPr>
          <w:rFonts w:cs="Arial"/>
          <w:sz w:val="22"/>
        </w:rPr>
      </w:pPr>
    </w:p>
    <w:p w:rsidR="001C77CF" w:rsidRDefault="001C77CF" w:rsidP="001C77CF">
      <w:pPr>
        <w:rPr>
          <w:rFonts w:cs="Arial"/>
          <w:sz w:val="22"/>
        </w:rPr>
      </w:pPr>
    </w:p>
    <w:p w:rsidR="001C77CF" w:rsidRPr="00953B86" w:rsidRDefault="001C77CF" w:rsidP="001C77CF">
      <w:pPr>
        <w:rPr>
          <w:rFonts w:cs="Arial"/>
          <w:b/>
          <w:sz w:val="22"/>
          <w:u w:val="single"/>
        </w:rPr>
      </w:pPr>
      <w:r w:rsidRPr="00953B86">
        <w:rPr>
          <w:rFonts w:cs="Arial"/>
          <w:b/>
          <w:sz w:val="22"/>
          <w:u w:val="single"/>
        </w:rPr>
        <w:t>6. Other areas for cooperation</w:t>
      </w:r>
    </w:p>
    <w:p w:rsidR="001C77CF" w:rsidRDefault="001C77CF" w:rsidP="001C77CF">
      <w:pPr>
        <w:rPr>
          <w:sz w:val="22"/>
          <w:szCs w:val="22"/>
        </w:rPr>
      </w:pPr>
    </w:p>
    <w:p w:rsidR="001C77CF" w:rsidRDefault="001C77CF" w:rsidP="001C77CF">
      <w:pPr>
        <w:rPr>
          <w:sz w:val="22"/>
          <w:szCs w:val="22"/>
        </w:rPr>
      </w:pPr>
      <w:r>
        <w:rPr>
          <w:sz w:val="22"/>
          <w:szCs w:val="22"/>
        </w:rPr>
        <w:t xml:space="preserve">In order to foster the good working relationships required to make this work both SNH and SEPA encourage their staff to set up regular liaison meetings to discuss casework issues, lessons learned and issues arising from any guidance produced by both organisations. If necessary any actions should be escalated as necessary using the process noted above.  </w:t>
      </w:r>
    </w:p>
    <w:p w:rsidR="001C77CF" w:rsidRDefault="001C77CF" w:rsidP="001C77CF">
      <w:pPr>
        <w:rPr>
          <w:sz w:val="22"/>
          <w:szCs w:val="22"/>
        </w:rPr>
      </w:pPr>
    </w:p>
    <w:p w:rsidR="001C77CF" w:rsidRPr="009929E3" w:rsidRDefault="001C77CF" w:rsidP="001C77CF">
      <w:pPr>
        <w:overflowPunct/>
        <w:autoSpaceDE/>
        <w:autoSpaceDN/>
        <w:adjustRightInd/>
        <w:spacing w:after="200" w:line="276" w:lineRule="auto"/>
        <w:textAlignment w:val="auto"/>
        <w:rPr>
          <w:sz w:val="22"/>
          <w:szCs w:val="22"/>
        </w:rPr>
      </w:pPr>
      <w:r>
        <w:rPr>
          <w:rFonts w:cs="Arial"/>
          <w:sz w:val="22"/>
        </w:rPr>
        <w:t>.</w:t>
      </w:r>
    </w:p>
    <w:p w:rsidR="001C77CF" w:rsidRDefault="001C77CF" w:rsidP="001C77CF">
      <w:pPr>
        <w:rPr>
          <w:rFonts w:cs="Arial"/>
          <w:sz w:val="24"/>
          <w:szCs w:val="24"/>
        </w:rPr>
      </w:pPr>
    </w:p>
    <w:p w:rsidR="001C77CF" w:rsidRDefault="001C77CF" w:rsidP="001C77CF">
      <w:pPr>
        <w:ind w:left="1134" w:hanging="1134"/>
        <w:rPr>
          <w:rFonts w:cs="Arial"/>
          <w:sz w:val="22"/>
        </w:rPr>
      </w:pPr>
    </w:p>
    <w:p w:rsidR="001C77CF" w:rsidRDefault="001C77CF" w:rsidP="001C77CF">
      <w:r>
        <w:rPr>
          <w:sz w:val="22"/>
          <w:szCs w:val="22"/>
        </w:rPr>
        <w:t xml:space="preserve"> </w:t>
      </w:r>
    </w:p>
    <w:p w:rsidR="001C77CF" w:rsidRDefault="001C77CF" w:rsidP="001C77CF"/>
    <w:p w:rsidR="001C77CF" w:rsidRDefault="001C77CF" w:rsidP="001C77CF"/>
    <w:p w:rsidR="00F4145F" w:rsidRDefault="00FE2C9B"/>
    <w:sectPr w:rsidR="00F4145F" w:rsidSect="00162C82">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kzidenz Grotesk BE Light">
    <w:altName w:val="Akzidenz Grotesk BE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2C9"/>
    <w:multiLevelType w:val="hybridMultilevel"/>
    <w:tmpl w:val="C4B86884"/>
    <w:lvl w:ilvl="0" w:tplc="681C569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B5F5A45"/>
    <w:multiLevelType w:val="hybridMultilevel"/>
    <w:tmpl w:val="3CD88E24"/>
    <w:lvl w:ilvl="0" w:tplc="C966F5B2">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2">
    <w:nsid w:val="1A5B3D25"/>
    <w:multiLevelType w:val="hybridMultilevel"/>
    <w:tmpl w:val="36B2B620"/>
    <w:lvl w:ilvl="0" w:tplc="681C569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78D5133"/>
    <w:multiLevelType w:val="hybridMultilevel"/>
    <w:tmpl w:val="9DDA6254"/>
    <w:lvl w:ilvl="0" w:tplc="FE8CE95A">
      <w:start w:val="1"/>
      <w:numFmt w:val="decimal"/>
      <w:lvlText w:val="%1."/>
      <w:lvlJc w:val="left"/>
      <w:pPr>
        <w:ind w:left="727" w:hanging="360"/>
      </w:pPr>
      <w:rPr>
        <w:rFonts w:hint="default"/>
      </w:rPr>
    </w:lvl>
    <w:lvl w:ilvl="1" w:tplc="08090019" w:tentative="1">
      <w:start w:val="1"/>
      <w:numFmt w:val="lowerLetter"/>
      <w:lvlText w:val="%2."/>
      <w:lvlJc w:val="left"/>
      <w:pPr>
        <w:ind w:left="1447" w:hanging="360"/>
      </w:pPr>
    </w:lvl>
    <w:lvl w:ilvl="2" w:tplc="0809001B" w:tentative="1">
      <w:start w:val="1"/>
      <w:numFmt w:val="lowerRoman"/>
      <w:lvlText w:val="%3."/>
      <w:lvlJc w:val="right"/>
      <w:pPr>
        <w:ind w:left="2167" w:hanging="180"/>
      </w:pPr>
    </w:lvl>
    <w:lvl w:ilvl="3" w:tplc="0809000F" w:tentative="1">
      <w:start w:val="1"/>
      <w:numFmt w:val="decimal"/>
      <w:lvlText w:val="%4."/>
      <w:lvlJc w:val="left"/>
      <w:pPr>
        <w:ind w:left="2887" w:hanging="360"/>
      </w:pPr>
    </w:lvl>
    <w:lvl w:ilvl="4" w:tplc="08090019" w:tentative="1">
      <w:start w:val="1"/>
      <w:numFmt w:val="lowerLetter"/>
      <w:lvlText w:val="%5."/>
      <w:lvlJc w:val="left"/>
      <w:pPr>
        <w:ind w:left="3607" w:hanging="360"/>
      </w:pPr>
    </w:lvl>
    <w:lvl w:ilvl="5" w:tplc="0809001B" w:tentative="1">
      <w:start w:val="1"/>
      <w:numFmt w:val="lowerRoman"/>
      <w:lvlText w:val="%6."/>
      <w:lvlJc w:val="right"/>
      <w:pPr>
        <w:ind w:left="4327" w:hanging="180"/>
      </w:pPr>
    </w:lvl>
    <w:lvl w:ilvl="6" w:tplc="0809000F" w:tentative="1">
      <w:start w:val="1"/>
      <w:numFmt w:val="decimal"/>
      <w:lvlText w:val="%7."/>
      <w:lvlJc w:val="left"/>
      <w:pPr>
        <w:ind w:left="5047" w:hanging="360"/>
      </w:pPr>
    </w:lvl>
    <w:lvl w:ilvl="7" w:tplc="08090019" w:tentative="1">
      <w:start w:val="1"/>
      <w:numFmt w:val="lowerLetter"/>
      <w:lvlText w:val="%8."/>
      <w:lvlJc w:val="left"/>
      <w:pPr>
        <w:ind w:left="5767" w:hanging="360"/>
      </w:pPr>
    </w:lvl>
    <w:lvl w:ilvl="8" w:tplc="0809001B" w:tentative="1">
      <w:start w:val="1"/>
      <w:numFmt w:val="lowerRoman"/>
      <w:lvlText w:val="%9."/>
      <w:lvlJc w:val="right"/>
      <w:pPr>
        <w:ind w:left="6487" w:hanging="180"/>
      </w:pPr>
    </w:lvl>
  </w:abstractNum>
  <w:abstractNum w:abstractNumId="4">
    <w:nsid w:val="3B6E3519"/>
    <w:multiLevelType w:val="hybridMultilevel"/>
    <w:tmpl w:val="7066918A"/>
    <w:lvl w:ilvl="0" w:tplc="08090001">
      <w:start w:val="1"/>
      <w:numFmt w:val="bullet"/>
      <w:lvlText w:val=""/>
      <w:lvlJc w:val="left"/>
      <w:pPr>
        <w:ind w:left="1789" w:hanging="360"/>
      </w:pPr>
      <w:rPr>
        <w:rFonts w:ascii="Symbol" w:hAnsi="Symbol"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5">
    <w:nsid w:val="4F274E0A"/>
    <w:multiLevelType w:val="hybridMultilevel"/>
    <w:tmpl w:val="49DE536E"/>
    <w:lvl w:ilvl="0" w:tplc="D99A69C2">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D071DD"/>
    <w:multiLevelType w:val="hybridMultilevel"/>
    <w:tmpl w:val="DD186B9E"/>
    <w:lvl w:ilvl="0" w:tplc="7E5E5A4A">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DC75C6F"/>
    <w:multiLevelType w:val="hybridMultilevel"/>
    <w:tmpl w:val="C9C66DAA"/>
    <w:lvl w:ilvl="0" w:tplc="08090001">
      <w:start w:val="1"/>
      <w:numFmt w:val="bullet"/>
      <w:lvlText w:val=""/>
      <w:lvlJc w:val="left"/>
      <w:pPr>
        <w:ind w:left="1789" w:hanging="360"/>
      </w:pPr>
      <w:rPr>
        <w:rFonts w:ascii="Symbol" w:hAnsi="Symbol" w:hint="default"/>
      </w:rPr>
    </w:lvl>
    <w:lvl w:ilvl="1" w:tplc="08090003">
      <w:start w:val="1"/>
      <w:numFmt w:val="bullet"/>
      <w:lvlText w:val="o"/>
      <w:lvlJc w:val="left"/>
      <w:pPr>
        <w:ind w:left="2509" w:hanging="360"/>
      </w:pPr>
      <w:rPr>
        <w:rFonts w:ascii="Courier New" w:hAnsi="Courier New" w:cs="Courier New" w:hint="default"/>
      </w:rPr>
    </w:lvl>
    <w:lvl w:ilvl="2" w:tplc="08090005">
      <w:start w:val="1"/>
      <w:numFmt w:val="bullet"/>
      <w:lvlText w:val=""/>
      <w:lvlJc w:val="left"/>
      <w:pPr>
        <w:ind w:left="3229" w:hanging="360"/>
      </w:pPr>
      <w:rPr>
        <w:rFonts w:ascii="Wingdings" w:hAnsi="Wingdings" w:hint="default"/>
      </w:rPr>
    </w:lvl>
    <w:lvl w:ilvl="3" w:tplc="08090001">
      <w:start w:val="1"/>
      <w:numFmt w:val="bullet"/>
      <w:lvlText w:val=""/>
      <w:lvlJc w:val="left"/>
      <w:pPr>
        <w:ind w:left="3949" w:hanging="360"/>
      </w:pPr>
      <w:rPr>
        <w:rFonts w:ascii="Symbol" w:hAnsi="Symbol" w:hint="default"/>
      </w:rPr>
    </w:lvl>
    <w:lvl w:ilvl="4" w:tplc="08090003">
      <w:start w:val="1"/>
      <w:numFmt w:val="bullet"/>
      <w:lvlText w:val="o"/>
      <w:lvlJc w:val="left"/>
      <w:pPr>
        <w:ind w:left="4669" w:hanging="360"/>
      </w:pPr>
      <w:rPr>
        <w:rFonts w:ascii="Courier New" w:hAnsi="Courier New" w:cs="Courier New" w:hint="default"/>
      </w:rPr>
    </w:lvl>
    <w:lvl w:ilvl="5" w:tplc="08090005">
      <w:start w:val="1"/>
      <w:numFmt w:val="bullet"/>
      <w:lvlText w:val=""/>
      <w:lvlJc w:val="left"/>
      <w:pPr>
        <w:ind w:left="5389" w:hanging="360"/>
      </w:pPr>
      <w:rPr>
        <w:rFonts w:ascii="Wingdings" w:hAnsi="Wingdings" w:hint="default"/>
      </w:rPr>
    </w:lvl>
    <w:lvl w:ilvl="6" w:tplc="08090001">
      <w:start w:val="1"/>
      <w:numFmt w:val="bullet"/>
      <w:lvlText w:val=""/>
      <w:lvlJc w:val="left"/>
      <w:pPr>
        <w:ind w:left="6109" w:hanging="360"/>
      </w:pPr>
      <w:rPr>
        <w:rFonts w:ascii="Symbol" w:hAnsi="Symbol" w:hint="default"/>
      </w:rPr>
    </w:lvl>
    <w:lvl w:ilvl="7" w:tplc="08090003">
      <w:start w:val="1"/>
      <w:numFmt w:val="bullet"/>
      <w:lvlText w:val="o"/>
      <w:lvlJc w:val="left"/>
      <w:pPr>
        <w:ind w:left="6829" w:hanging="360"/>
      </w:pPr>
      <w:rPr>
        <w:rFonts w:ascii="Courier New" w:hAnsi="Courier New" w:cs="Courier New" w:hint="default"/>
      </w:rPr>
    </w:lvl>
    <w:lvl w:ilvl="8" w:tplc="08090005">
      <w:start w:val="1"/>
      <w:numFmt w:val="bullet"/>
      <w:lvlText w:val=""/>
      <w:lvlJc w:val="left"/>
      <w:pPr>
        <w:ind w:left="7549" w:hanging="360"/>
      </w:pPr>
      <w:rPr>
        <w:rFonts w:ascii="Wingdings" w:hAnsi="Wingdings" w:hint="default"/>
      </w:rPr>
    </w:lvl>
  </w:abstractNum>
  <w:abstractNum w:abstractNumId="8">
    <w:nsid w:val="5E484629"/>
    <w:multiLevelType w:val="hybridMultilevel"/>
    <w:tmpl w:val="54A22056"/>
    <w:lvl w:ilvl="0" w:tplc="7E5E5A4A">
      <w:start w:val="1"/>
      <w:numFmt w:val="bullet"/>
      <w:lvlText w:val="-"/>
      <w:lvlJc w:val="left"/>
      <w:pPr>
        <w:ind w:left="816" w:hanging="360"/>
      </w:pPr>
      <w:rPr>
        <w:rFonts w:ascii="Arial" w:eastAsia="Times New Roman" w:hAnsi="Arial" w:cs="Aria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nsid w:val="60B1212E"/>
    <w:multiLevelType w:val="hybridMultilevel"/>
    <w:tmpl w:val="2C122A44"/>
    <w:lvl w:ilvl="0" w:tplc="D99A69C2">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8A7241"/>
    <w:multiLevelType w:val="hybridMultilevel"/>
    <w:tmpl w:val="08DEAE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9"/>
  </w:num>
  <w:num w:numId="6">
    <w:abstractNumId w:val="10"/>
  </w:num>
  <w:num w:numId="7">
    <w:abstractNumId w:val="2"/>
  </w:num>
  <w:num w:numId="8">
    <w:abstractNumId w:val="1"/>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7CF"/>
    <w:rsid w:val="001705F7"/>
    <w:rsid w:val="001C77CF"/>
    <w:rsid w:val="002B28D8"/>
    <w:rsid w:val="002E3363"/>
    <w:rsid w:val="0030791D"/>
    <w:rsid w:val="004123D1"/>
    <w:rsid w:val="00465F7F"/>
    <w:rsid w:val="0052316A"/>
    <w:rsid w:val="008D593F"/>
    <w:rsid w:val="00A5517B"/>
    <w:rsid w:val="00A90645"/>
    <w:rsid w:val="00C126C7"/>
    <w:rsid w:val="00D55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C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7CF"/>
    <w:pPr>
      <w:ind w:left="720"/>
      <w:contextualSpacing/>
    </w:pPr>
  </w:style>
  <w:style w:type="character" w:styleId="Hyperlink">
    <w:name w:val="Hyperlink"/>
    <w:basedOn w:val="DefaultParagraphFont"/>
    <w:rsid w:val="001C77CF"/>
    <w:rPr>
      <w:color w:val="0000FF"/>
      <w:u w:val="single"/>
    </w:rPr>
  </w:style>
  <w:style w:type="paragraph" w:styleId="CommentText">
    <w:name w:val="annotation text"/>
    <w:basedOn w:val="Normal"/>
    <w:link w:val="CommentTextChar"/>
    <w:semiHidden/>
    <w:rsid w:val="001C77CF"/>
  </w:style>
  <w:style w:type="character" w:customStyle="1" w:styleId="CommentTextChar">
    <w:name w:val="Comment Text Char"/>
    <w:basedOn w:val="DefaultParagraphFont"/>
    <w:link w:val="CommentText"/>
    <w:semiHidden/>
    <w:rsid w:val="001C77C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1C77CF"/>
    <w:rPr>
      <w:sz w:val="16"/>
      <w:szCs w:val="16"/>
    </w:rPr>
  </w:style>
  <w:style w:type="character" w:customStyle="1" w:styleId="A2">
    <w:name w:val="A2"/>
    <w:uiPriority w:val="99"/>
    <w:rsid w:val="001C77CF"/>
    <w:rPr>
      <w:rFonts w:cs="Akzidenz Grotesk BE Light"/>
      <w:color w:val="000000"/>
      <w:sz w:val="20"/>
      <w:szCs w:val="20"/>
    </w:rPr>
  </w:style>
  <w:style w:type="table" w:styleId="MediumGrid3-Accent3">
    <w:name w:val="Medium Grid 3 Accent 3"/>
    <w:basedOn w:val="TableNormal"/>
    <w:uiPriority w:val="69"/>
    <w:rsid w:val="001C77C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alloonText">
    <w:name w:val="Balloon Text"/>
    <w:basedOn w:val="Normal"/>
    <w:link w:val="BalloonTextChar"/>
    <w:uiPriority w:val="99"/>
    <w:semiHidden/>
    <w:unhideWhenUsed/>
    <w:rsid w:val="001C77CF"/>
    <w:rPr>
      <w:rFonts w:ascii="Tahoma" w:hAnsi="Tahoma" w:cs="Tahoma"/>
      <w:sz w:val="16"/>
      <w:szCs w:val="16"/>
    </w:rPr>
  </w:style>
  <w:style w:type="character" w:customStyle="1" w:styleId="BalloonTextChar">
    <w:name w:val="Balloon Text Char"/>
    <w:basedOn w:val="DefaultParagraphFont"/>
    <w:link w:val="BalloonText"/>
    <w:uiPriority w:val="99"/>
    <w:semiHidden/>
    <w:rsid w:val="001C77C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906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7C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7CF"/>
    <w:pPr>
      <w:ind w:left="720"/>
      <w:contextualSpacing/>
    </w:pPr>
  </w:style>
  <w:style w:type="character" w:styleId="Hyperlink">
    <w:name w:val="Hyperlink"/>
    <w:basedOn w:val="DefaultParagraphFont"/>
    <w:rsid w:val="001C77CF"/>
    <w:rPr>
      <w:color w:val="0000FF"/>
      <w:u w:val="single"/>
    </w:rPr>
  </w:style>
  <w:style w:type="paragraph" w:styleId="CommentText">
    <w:name w:val="annotation text"/>
    <w:basedOn w:val="Normal"/>
    <w:link w:val="CommentTextChar"/>
    <w:semiHidden/>
    <w:rsid w:val="001C77CF"/>
  </w:style>
  <w:style w:type="character" w:customStyle="1" w:styleId="CommentTextChar">
    <w:name w:val="Comment Text Char"/>
    <w:basedOn w:val="DefaultParagraphFont"/>
    <w:link w:val="CommentText"/>
    <w:semiHidden/>
    <w:rsid w:val="001C77CF"/>
    <w:rPr>
      <w:rFonts w:ascii="Arial" w:eastAsia="Times New Roman" w:hAnsi="Arial" w:cs="Times New Roman"/>
      <w:sz w:val="20"/>
      <w:szCs w:val="20"/>
    </w:rPr>
  </w:style>
  <w:style w:type="character" w:styleId="CommentReference">
    <w:name w:val="annotation reference"/>
    <w:basedOn w:val="DefaultParagraphFont"/>
    <w:uiPriority w:val="99"/>
    <w:semiHidden/>
    <w:unhideWhenUsed/>
    <w:rsid w:val="001C77CF"/>
    <w:rPr>
      <w:sz w:val="16"/>
      <w:szCs w:val="16"/>
    </w:rPr>
  </w:style>
  <w:style w:type="character" w:customStyle="1" w:styleId="A2">
    <w:name w:val="A2"/>
    <w:uiPriority w:val="99"/>
    <w:rsid w:val="001C77CF"/>
    <w:rPr>
      <w:rFonts w:cs="Akzidenz Grotesk BE Light"/>
      <w:color w:val="000000"/>
      <w:sz w:val="20"/>
      <w:szCs w:val="20"/>
    </w:rPr>
  </w:style>
  <w:style w:type="table" w:styleId="MediumGrid3-Accent3">
    <w:name w:val="Medium Grid 3 Accent 3"/>
    <w:basedOn w:val="TableNormal"/>
    <w:uiPriority w:val="69"/>
    <w:rsid w:val="001C77C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BalloonText">
    <w:name w:val="Balloon Text"/>
    <w:basedOn w:val="Normal"/>
    <w:link w:val="BalloonTextChar"/>
    <w:uiPriority w:val="99"/>
    <w:semiHidden/>
    <w:unhideWhenUsed/>
    <w:rsid w:val="001C77CF"/>
    <w:rPr>
      <w:rFonts w:ascii="Tahoma" w:hAnsi="Tahoma" w:cs="Tahoma"/>
      <w:sz w:val="16"/>
      <w:szCs w:val="16"/>
    </w:rPr>
  </w:style>
  <w:style w:type="character" w:customStyle="1" w:styleId="BalloonTextChar">
    <w:name w:val="Balloon Text Char"/>
    <w:basedOn w:val="DefaultParagraphFont"/>
    <w:link w:val="BalloonText"/>
    <w:uiPriority w:val="99"/>
    <w:semiHidden/>
    <w:rsid w:val="001C77CF"/>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906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epa.org.uk/environment/land/planning/" TargetMode="External" Id="rId8" /><Relationship Type="http://schemas.openxmlformats.org/officeDocument/2006/relationships/fontTable" Target="fontTable.xml" Id="rId13" /><Relationship Type="http://schemas.microsoft.com/office/2007/relationships/stylesWithEffects" Target="stylesWithEffects.xml" Id="rId3" /><Relationship Type="http://schemas.openxmlformats.org/officeDocument/2006/relationships/hyperlink" Target="http://www.snh.gov.uk/docs/A1583964.pdf" TargetMode="External" Id="rId7" /><Relationship Type="http://schemas.openxmlformats.org/officeDocument/2006/relationships/hyperlink" Target="http://www.snh.gov.uk/contact-us/offices/"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scotland.gov.uk/Topics/Built-Environment/planning/Roles/Agencies" TargetMode="External" Id="rId6" /><Relationship Type="http://schemas.openxmlformats.org/officeDocument/2006/relationships/hyperlink" Target="http://www.sepa.org.uk/media/159226/planning_service_contact_list.pdf" TargetMode="External" Id="rId11" /><Relationship Type="http://schemas.openxmlformats.org/officeDocument/2006/relationships/webSettings" Target="webSettings.xml" Id="rId5" /><Relationship Type="http://schemas.openxmlformats.org/officeDocument/2006/relationships/hyperlink" Target="http://www.snh.gov.uk/contact-us/offices/" TargetMode="External" Id="rId10" /><Relationship Type="http://schemas.openxmlformats.org/officeDocument/2006/relationships/settings" Target="settings.xml" Id="rId4" /><Relationship Type="http://schemas.openxmlformats.org/officeDocument/2006/relationships/hyperlink" Target="http://www.sepa.org.uk/media/159226/planning_service_contact_list.pdf" TargetMode="External" Id="rId9" /><Relationship Type="http://schemas.openxmlformats.org/officeDocument/2006/relationships/theme" Target="theme/theme1.xml" Id="rId14" /><Relationship Type="http://schemas.openxmlformats.org/officeDocument/2006/relationships/customXml" Target="/customXML/item.xml" Id="Rb7f4cf0619f84a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71FFD1B571BE2883E0537D20C80A46C7" version="1.0.0">
  <systemFields>
    <field name="Objective-Id">
      <value order="0">A1722481</value>
    </field>
    <field name="Objective-Title">
      <value order="0">Joint working arrangement between SEPA and SNH on planning consultations V.2 August 2015 - FINAL</value>
    </field>
    <field name="Objective-Description">
      <value order="0">Message registered by Darren Hemsley on 25 August 2015 15:03:25</value>
    </field>
    <field name="Objective-CreationStamp">
      <value order="0">2015-08-25T15:03:03Z</value>
    </field>
    <field name="Objective-IsApproved">
      <value order="0">false</value>
    </field>
    <field name="Objective-IsPublished">
      <value order="0">true</value>
    </field>
    <field name="Objective-DatePublished">
      <value order="0">2015-08-25T15:04:30Z</value>
    </field>
    <field name="Objective-ModificationStamp">
      <value order="0">2015-08-25T15:04:33Z</value>
    </field>
    <field name="Objective-Owner">
      <value order="0">Darren Hemsley</value>
    </field>
    <field name="Objective-Path">
      <value order="0">Objective Global Folder:NatureScot Fileplan:CNS - Consultations:LIA - Liaison:OTH - for files which do not fit into any other sub-category:SNH and SEPA - Working Arrangements on Planning</value>
    </field>
    <field name="Objective-Parent">
      <value order="0">SNH and SEPA - Working Arrangements on Planning</value>
    </field>
    <field name="Objective-State">
      <value order="0">Published</value>
    </field>
    <field name="Objective-VersionId">
      <value order="0">vA3084179</value>
    </field>
    <field name="Objective-Version">
      <value order="0">1.0</value>
    </field>
    <field name="Objective-VersionNumber">
      <value order="0">1</value>
    </field>
    <field name="Objective-VersionComment">
      <value order="0">First version</value>
    </field>
    <field name="Objective-FileNumber">
      <value order="0">qA144397</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
      </field>
      <field name="Objective-DPA Exemption">
        <value order="0"/>
      </field>
      <field name="Objective-EIR Exception">
        <value order="0"/>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C0876A9</Template>
  <TotalTime>45</TotalTime>
  <Pages>1</Pages>
  <Words>1877</Words>
  <Characters>10702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SEPA</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Lakeman, Katherine</dc:creator>
  <cp:lastModifiedBy>Lakeman, Katherine</cp:lastModifiedBy>
  <cp:revision>8</cp:revision>
  <dcterms:created xsi:type="dcterms:W3CDTF">2015-08-24T13:20:00Z</dcterms:created>
  <dcterms:modified xsi:type="dcterms:W3CDTF">2015-08-24T14:26:00Z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Objective-Id">
    <vt:lpwstr>A1722481</vt:lpwstr>
  </property>
  <property fmtid="{D5CDD505-2E9C-101B-9397-08002B2CF9AE}" pid="4" name="Objective-Title">
    <vt:lpwstr>Joint working arrangement between SEPA and SNH on planning consultations V.2 August 2015 - FINAL</vt:lpwstr>
  </property>
  <property fmtid="{D5CDD505-2E9C-101B-9397-08002B2CF9AE}" pid="5" name="Objective-Description">
    <vt:lpwstr>Message registered by Darren Hemsley on 25 August 2015 15:03:25</vt:lpwstr>
  </property>
  <property fmtid="{D5CDD505-2E9C-101B-9397-08002B2CF9AE}" pid="6" name="Objective-CreationStamp">
    <vt:filetime>2015-08-25T15:03:03Z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2015-08-25T15:04:30Z</vt:filetime>
  </property>
  <property fmtid="{D5CDD505-2E9C-101B-9397-08002B2CF9AE}" pid="10" name="Objective-ModificationStamp">
    <vt:filetime>2015-08-25T15:04:33Z</vt:filetime>
  </property>
  <property fmtid="{D5CDD505-2E9C-101B-9397-08002B2CF9AE}" pid="11" name="Objective-Owner">
    <vt:lpwstr>Darren Hemsley</vt:lpwstr>
  </property>
  <property fmtid="{D5CDD505-2E9C-101B-9397-08002B2CF9AE}" pid="12" name="Objective-Path">
    <vt:lpwstr>Objective Global Folder:NatureScot Fileplan:CNS - Consultations:LIA - Liaison:OTH - for files which do not fit into any other sub-category:SNH and SEPA - Working Arrangements on Planning</vt:lpwstr>
  </property>
  <property fmtid="{D5CDD505-2E9C-101B-9397-08002B2CF9AE}" pid="13" name="Objective-Parent">
    <vt:lpwstr>SNH and SEPA - Working Arrangements on Planning</vt:lpwstr>
  </property>
  <property fmtid="{D5CDD505-2E9C-101B-9397-08002B2CF9AE}" pid="14" name="Objective-State">
    <vt:lpwstr>Published</vt:lpwstr>
  </property>
  <property fmtid="{D5CDD505-2E9C-101B-9397-08002B2CF9AE}" pid="15" name="Objective-VersionId">
    <vt:lpwstr>vA3084179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qA144397</vt:lpwstr>
  </property>
  <property fmtid="{D5CDD505-2E9C-101B-9397-08002B2CF9AE}" pid="20" name="Objective-Classification">
    <vt:lpwstr/>
  </property>
  <property fmtid="{D5CDD505-2E9C-101B-9397-08002B2CF9AE}" pid="21" name="Objective-Caveats">
    <vt:lpwstr/>
  </property>
  <property fmtid="{D5CDD505-2E9C-101B-9397-08002B2CF9AE}" pid="22" name="Objective-Date of Original">
    <vt:lpwstr/>
  </property>
  <property fmtid="{D5CDD505-2E9C-101B-9397-08002B2CF9AE}" pid="23" name="Objective-Sensitivity Review Date">
    <vt:lpwstr/>
  </property>
  <property fmtid="{D5CDD505-2E9C-101B-9397-08002B2CF9AE}" pid="24" name="Objective-FOI Exemption">
    <vt:lpwstr/>
  </property>
  <property fmtid="{D5CDD505-2E9C-101B-9397-08002B2CF9AE}" pid="25" name="Objective-DPA Exemption">
    <vt:lpwstr/>
  </property>
  <property fmtid="{D5CDD505-2E9C-101B-9397-08002B2CF9AE}" pid="26" name="Objective-EIR Exception">
    <vt:lpwstr/>
  </property>
  <property fmtid="{D5CDD505-2E9C-101B-9397-08002B2CF9AE}" pid="27" name="Objective-Justification">
    <vt:lpwstr/>
  </property>
  <property fmtid="{D5CDD505-2E9C-101B-9397-08002B2CF9AE}" pid="28" name="Objective-Date of Request">
    <vt:lpwstr/>
  </property>
  <property fmtid="{D5CDD505-2E9C-101B-9397-08002B2CF9AE}" pid="29" name="Objective-Date of Release">
    <vt:lpwstr/>
  </property>
  <property fmtid="{D5CDD505-2E9C-101B-9397-08002B2CF9AE}" pid="30" name="Objective-FOI/EIR Disclosure Date">
    <vt:lpwstr/>
  </property>
  <property fmtid="{D5CDD505-2E9C-101B-9397-08002B2CF9AE}" pid="31" name="Objective-FOI/EIR Dissemination Date">
    <vt:lpwstr/>
  </property>
  <property fmtid="{D5CDD505-2E9C-101B-9397-08002B2CF9AE}" pid="32" name="Objective-FOI Release Details">
    <vt:lpwstr/>
  </property>
  <property fmtid="{D5CDD505-2E9C-101B-9397-08002B2CF9AE}" pid="33" name="Objective-Connect Creator">
    <vt:lpwstr/>
  </property>
</Properties>
</file>