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C5" w:rsidRDefault="00E62CC5" w:rsidP="00E62CC5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Natural and Cultural Heritage Fund</w:t>
      </w:r>
    </w:p>
    <w:p w:rsidR="00E62CC5" w:rsidRDefault="00E62CC5" w:rsidP="00E62CC5">
      <w:pPr>
        <w:rPr>
          <w:rFonts w:cs="Arial"/>
          <w:b/>
          <w:sz w:val="24"/>
          <w:szCs w:val="24"/>
        </w:rPr>
      </w:pPr>
    </w:p>
    <w:p w:rsidR="00E62CC5" w:rsidRDefault="00E62CC5" w:rsidP="00E62CC5">
      <w:pPr>
        <w:rPr>
          <w:rFonts w:cs="Arial"/>
          <w:b/>
          <w:sz w:val="24"/>
          <w:szCs w:val="24"/>
        </w:rPr>
      </w:pPr>
      <w:r w:rsidRPr="002D12E5">
        <w:rPr>
          <w:rFonts w:cs="Arial"/>
          <w:b/>
          <w:sz w:val="24"/>
          <w:szCs w:val="24"/>
        </w:rPr>
        <w:t xml:space="preserve">Template for </w:t>
      </w:r>
      <w:r>
        <w:rPr>
          <w:rFonts w:cs="Arial"/>
          <w:b/>
          <w:sz w:val="24"/>
          <w:szCs w:val="24"/>
        </w:rPr>
        <w:t>Visitor Impact Mitigation</w:t>
      </w:r>
    </w:p>
    <w:p w:rsidR="00E62CC5" w:rsidRDefault="00E62CC5" w:rsidP="00E62CC5">
      <w:pPr>
        <w:rPr>
          <w:rFonts w:cs="Arial"/>
          <w:b/>
          <w:sz w:val="24"/>
          <w:szCs w:val="24"/>
        </w:rPr>
      </w:pPr>
    </w:p>
    <w:p w:rsidR="00B056D7" w:rsidRPr="009804AA" w:rsidRDefault="00E62CC5" w:rsidP="009121F4">
      <w:pPr>
        <w:rPr>
          <w:color w:val="000000"/>
        </w:rPr>
      </w:pPr>
      <w:r w:rsidRPr="00AB7D06">
        <w:rPr>
          <w:color w:val="000000"/>
        </w:rPr>
        <w:t>T</w:t>
      </w:r>
      <w:r>
        <w:rPr>
          <w:color w:val="000000"/>
        </w:rPr>
        <w:t xml:space="preserve">his template is provided to support NCHF projects, organisations may have their own approach to environmental sustainability action planning which should be reviewed to ensure it covers all aspects indicated </w:t>
      </w:r>
      <w:r w:rsidR="00A13961">
        <w:rPr>
          <w:color w:val="000000"/>
        </w:rPr>
        <w:t xml:space="preserve">in the </w:t>
      </w:r>
      <w:bookmarkStart w:id="0" w:name="_GoBack"/>
      <w:r w:rsidR="00A13961">
        <w:rPr>
          <w:color w:val="000000"/>
        </w:rPr>
        <w:fldChar w:fldCharType="begin"/>
      </w:r>
      <w:r w:rsidR="00A13961">
        <w:rPr>
          <w:color w:val="000000"/>
        </w:rPr>
        <w:instrText xml:space="preserve"> HYPERLINK "https://www.nature.scot/doc/nchf-sustainability-action-plan-guidance-and-template" </w:instrText>
      </w:r>
      <w:r w:rsidR="00A13961">
        <w:rPr>
          <w:color w:val="000000"/>
        </w:rPr>
      </w:r>
      <w:r w:rsidR="00A13961">
        <w:rPr>
          <w:color w:val="000000"/>
        </w:rPr>
        <w:fldChar w:fldCharType="separate"/>
      </w:r>
      <w:r w:rsidR="00A13961" w:rsidRPr="00A13961">
        <w:rPr>
          <w:rStyle w:val="Hyperlink"/>
        </w:rPr>
        <w:t>guidance</w:t>
      </w:r>
      <w:r w:rsidR="00A13961">
        <w:rPr>
          <w:color w:val="000000"/>
        </w:rPr>
        <w:fldChar w:fldCharType="end"/>
      </w:r>
      <w:bookmarkEnd w:id="0"/>
      <w:r>
        <w:rPr>
          <w:color w:val="000000"/>
        </w:rPr>
        <w:t>.</w:t>
      </w:r>
    </w:p>
    <w:p w:rsidR="009804AA" w:rsidRDefault="009804AA" w:rsidP="009121F4"/>
    <w:p w:rsidR="009804AA" w:rsidRDefault="009804AA" w:rsidP="009121F4"/>
    <w:tbl>
      <w:tblPr>
        <w:tblW w:w="148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1917"/>
        <w:gridCol w:w="1915"/>
        <w:gridCol w:w="1915"/>
        <w:gridCol w:w="1406"/>
        <w:gridCol w:w="2426"/>
        <w:gridCol w:w="3356"/>
      </w:tblGrid>
      <w:tr w:rsidR="009804AA" w:rsidTr="00837A40">
        <w:trPr>
          <w:trHeight w:val="885"/>
          <w:tblHeader/>
        </w:trPr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AA" w:rsidRPr="000012D3" w:rsidRDefault="009804AA" w:rsidP="0076343B">
            <w:pPr>
              <w:rPr>
                <w:rFonts w:cs="Arial"/>
                <w:b/>
                <w:sz w:val="20"/>
                <w:szCs w:val="20"/>
              </w:rPr>
            </w:pPr>
            <w:r w:rsidRPr="000012D3">
              <w:rPr>
                <w:rFonts w:cs="Arial"/>
                <w:b/>
                <w:sz w:val="20"/>
                <w:szCs w:val="20"/>
              </w:rPr>
              <w:t>Work stream/ project activity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AA" w:rsidRPr="000012D3" w:rsidRDefault="009804AA" w:rsidP="0076343B">
            <w:pPr>
              <w:rPr>
                <w:rFonts w:cs="Arial"/>
                <w:b/>
                <w:sz w:val="20"/>
                <w:szCs w:val="20"/>
              </w:rPr>
            </w:pPr>
            <w:r w:rsidRPr="000012D3">
              <w:rPr>
                <w:rFonts w:cs="Arial"/>
                <w:b/>
                <w:sz w:val="20"/>
                <w:szCs w:val="20"/>
              </w:rPr>
              <w:t>Activity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AA" w:rsidRPr="000012D3" w:rsidRDefault="009804AA" w:rsidP="0076343B">
            <w:pPr>
              <w:rPr>
                <w:rFonts w:cs="Arial"/>
                <w:b/>
                <w:sz w:val="20"/>
                <w:szCs w:val="20"/>
              </w:rPr>
            </w:pPr>
            <w:r w:rsidRPr="000012D3">
              <w:rPr>
                <w:rFonts w:cs="Arial"/>
                <w:b/>
                <w:sz w:val="20"/>
                <w:szCs w:val="20"/>
              </w:rPr>
              <w:t>Regularity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AA" w:rsidRPr="000012D3" w:rsidRDefault="009804AA" w:rsidP="0076343B">
            <w:pPr>
              <w:rPr>
                <w:rFonts w:cs="Arial"/>
                <w:b/>
                <w:sz w:val="20"/>
                <w:szCs w:val="20"/>
              </w:rPr>
            </w:pPr>
            <w:r w:rsidRPr="000012D3">
              <w:rPr>
                <w:rFonts w:cs="Arial"/>
                <w:b/>
                <w:sz w:val="20"/>
                <w:szCs w:val="20"/>
              </w:rPr>
              <w:t>Methodology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AA" w:rsidRPr="000012D3" w:rsidRDefault="009804AA" w:rsidP="0076343B">
            <w:pPr>
              <w:rPr>
                <w:rFonts w:cs="Arial"/>
                <w:b/>
                <w:sz w:val="20"/>
                <w:szCs w:val="20"/>
              </w:rPr>
            </w:pPr>
            <w:r w:rsidRPr="000012D3">
              <w:rPr>
                <w:rFonts w:cs="Arial"/>
                <w:b/>
                <w:sz w:val="20"/>
                <w:szCs w:val="20"/>
              </w:rPr>
              <w:t>Responsible officer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</w:tcPr>
          <w:p w:rsidR="009804AA" w:rsidRPr="000012D3" w:rsidRDefault="009804AA" w:rsidP="0076343B">
            <w:pPr>
              <w:rPr>
                <w:rFonts w:cs="Arial"/>
                <w:b/>
                <w:sz w:val="20"/>
                <w:szCs w:val="20"/>
              </w:rPr>
            </w:pPr>
            <w:r w:rsidRPr="000012D3">
              <w:rPr>
                <w:rFonts w:cs="Arial"/>
                <w:b/>
                <w:sz w:val="20"/>
                <w:szCs w:val="20"/>
              </w:rPr>
              <w:t xml:space="preserve"> Actions required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AA" w:rsidRPr="000012D3" w:rsidRDefault="009804AA" w:rsidP="0076343B">
            <w:pPr>
              <w:rPr>
                <w:rFonts w:cs="Arial"/>
                <w:b/>
                <w:sz w:val="20"/>
                <w:szCs w:val="20"/>
              </w:rPr>
            </w:pPr>
            <w:r w:rsidRPr="000012D3">
              <w:rPr>
                <w:rFonts w:cs="Arial"/>
                <w:b/>
                <w:sz w:val="20"/>
                <w:szCs w:val="20"/>
              </w:rPr>
              <w:t>Please add additional columns</w:t>
            </w:r>
          </w:p>
        </w:tc>
      </w:tr>
      <w:tr w:rsidR="009804AA" w:rsidTr="0076343B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Monitoring baseline</w:t>
            </w:r>
          </w:p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  <w:r w:rsidRPr="004512D1">
              <w:rPr>
                <w:rFonts w:cs="Arial"/>
                <w:sz w:val="20"/>
                <w:szCs w:val="20"/>
              </w:rPr>
              <w:t>Ensure baseline data is recorded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 start of project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AA" w:rsidRDefault="009804AA" w:rsidP="0076343B">
            <w:pPr>
              <w:rPr>
                <w:sz w:val="20"/>
                <w:szCs w:val="20"/>
              </w:rPr>
            </w:pPr>
            <w:r w:rsidRPr="004512D1">
              <w:rPr>
                <w:sz w:val="20"/>
                <w:szCs w:val="20"/>
              </w:rPr>
              <w:t>Desk and external exercise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</w:p>
        </w:tc>
      </w:tr>
      <w:tr w:rsidR="009804AA" w:rsidTr="0076343B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Monitoring visitor numbers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Survey for visitors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Annual/quarterly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Comparative Survey- direct/indirect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Analysis, review and interpretation of the results. </w:t>
            </w:r>
          </w:p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Sharing the results.</w:t>
            </w:r>
          </w:p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</w:p>
        </w:tc>
      </w:tr>
      <w:tr w:rsidR="009804AA" w:rsidTr="0076343B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Protection of specific, significant habitats or structures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Identifying any N</w:t>
            </w:r>
            <w:r w:rsidRPr="004512D1">
              <w:rPr>
                <w:rFonts w:cs="Arial"/>
                <w:sz w:val="20"/>
                <w:szCs w:val="20"/>
              </w:rPr>
              <w:t>ational or European site designations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At start of project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AA" w:rsidRDefault="009804AA" w:rsidP="0076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relevant maps/websites. Contact relevant organisations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Communicate regularly with relevant bodies.</w:t>
            </w:r>
          </w:p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Identify any specific protective  actions </w:t>
            </w:r>
            <w:proofErr w:type="spellStart"/>
            <w:r>
              <w:rPr>
                <w:rFonts w:cs="Arial"/>
                <w:sz w:val="20"/>
                <w:szCs w:val="20"/>
              </w:rPr>
              <w:t>e.g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disturbance mitigated by path diversion</w:t>
            </w:r>
          </w:p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</w:p>
        </w:tc>
      </w:tr>
      <w:tr w:rsidR="009804AA" w:rsidTr="0076343B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AA" w:rsidRDefault="009804AA" w:rsidP="0076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Monitoring visitor impacts: Visual site assessment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Reviewing visitor impact on paths or remains/structures.</w:t>
            </w:r>
          </w:p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(Simple indicators and simple methodology will reduce resource required for this.)</w:t>
            </w:r>
          </w:p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AA" w:rsidRDefault="009804AA" w:rsidP="0076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Seasonal/quarterly during periods of very wet or dry weather, during peak visitor periods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AA" w:rsidRDefault="009804AA" w:rsidP="0076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Measuring and comparing bare ground/habitat impact.</w:t>
            </w:r>
          </w:p>
          <w:p w:rsidR="009804AA" w:rsidRDefault="009804AA" w:rsidP="0076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point photography</w:t>
            </w:r>
          </w:p>
          <w:p w:rsidR="009804AA" w:rsidRDefault="009804AA" w:rsidP="0076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report</w:t>
            </w:r>
          </w:p>
          <w:p w:rsidR="009804AA" w:rsidRDefault="009804AA" w:rsidP="0076343B">
            <w:pPr>
              <w:rPr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AA" w:rsidRDefault="009804AA" w:rsidP="0076343B">
            <w:pPr>
              <w:rPr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Mitigation techniques might include – changing the location, changing the access route, improving the access route, preventing impact at sensitive points </w:t>
            </w: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</w:p>
        </w:tc>
      </w:tr>
      <w:tr w:rsidR="009804AA" w:rsidTr="0076343B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AA" w:rsidRDefault="009804AA" w:rsidP="00763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Monitoring visitor impacts on community and residents</w:t>
            </w:r>
          </w:p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Identifying any impacts on local residents through perception survey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AA" w:rsidRPr="00FB7C5A" w:rsidRDefault="009804AA" w:rsidP="0076343B">
            <w:pPr>
              <w:rPr>
                <w:rFonts w:cs="Arial"/>
                <w:sz w:val="20"/>
                <w:szCs w:val="20"/>
              </w:rPr>
            </w:pPr>
            <w:r w:rsidRPr="00FB7C5A">
              <w:rPr>
                <w:sz w:val="20"/>
                <w:szCs w:val="20"/>
              </w:rPr>
              <w:t xml:space="preserve">Survey to identify </w:t>
            </w:r>
            <w:proofErr w:type="gramStart"/>
            <w:r w:rsidRPr="00FB7C5A">
              <w:rPr>
                <w:sz w:val="20"/>
                <w:szCs w:val="20"/>
              </w:rPr>
              <w:t>if  local</w:t>
            </w:r>
            <w:proofErr w:type="gramEnd"/>
            <w:r w:rsidRPr="00FB7C5A">
              <w:rPr>
                <w:sz w:val="20"/>
                <w:szCs w:val="20"/>
              </w:rPr>
              <w:t xml:space="preserve"> people are generally satisfied with the site?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</w:p>
        </w:tc>
      </w:tr>
      <w:tr w:rsidR="009804AA" w:rsidTr="0076343B"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</w:p>
        </w:tc>
      </w:tr>
      <w:tr w:rsidR="009804AA" w:rsidTr="0076343B"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AA" w:rsidRPr="00AB7D06" w:rsidRDefault="009804AA" w:rsidP="0076343B">
            <w:pPr>
              <w:rPr>
                <w:i/>
                <w:sz w:val="20"/>
                <w:szCs w:val="20"/>
              </w:rPr>
            </w:pPr>
            <w:r w:rsidRPr="00AB7D06">
              <w:rPr>
                <w:i/>
                <w:sz w:val="20"/>
                <w:szCs w:val="20"/>
              </w:rPr>
              <w:t>Please add additional rows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AA" w:rsidRDefault="009804AA" w:rsidP="0076343B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3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4AA" w:rsidRDefault="009804AA" w:rsidP="0076343B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9804AA" w:rsidRPr="001D66FE" w:rsidRDefault="009804AA" w:rsidP="009121F4"/>
    <w:sectPr w:rsidR="009804AA" w:rsidRPr="001D66FE" w:rsidSect="00E62CC5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AE4" w:rsidRDefault="00DC1AE4" w:rsidP="00081AEE">
      <w:r>
        <w:separator/>
      </w:r>
    </w:p>
  </w:endnote>
  <w:endnote w:type="continuationSeparator" w:id="0">
    <w:p w:rsidR="00DC1AE4" w:rsidRDefault="00DC1AE4" w:rsidP="0008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99" w:rsidRDefault="00555B99" w:rsidP="00371E4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AE4" w:rsidRDefault="00DC1AE4" w:rsidP="00081AEE">
      <w:r>
        <w:separator/>
      </w:r>
    </w:p>
  </w:footnote>
  <w:footnote w:type="continuationSeparator" w:id="0">
    <w:p w:rsidR="00DC1AE4" w:rsidRDefault="00DC1AE4" w:rsidP="0008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52B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4E7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522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F66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580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C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C8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A8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58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9262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C502BF"/>
    <w:multiLevelType w:val="hybridMultilevel"/>
    <w:tmpl w:val="00E6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00B2B"/>
    <w:multiLevelType w:val="multilevel"/>
    <w:tmpl w:val="6DACD8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AE326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CA2F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6747F2"/>
    <w:multiLevelType w:val="hybridMultilevel"/>
    <w:tmpl w:val="1160D084"/>
    <w:lvl w:ilvl="0" w:tplc="0D107C44">
      <w:start w:val="1"/>
      <w:numFmt w:val="bullet"/>
      <w:pStyle w:val="List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15B2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4846027"/>
    <w:multiLevelType w:val="hybridMultilevel"/>
    <w:tmpl w:val="0B02B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A6224"/>
    <w:multiLevelType w:val="hybridMultilevel"/>
    <w:tmpl w:val="7182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96F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B83D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FAF3C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20"/>
  </w:num>
  <w:num w:numId="5">
    <w:abstractNumId w:val="19"/>
  </w:num>
  <w:num w:numId="6">
    <w:abstractNumId w:val="13"/>
  </w:num>
  <w:num w:numId="7">
    <w:abstractNumId w:val="18"/>
  </w:num>
  <w:num w:numId="8">
    <w:abstractNumId w:val="12"/>
  </w:num>
  <w:num w:numId="9">
    <w:abstractNumId w:val="11"/>
  </w:num>
  <w:num w:numId="10">
    <w:abstractNumId w:val="15"/>
  </w:num>
  <w:num w:numId="11">
    <w:abstractNumId w:val="14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C5"/>
    <w:rsid w:val="0005092F"/>
    <w:rsid w:val="00081AEE"/>
    <w:rsid w:val="000A6B19"/>
    <w:rsid w:val="000C71A9"/>
    <w:rsid w:val="000E7E23"/>
    <w:rsid w:val="001157A6"/>
    <w:rsid w:val="0012442C"/>
    <w:rsid w:val="00165C21"/>
    <w:rsid w:val="0019448C"/>
    <w:rsid w:val="001D0D7C"/>
    <w:rsid w:val="001D66FE"/>
    <w:rsid w:val="001E544F"/>
    <w:rsid w:val="001E64E9"/>
    <w:rsid w:val="00223F89"/>
    <w:rsid w:val="002F2B19"/>
    <w:rsid w:val="00316A40"/>
    <w:rsid w:val="00344362"/>
    <w:rsid w:val="00371E4F"/>
    <w:rsid w:val="00393C96"/>
    <w:rsid w:val="004122E1"/>
    <w:rsid w:val="00416B1E"/>
    <w:rsid w:val="00473577"/>
    <w:rsid w:val="004E748B"/>
    <w:rsid w:val="00515503"/>
    <w:rsid w:val="005409E6"/>
    <w:rsid w:val="00555B99"/>
    <w:rsid w:val="0057071B"/>
    <w:rsid w:val="0059486F"/>
    <w:rsid w:val="00595367"/>
    <w:rsid w:val="005C7CE8"/>
    <w:rsid w:val="00670598"/>
    <w:rsid w:val="00675CEE"/>
    <w:rsid w:val="00686FAA"/>
    <w:rsid w:val="006A6B1E"/>
    <w:rsid w:val="006B2C59"/>
    <w:rsid w:val="006D2C02"/>
    <w:rsid w:val="006E1879"/>
    <w:rsid w:val="006E6643"/>
    <w:rsid w:val="00713C40"/>
    <w:rsid w:val="007213AC"/>
    <w:rsid w:val="00744B62"/>
    <w:rsid w:val="007844C6"/>
    <w:rsid w:val="00837A40"/>
    <w:rsid w:val="00845990"/>
    <w:rsid w:val="00880869"/>
    <w:rsid w:val="00881C6D"/>
    <w:rsid w:val="008D338A"/>
    <w:rsid w:val="008F23C9"/>
    <w:rsid w:val="00904F37"/>
    <w:rsid w:val="009121F4"/>
    <w:rsid w:val="0093300A"/>
    <w:rsid w:val="00944A5D"/>
    <w:rsid w:val="009804AA"/>
    <w:rsid w:val="009A25C8"/>
    <w:rsid w:val="00A13961"/>
    <w:rsid w:val="00A164DE"/>
    <w:rsid w:val="00A21749"/>
    <w:rsid w:val="00A3217E"/>
    <w:rsid w:val="00A86933"/>
    <w:rsid w:val="00AC26BA"/>
    <w:rsid w:val="00AD58A5"/>
    <w:rsid w:val="00B056D7"/>
    <w:rsid w:val="00B8354D"/>
    <w:rsid w:val="00BA6E50"/>
    <w:rsid w:val="00BC7E83"/>
    <w:rsid w:val="00BD12F6"/>
    <w:rsid w:val="00C279C1"/>
    <w:rsid w:val="00D50D78"/>
    <w:rsid w:val="00D61C00"/>
    <w:rsid w:val="00D74C38"/>
    <w:rsid w:val="00D83879"/>
    <w:rsid w:val="00DB0782"/>
    <w:rsid w:val="00DC1AE4"/>
    <w:rsid w:val="00DF210C"/>
    <w:rsid w:val="00E53C82"/>
    <w:rsid w:val="00E62CC5"/>
    <w:rsid w:val="00E74806"/>
    <w:rsid w:val="00E914BC"/>
    <w:rsid w:val="00EE3576"/>
    <w:rsid w:val="00F13F35"/>
    <w:rsid w:val="00F477F5"/>
    <w:rsid w:val="00FB4A98"/>
    <w:rsid w:val="00FD4C69"/>
    <w:rsid w:val="00FE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E8887"/>
  <w15:chartTrackingRefBased/>
  <w15:docId w15:val="{A5CCBEB8-03EE-4C78-A9FB-6D09BD5F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CC5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B1E"/>
    <w:pPr>
      <w:keepNext/>
      <w:keepLines/>
      <w:spacing w:after="120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B1E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E"/>
    <w:pPr>
      <w:keepNext/>
      <w:keepLines/>
      <w:spacing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B1E"/>
    <w:pPr>
      <w:keepNext/>
      <w:keepLines/>
      <w:spacing w:after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D0D7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D0D7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D0D7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D0D7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D0D7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A4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B1E"/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B1E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B1E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B1E"/>
    <w:rPr>
      <w:rFonts w:ascii="Arial" w:eastAsiaTheme="majorEastAsia" w:hAnsi="Arial" w:cstheme="majorBidi"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A6B1E"/>
    <w:pPr>
      <w:contextualSpacing/>
    </w:pPr>
    <w:rPr>
      <w:rFonts w:eastAsiaTheme="majorEastAsia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B1E"/>
    <w:rPr>
      <w:rFonts w:ascii="Arial" w:eastAsiaTheme="majorEastAsia" w:hAnsi="Arial" w:cstheme="majorBidi"/>
      <w:b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B1E"/>
    <w:pPr>
      <w:numPr>
        <w:ilvl w:val="1"/>
      </w:numPr>
      <w:spacing w:after="160"/>
    </w:pPr>
    <w:rPr>
      <w:rFonts w:eastAsiaTheme="minorEastAsia"/>
      <w:b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6B1E"/>
    <w:rPr>
      <w:rFonts w:ascii="Arial" w:eastAsiaTheme="minorEastAsia" w:hAnsi="Arial"/>
      <w:b/>
      <w:color w:val="000000" w:themeColor="text1"/>
      <w:sz w:val="24"/>
    </w:rPr>
  </w:style>
  <w:style w:type="character" w:styleId="SubtleEmphasis">
    <w:name w:val="Subtle Emphasis"/>
    <w:uiPriority w:val="19"/>
    <w:rsid w:val="001D0D7C"/>
    <w:rPr>
      <w:i/>
      <w:iCs/>
    </w:rPr>
  </w:style>
  <w:style w:type="character" w:styleId="Emphasis">
    <w:name w:val="Emphasis"/>
    <w:uiPriority w:val="20"/>
    <w:qFormat/>
    <w:rsid w:val="006A6B1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A6B1E"/>
    <w:pPr>
      <w:ind w:left="357" w:right="35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6B1E"/>
    <w:rPr>
      <w:rFonts w:ascii="Arial" w:hAnsi="Arial"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6B1E"/>
    <w:pPr>
      <w:spacing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81AEE"/>
    <w:pPr>
      <w:spacing w:after="120"/>
      <w:ind w:left="221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05092F"/>
    <w:pPr>
      <w:spacing w:after="120"/>
      <w:ind w:left="442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81AEE"/>
    <w:pPr>
      <w:spacing w:after="120"/>
      <w:ind w:left="65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1A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A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AE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A6B1E"/>
    <w:rPr>
      <w:i/>
      <w:iCs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A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A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6A40"/>
    <w:rPr>
      <w:vertAlign w:val="superscript"/>
    </w:rPr>
  </w:style>
  <w:style w:type="paragraph" w:styleId="Header">
    <w:name w:val="header"/>
    <w:basedOn w:val="Normal"/>
    <w:link w:val="HeaderChar"/>
    <w:unhideWhenUsed/>
    <w:rsid w:val="00371E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1E4F"/>
  </w:style>
  <w:style w:type="paragraph" w:styleId="Footer">
    <w:name w:val="footer"/>
    <w:basedOn w:val="Normal"/>
    <w:link w:val="FooterChar"/>
    <w:uiPriority w:val="99"/>
    <w:unhideWhenUsed/>
    <w:rsid w:val="00371E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E4F"/>
  </w:style>
  <w:style w:type="paragraph" w:styleId="BalloonText">
    <w:name w:val="Balloon Text"/>
    <w:basedOn w:val="Normal"/>
    <w:link w:val="BalloonTextChar"/>
    <w:uiPriority w:val="99"/>
    <w:semiHidden/>
    <w:unhideWhenUsed/>
    <w:rsid w:val="00D50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7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D0D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D0D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D0D7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D0D7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0D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rsid w:val="001D0D7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1D0D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D7C"/>
    <w:rPr>
      <w:b/>
      <w:bCs/>
      <w:i/>
      <w:iCs/>
    </w:rPr>
  </w:style>
  <w:style w:type="character" w:styleId="IntenseReference">
    <w:name w:val="Intense Reference"/>
    <w:uiPriority w:val="32"/>
    <w:rsid w:val="001D0D7C"/>
    <w:rPr>
      <w:smallCaps/>
      <w:spacing w:val="5"/>
      <w:u w:val="single"/>
    </w:rPr>
  </w:style>
  <w:style w:type="character" w:styleId="SubtleReference">
    <w:name w:val="Subtle Reference"/>
    <w:uiPriority w:val="31"/>
    <w:rsid w:val="001D0D7C"/>
    <w:rPr>
      <w:smallCaps/>
    </w:rPr>
  </w:style>
  <w:style w:type="character" w:styleId="Strong">
    <w:name w:val="Strong"/>
    <w:uiPriority w:val="22"/>
    <w:qFormat/>
    <w:rsid w:val="006A6B1E"/>
    <w:rPr>
      <w:b/>
      <w:bCs/>
    </w:rPr>
  </w:style>
  <w:style w:type="paragraph" w:customStyle="1" w:styleId="ListBulletStyle">
    <w:name w:val="List Bullet Style"/>
    <w:basedOn w:val="ListBullet"/>
    <w:qFormat/>
    <w:rsid w:val="006A6B1E"/>
    <w:pPr>
      <w:numPr>
        <w:numId w:val="25"/>
      </w:numPr>
    </w:pPr>
    <w:rPr>
      <w:rFonts w:cs="Arial"/>
    </w:rPr>
  </w:style>
  <w:style w:type="paragraph" w:styleId="NoSpacing">
    <w:name w:val="No Spacing"/>
    <w:basedOn w:val="Normal"/>
    <w:link w:val="NoSpacingChar"/>
    <w:uiPriority w:val="1"/>
    <w:rsid w:val="001D0D7C"/>
  </w:style>
  <w:style w:type="paragraph" w:styleId="ListBullet">
    <w:name w:val="List Bullet"/>
    <w:basedOn w:val="Normal"/>
    <w:uiPriority w:val="99"/>
    <w:semiHidden/>
    <w:unhideWhenUsed/>
    <w:rsid w:val="006E6643"/>
    <w:pPr>
      <w:numPr>
        <w:numId w:val="12"/>
      </w:numPr>
      <w:contextualSpacing/>
    </w:pPr>
  </w:style>
  <w:style w:type="character" w:styleId="BookTitle">
    <w:name w:val="Book Title"/>
    <w:uiPriority w:val="33"/>
    <w:rsid w:val="001D0D7C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1D0D7C"/>
  </w:style>
  <w:style w:type="character" w:styleId="IntenseEmphasis">
    <w:name w:val="Intense Emphasis"/>
    <w:uiPriority w:val="21"/>
    <w:rsid w:val="001D0D7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B1E"/>
    <w:pPr>
      <w:spacing w:before="480" w:after="0"/>
      <w:outlineLvl w:val="9"/>
    </w:pPr>
    <w:rPr>
      <w:rFonts w:asciiTheme="majorHAnsi" w:hAnsiTheme="majorHAnsi"/>
      <w:bCs/>
      <w:caps w:val="0"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openxmlformats.org/officeDocument/2006/relationships/customXml" Target="/customXML/item3.xml" Id="Rda48650bc18a401f" /></Relationships>
</file>

<file path=word/theme/theme1.xml><?xml version="1.0" encoding="utf-8"?>
<a:theme xmlns:a="http://schemas.openxmlformats.org/drawingml/2006/main" name="SNH -Theme">
  <a:themeElements>
    <a:clrScheme name="SNH -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ottish Natural Herita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71FFD1B571BE2883E0537D20C80A46C7" version="1.0.0">
  <systemFields>
    <field name="Objective-Id">
      <value order="0">A3507947</value>
    </field>
    <field name="Objective-Title">
      <value order="0">NCHF - Round 1 - Guidance - Sustainability Action Plan - Template for Visitor Impact Mitigation - LIVE</value>
    </field>
    <field name="Objective-Description">
      <value order="0"/>
    </field>
    <field name="Objective-CreationStamp">
      <value order="0">2021-07-21T11:52:42Z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2021-07-21T12:50:14Z</value>
    </field>
    <field name="Objective-Owner">
      <value order="0">Steven Smith</value>
    </field>
    <field name="Objective-Path">
      <value order="0">Objective Global Folder:NatureScot Fileplan:NAT - Natural Environments:SUS - Sustainability:NCHF - Natural and Cultural Heritage Fund:IMP - Implementation Phase:GUID - Guidance:NCHF - Guidance and Templates for Delivery Agents - Non-Finance</value>
    </field>
    <field name="Objective-Parent">
      <value order="0">NCHF - Guidance and Templates for Delivery Agents - Non-Finance</value>
    </field>
    <field name="Objective-State">
      <value order="0">Being Edited</value>
    </field>
    <field name="Objective-VersionId">
      <value order="0">vA6200711</value>
    </field>
    <field name="Objective-Version">
      <value order="0">2.1</value>
    </field>
    <field name="Objective-VersionNumber">
      <value order="0">3</value>
    </field>
    <field name="Objective-VersionComment">
      <value order="0"/>
    </field>
    <field name="Objective-FileNumber">
      <value order="0">qA162309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8AADF9AC-E4C1-4B7C-875E-3F1600AB5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1641</Characters>
  <Application>Microsoft Office Word</Application>
  <DocSecurity>0</DocSecurity>
  <Lines>13</Lines>
  <Paragraphs>3</Paragraphs>
  <ScaleCrop>false</ScaleCrop>
  <Company>Scottish Natural Heritage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Steven Smith</cp:lastModifiedBy>
  <cp:revision>5</cp:revision>
  <dcterms:created xsi:type="dcterms:W3CDTF">2021-07-21T11:44:00Z</dcterms:created>
  <dcterms:modified xsi:type="dcterms:W3CDTF">2021-07-21T12:48:00Z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A3507947</vt:lpwstr>
  </property>
  <property fmtid="{D5CDD505-2E9C-101B-9397-08002B2CF9AE}" pid="4" name="Objective-Title">
    <vt:lpwstr>NCHF - Round 1 - Guidance - Sustainability Action Plan - Template for Visitor Impact Mitigation - LIVE</vt:lpwstr>
  </property>
  <property fmtid="{D5CDD505-2E9C-101B-9397-08002B2CF9AE}" pid="5" name="Objective-Description">
    <vt:lpwstr/>
  </property>
  <property fmtid="{D5CDD505-2E9C-101B-9397-08002B2CF9AE}" pid="6" name="Objective-CreationStamp">
    <vt:filetime>2021-07-21T11:52:42Z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2021-07-21T12:50:14Z</vt:filetime>
  </property>
  <property fmtid="{D5CDD505-2E9C-101B-9397-08002B2CF9AE}" pid="11" name="Objective-Owner">
    <vt:lpwstr>Steven Smith</vt:lpwstr>
  </property>
  <property fmtid="{D5CDD505-2E9C-101B-9397-08002B2CF9AE}" pid="12" name="Objective-Path">
    <vt:lpwstr>Objective Global Folder:NatureScot Fileplan:NAT - Natural Environments:SUS - Sustainability:NCHF - Natural and Cultural Heritage Fund:IMP - Implementation Phase:GUID - Guidance:NCHF - Guidance and Templates for Delivery Agents - Non-Finance</vt:lpwstr>
  </property>
  <property fmtid="{D5CDD505-2E9C-101B-9397-08002B2CF9AE}" pid="13" name="Objective-Parent">
    <vt:lpwstr>NCHF - Guidance and Templates for Delivery Agents - Non-Finance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vA6200711</vt:lpwstr>
  </property>
  <property fmtid="{D5CDD505-2E9C-101B-9397-08002B2CF9AE}" pid="16" name="Objective-Version">
    <vt:lpwstr>2.1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qA162309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Date of Original">
    <vt:lpwstr/>
  </property>
  <property fmtid="{D5CDD505-2E9C-101B-9397-08002B2CF9AE}" pid="23" name="Objective-Sensitivity Review Date">
    <vt:lpwstr/>
  </property>
  <property fmtid="{D5CDD505-2E9C-101B-9397-08002B2CF9AE}" pid="24" name="Objective-FOI Exemption">
    <vt:lpwstr>Release</vt:lpwstr>
  </property>
  <property fmtid="{D5CDD505-2E9C-101B-9397-08002B2CF9AE}" pid="25" name="Objective-DPA Exemption">
    <vt:lpwstr>Release</vt:lpwstr>
  </property>
  <property fmtid="{D5CDD505-2E9C-101B-9397-08002B2CF9AE}" pid="26" name="Objective-EIR Exception">
    <vt:lpwstr>Release</vt:lpwstr>
  </property>
  <property fmtid="{D5CDD505-2E9C-101B-9397-08002B2CF9AE}" pid="27" name="Objective-Justification">
    <vt:lpwstr/>
  </property>
  <property fmtid="{D5CDD505-2E9C-101B-9397-08002B2CF9AE}" pid="28" name="Objective-Date of Request">
    <vt:lpwstr/>
  </property>
  <property fmtid="{D5CDD505-2E9C-101B-9397-08002B2CF9AE}" pid="29" name="Objective-Date of Release">
    <vt:lpwstr/>
  </property>
  <property fmtid="{D5CDD505-2E9C-101B-9397-08002B2CF9AE}" pid="30" name="Objective-FOI/EIR Disclosure Date">
    <vt:lpwstr/>
  </property>
  <property fmtid="{D5CDD505-2E9C-101B-9397-08002B2CF9AE}" pid="31" name="Objective-FOI/EIR Dissemination Date">
    <vt:lpwstr/>
  </property>
  <property fmtid="{D5CDD505-2E9C-101B-9397-08002B2CF9AE}" pid="32" name="Objective-FOI Release Details">
    <vt:lpwstr/>
  </property>
  <property fmtid="{D5CDD505-2E9C-101B-9397-08002B2CF9AE}" pid="33" name="Objective-Connect Creator">
    <vt:lpwstr/>
  </property>
</Properties>
</file>